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A5F"/>
          <w:sz w:val="40"/>
          <w:szCs w:val="40"/>
        </w:rPr>
        <w:t xml:space="preserve">BUSINESS REQUIREMENTS DOCUMENT</w:t>
      </w:r>
    </w:p>
    <w:p>
      <w:pPr>
        <w:spacing w:after="500" w:before="160"/>
        <w:jc w:val="center"/>
      </w:pPr>
      <w:r>
        <w:rPr>
          <w:b/>
          <w:bCs/>
          <w:color w:val="2E6E9E"/>
          <w:sz w:val="30"/>
          <w:szCs w:val="30"/>
        </w:rPr>
        <w:t xml:space="preserve">Last-Mile Delivery Tracker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F2F4F7" w:val="clear"/>
            <w:tcMar>
              <w:top w:type="dxa" w:w="100"/>
              <w:left w:type="dxa" w:w="150"/>
              <w:bottom w:type="dxa" w:w="100"/>
              <w:right w:type="dxa" w:w="150"/>
            </w:tcMar>
          </w:tcPr>
          <w:p>
            <w:r>
              <w:rPr>
                <w:b/>
                <w:bCs/>
                <w:color w:val="1F3A5F"/>
                <w:sz w:val="20"/>
                <w:szCs w:val="20"/>
              </w:rPr>
              <w:t xml:space="preserve">Document Type</w:t>
            </w:r>
          </w:p>
        </w:tc>
        <w:tc>
          <w:tcPr>
            <w:tcW w:type="dxa" w:w="6800"/>
            <w:tcMar>
              <w:top w:type="dxa" w:w="100"/>
              <w:left w:type="dxa" w:w="150"/>
              <w:bottom w:type="dxa" w:w="100"/>
              <w:right w:type="dxa" w:w="150"/>
            </w:tcMar>
          </w:tcPr>
          <w:p>
            <w:r>
              <w:rPr>
                <w:color w:val="1A1A1A"/>
                <w:sz w:val="20"/>
                <w:szCs w:val="20"/>
              </w:rPr>
              <w:t xml:space="preserve">Business Requirements Document (BRD)</w:t>
            </w:r>
          </w:p>
        </w:tc>
      </w:tr>
      <w:tr>
        <w:tc>
          <w:tcPr>
            <w:tcW w:type="dxa" w:w="2400"/>
            <w:shd w:fill="F2F4F7" w:val="clear"/>
            <w:tcMar>
              <w:top w:type="dxa" w:w="100"/>
              <w:left w:type="dxa" w:w="150"/>
              <w:bottom w:type="dxa" w:w="100"/>
              <w:right w:type="dxa" w:w="150"/>
            </w:tcMar>
          </w:tcPr>
          <w:p>
            <w:r>
              <w:rPr>
                <w:b/>
                <w:bCs/>
                <w:color w:val="1F3A5F"/>
                <w:sz w:val="20"/>
                <w:szCs w:val="20"/>
              </w:rPr>
              <w:t xml:space="preserve">Project</w:t>
            </w:r>
          </w:p>
        </w:tc>
        <w:tc>
          <w:tcPr>
            <w:tcW w:type="dxa" w:w="6800"/>
            <w:tcMar>
              <w:top w:type="dxa" w:w="100"/>
              <w:left w:type="dxa" w:w="150"/>
              <w:bottom w:type="dxa" w:w="100"/>
              <w:right w:type="dxa" w:w="150"/>
            </w:tcMar>
          </w:tcPr>
          <w:p>
            <w:r>
              <w:rPr>
                <w:color w:val="1A1A1A"/>
                <w:sz w:val="20"/>
                <w:szCs w:val="20"/>
              </w:rPr>
              <w:t xml:space="preserve">Last-Mile Delivery Tracker</w:t>
            </w:r>
          </w:p>
        </w:tc>
      </w:tr>
      <w:tr>
        <w:tc>
          <w:tcPr>
            <w:tcW w:type="dxa" w:w="2400"/>
            <w:shd w:fill="F2F4F7" w:val="clear"/>
            <w:tcMar>
              <w:top w:type="dxa" w:w="100"/>
              <w:left w:type="dxa" w:w="150"/>
              <w:bottom w:type="dxa" w:w="100"/>
              <w:right w:type="dxa" w:w="150"/>
            </w:tcMar>
          </w:tcPr>
          <w:p>
            <w:r>
              <w:rPr>
                <w:b/>
                <w:bCs/>
                <w:color w:val="1F3A5F"/>
                <w:sz w:val="20"/>
                <w:szCs w:val="20"/>
              </w:rPr>
              <w:t xml:space="preserve">Version</w:t>
            </w:r>
          </w:p>
        </w:tc>
        <w:tc>
          <w:tcPr>
            <w:tcW w:type="dxa" w:w="6800"/>
            <w:tcMar>
              <w:top w:type="dxa" w:w="100"/>
              <w:left w:type="dxa" w:w="150"/>
              <w:bottom w:type="dxa" w:w="100"/>
              <w:right w:type="dxa" w:w="150"/>
            </w:tcMar>
          </w:tcPr>
          <w:p>
            <w:r>
              <w:rPr>
                <w:color w:val="1A1A1A"/>
                <w:sz w:val="20"/>
                <w:szCs w:val="20"/>
              </w:rPr>
              <w:t xml:space="preserve">1.0</w:t>
            </w:r>
          </w:p>
        </w:tc>
      </w:tr>
      <w:tr>
        <w:tc>
          <w:tcPr>
            <w:tcW w:type="dxa" w:w="2400"/>
            <w:shd w:fill="F2F4F7" w:val="clear"/>
            <w:tcMar>
              <w:top w:type="dxa" w:w="100"/>
              <w:left w:type="dxa" w:w="150"/>
              <w:bottom w:type="dxa" w:w="100"/>
              <w:right w:type="dxa" w:w="150"/>
            </w:tcMar>
          </w:tcPr>
          <w:p>
            <w:r>
              <w:rPr>
                <w:b/>
                <w:bCs/>
                <w:color w:val="1F3A5F"/>
                <w:sz w:val="20"/>
                <w:szCs w:val="20"/>
              </w:rPr>
              <w:t xml:space="preserve">Date</w:t>
            </w:r>
          </w:p>
        </w:tc>
        <w:tc>
          <w:tcPr>
            <w:tcW w:type="dxa" w:w="6800"/>
            <w:tcMar>
              <w:top w:type="dxa" w:w="100"/>
              <w:left w:type="dxa" w:w="150"/>
              <w:bottom w:type="dxa" w:w="100"/>
              <w:right w:type="dxa" w:w="150"/>
            </w:tcMar>
          </w:tcPr>
          <w:p>
            <w:r>
              <w:rPr>
                <w:color w:val="1A1A1A"/>
                <w:sz w:val="20"/>
                <w:szCs w:val="20"/>
              </w:rPr>
              <w:t xml:space="preserve">August 22, 2026</w:t>
            </w:r>
          </w:p>
        </w:tc>
      </w:tr>
      <w:tr>
        <w:tc>
          <w:tcPr>
            <w:tcW w:type="dxa" w:w="2400"/>
            <w:shd w:fill="F2F4F7" w:val="clear"/>
            <w:tcMar>
              <w:top w:type="dxa" w:w="100"/>
              <w:left w:type="dxa" w:w="150"/>
              <w:bottom w:type="dxa" w:w="100"/>
              <w:right w:type="dxa" w:w="150"/>
            </w:tcMar>
          </w:tcPr>
          <w:p>
            <w:r>
              <w:rPr>
                <w:b/>
                <w:bCs/>
                <w:color w:val="1F3A5F"/>
                <w:sz w:val="20"/>
                <w:szCs w:val="20"/>
              </w:rPr>
              <w:t xml:space="preserve">Status</w:t>
            </w:r>
          </w:p>
        </w:tc>
        <w:tc>
          <w:tcPr>
            <w:tcW w:type="dxa" w:w="6800"/>
            <w:tcMar>
              <w:top w:type="dxa" w:w="100"/>
              <w:left w:type="dxa" w:w="150"/>
              <w:bottom w:type="dxa" w:w="100"/>
              <w:right w:type="dxa" w:w="150"/>
            </w:tcMar>
          </w:tcPr>
          <w:p>
            <w:r>
              <w:rPr>
                <w:color w:val="1A1A1A"/>
                <w:sz w:val="20"/>
                <w:szCs w:val="20"/>
              </w:rPr>
              <w:t xml:space="preserve">Draft — for review</w:t>
            </w:r>
          </w:p>
        </w:tc>
      </w:tr>
      <w:tr>
        <w:tc>
          <w:tcPr>
            <w:tcW w:type="dxa" w:w="2400"/>
            <w:shd w:fill="F2F4F7" w:val="clear"/>
            <w:tcMar>
              <w:top w:type="dxa" w:w="100"/>
              <w:left w:type="dxa" w:w="150"/>
              <w:bottom w:type="dxa" w:w="100"/>
              <w:right w:type="dxa" w:w="150"/>
            </w:tcMar>
          </w:tcPr>
          <w:p>
            <w:r>
              <w:rPr>
                <w:b/>
                <w:bCs/>
                <w:color w:val="1F3A5F"/>
                <w:sz w:val="20"/>
                <w:szCs w:val="20"/>
              </w:rPr>
              <w:t xml:space="preserve">Prepared For</w:t>
            </w:r>
          </w:p>
        </w:tc>
        <w:tc>
          <w:tcPr>
            <w:tcW w:type="dxa" w:w="6800"/>
            <w:tcMar>
              <w:top w:type="dxa" w:w="100"/>
              <w:left w:type="dxa" w:w="150"/>
              <w:bottom w:type="dxa" w:w="100"/>
              <w:right w:type="dxa" w:w="150"/>
            </w:tcMar>
          </w:tcPr>
          <w:p>
            <w:r>
              <w:rPr>
                <w:color w:val="1A1A1A"/>
                <w:sz w:val="20"/>
                <w:szCs w:val="20"/>
              </w:rPr>
              <w:t xml:space="preserve">Project Stakeholders / Evaluation Panel</w:t>
            </w:r>
          </w:p>
        </w:tc>
      </w:tr>
    </w:tbl>
    <w:p>
      <w:r>
        <w:br w:type="page"/>
      </w:r>
    </w:p>
    <w:p>
      <w:pPr>
        <w:pStyle w:val="Heading1"/>
        <w:pBdr>
          <w:bottom w:val="single" w:color="2E6E9E" w:sz="6" w:space="4"/>
        </w:pBdr>
        <w:spacing w:after="200" w:before="400"/>
      </w:pPr>
      <w:r>
        <w:rPr>
          <w:b/>
          <w:bCs/>
          <w:color w:val="1F3A5F"/>
          <w:sz w:val="30"/>
          <w:szCs w:val="30"/>
        </w:rPr>
        <w:t xml:space="preserve">Table of Contents</w:t>
      </w:r>
    </w:p>
    <w:p>
      <w:pPr>
        <w:spacing w:after="140"/>
      </w:pPr>
      <w:r>
        <w:rPr>
          <w:color w:val="1A1A1A"/>
          <w:sz w:val="22"/>
          <w:szCs w:val="22"/>
        </w:rPr>
        <w:t xml:space="preserve">1. Executive Summary</w:t>
      </w:r>
    </w:p>
    <w:p>
      <w:pPr>
        <w:spacing w:after="140"/>
      </w:pPr>
      <w:r>
        <w:rPr>
          <w:color w:val="1A1A1A"/>
          <w:sz w:val="22"/>
          <w:szCs w:val="22"/>
        </w:rPr>
        <w:t xml:space="preserve">2. Business Objectives</w:t>
      </w:r>
    </w:p>
    <w:p>
      <w:pPr>
        <w:spacing w:after="140"/>
      </w:pPr>
      <w:r>
        <w:rPr>
          <w:color w:val="1A1A1A"/>
          <w:sz w:val="22"/>
          <w:szCs w:val="22"/>
        </w:rPr>
        <w:t xml:space="preserve">3. Project Scope</w:t>
      </w:r>
    </w:p>
    <w:p>
      <w:pPr>
        <w:spacing w:after="140"/>
      </w:pPr>
      <w:r>
        <w:rPr>
          <w:color w:val="1A1A1A"/>
          <w:sz w:val="22"/>
          <w:szCs w:val="22"/>
        </w:rPr>
        <w:t xml:space="preserve">4. Stakeholders</w:t>
      </w:r>
    </w:p>
    <w:p>
      <w:pPr>
        <w:spacing w:after="140"/>
      </w:pPr>
      <w:r>
        <w:rPr>
          <w:color w:val="1A1A1A"/>
          <w:sz w:val="22"/>
          <w:szCs w:val="22"/>
        </w:rPr>
        <w:t xml:space="preserve">5. Functional Requirements</w:t>
      </w:r>
    </w:p>
    <w:p>
      <w:pPr>
        <w:spacing w:after="140"/>
      </w:pPr>
      <w:r>
        <w:rPr>
          <w:color w:val="1A1A1A"/>
          <w:sz w:val="22"/>
          <w:szCs w:val="22"/>
        </w:rPr>
        <w:t xml:space="preserve">6. Non-Functional Requirements</w:t>
      </w:r>
    </w:p>
    <w:p>
      <w:pPr>
        <w:spacing w:after="140"/>
      </w:pPr>
      <w:r>
        <w:rPr>
          <w:color w:val="1A1A1A"/>
          <w:sz w:val="22"/>
          <w:szCs w:val="22"/>
        </w:rPr>
        <w:t xml:space="preserve">7. Key Business Rules</w:t>
      </w:r>
    </w:p>
    <w:p>
      <w:pPr>
        <w:spacing w:after="140"/>
      </w:pPr>
      <w:r>
        <w:rPr>
          <w:color w:val="1A1A1A"/>
          <w:sz w:val="22"/>
          <w:szCs w:val="22"/>
        </w:rPr>
        <w:t xml:space="preserve">8. Assumptions &amp; Constraints</w:t>
      </w:r>
    </w:p>
    <w:p>
      <w:pPr>
        <w:spacing w:after="140"/>
      </w:pPr>
      <w:r>
        <w:rPr>
          <w:color w:val="1A1A1A"/>
          <w:sz w:val="22"/>
          <w:szCs w:val="22"/>
        </w:rPr>
        <w:t xml:space="preserve">9. Deliverables</w:t>
      </w:r>
    </w:p>
    <w:p>
      <w:pPr>
        <w:spacing w:after="140"/>
      </w:pPr>
      <w:r>
        <w:rPr>
          <w:color w:val="1A1A1A"/>
          <w:sz w:val="22"/>
          <w:szCs w:val="22"/>
        </w:rPr>
        <w:t xml:space="preserve">10. Success Criteria / Acceptance Criteria</w:t>
      </w:r>
    </w:p>
    <w:p>
      <w:pPr>
        <w:spacing w:after="140"/>
      </w:pPr>
      <w:r>
        <w:rPr>
          <w:color w:val="1A1A1A"/>
          <w:sz w:val="22"/>
          <w:szCs w:val="22"/>
        </w:rPr>
        <w:t xml:space="preserve">11. Glossary</w:t>
      </w:r>
    </w:p>
    <w:p>
      <w:r>
        <w:br w:type="page"/>
      </w:r>
    </w:p>
    <w:p>
      <w:pPr>
        <w:pStyle w:val="Heading1"/>
        <w:pBdr>
          <w:bottom w:val="single" w:color="2E6E9E" w:sz="6" w:space="4"/>
        </w:pBdr>
        <w:spacing w:after="200" w:before="400"/>
      </w:pPr>
      <w:r>
        <w:rPr>
          <w:b/>
          <w:bCs/>
          <w:color w:val="1F3A5F"/>
          <w:sz w:val="30"/>
          <w:szCs w:val="30"/>
        </w:rPr>
        <w:t xml:space="preserve">1. Executive Summary</w:t>
      </w:r>
    </w:p>
    <w:p>
      <w:pPr>
        <w:spacing w:after="160" w:line="300"/>
      </w:pPr>
      <w:r>
        <w:rPr>
          <w:color w:val="1A1A1A"/>
          <w:sz w:val="21"/>
          <w:szCs w:val="21"/>
        </w:rPr>
        <w:t xml:space="preserve">Logistics operations depend on consistent pricing, reliable agent allocation, and timely customer communication. This document defines the business requirements for a Last-Mile Delivery Tracker: a platform where customers and administrators can create delivery orders with automatically calculated charges, where orders are routed to delivery agents intelligently, and where customers are kept informed at every stage of the delivery journey.</w:t>
      </w:r>
    </w:p>
    <w:p>
      <w:pPr>
        <w:spacing w:after="160" w:line="300"/>
      </w:pPr>
      <w:r>
        <w:rPr>
          <w:color w:val="1A1A1A"/>
          <w:sz w:val="21"/>
          <w:szCs w:val="21"/>
        </w:rPr>
        <w:t xml:space="preserve">The system replaces manual, ad-hoc pricing and assignment with a configurable rules engine — zone-based rate cards, volumetric weight billing, and COD surcharges — so that Operations can adjust pricing without engineering involvement, and so that every charge and every status change is traceable to who made it and when.</w:t>
      </w:r>
    </w:p>
    <w:p>
      <w:pPr>
        <w:pStyle w:val="Heading1"/>
        <w:pBdr>
          <w:bottom w:val="single" w:color="2E6E9E" w:sz="6" w:space="4"/>
        </w:pBdr>
        <w:spacing w:after="200" w:before="400"/>
      </w:pPr>
      <w:r>
        <w:rPr>
          <w:b/>
          <w:bCs/>
          <w:color w:val="1F3A5F"/>
          <w:sz w:val="30"/>
          <w:szCs w:val="30"/>
        </w:rPr>
        <w:t xml:space="preserve">2. Business Objectives</w:t>
      </w:r>
    </w:p>
    <w:p>
      <w:pPr>
        <w:pStyle w:val="ListParagraph"/>
        <w:numPr>
          <w:ilvl w:val="0"/>
          <w:numId w:val="2"/>
        </w:numPr>
        <w:spacing w:after="80"/>
      </w:pPr>
      <w:r>
        <w:rPr>
          <w:color w:val="1A1A1A"/>
          <w:sz w:val="21"/>
          <w:szCs w:val="21"/>
        </w:rPr>
        <w:t xml:space="preserve">Automate delivery charge calculation so pricing is consistent, transparent, and free of manual error.</w:t>
      </w:r>
    </w:p>
    <w:p>
      <w:pPr>
        <w:pStyle w:val="ListParagraph"/>
        <w:numPr>
          <w:ilvl w:val="0"/>
          <w:numId w:val="2"/>
        </w:numPr>
        <w:spacing w:after="80"/>
      </w:pPr>
      <w:r>
        <w:rPr>
          <w:color w:val="1A1A1A"/>
          <w:sz w:val="21"/>
          <w:szCs w:val="21"/>
        </w:rPr>
        <w:t xml:space="preserve">Reduce delivery-agent idle time and improve on-time pickup by intelligently assigning the nearest available agent.</w:t>
      </w:r>
    </w:p>
    <w:p>
      <w:pPr>
        <w:pStyle w:val="ListParagraph"/>
        <w:numPr>
          <w:ilvl w:val="0"/>
          <w:numId w:val="2"/>
        </w:numPr>
        <w:spacing w:after="80"/>
      </w:pPr>
      <w:r>
        <w:rPr>
          <w:color w:val="1A1A1A"/>
          <w:sz w:val="21"/>
          <w:szCs w:val="21"/>
        </w:rPr>
        <w:t xml:space="preserve">Improve customer trust and reduce support load through proactive status notifications and self-service tracking.</w:t>
      </w:r>
    </w:p>
    <w:p>
      <w:pPr>
        <w:pStyle w:val="ListParagraph"/>
        <w:numPr>
          <w:ilvl w:val="0"/>
          <w:numId w:val="2"/>
        </w:numPr>
        <w:spacing w:after="80"/>
      </w:pPr>
      <w:r>
        <w:rPr>
          <w:color w:val="1A1A1A"/>
          <w:sz w:val="21"/>
          <w:szCs w:val="21"/>
        </w:rPr>
        <w:t xml:space="preserve">Give Operations full configurability over zones, rate cards, and surcharges without requiring code changes.</w:t>
      </w:r>
    </w:p>
    <w:p>
      <w:pPr>
        <w:pStyle w:val="ListParagraph"/>
        <w:numPr>
          <w:ilvl w:val="0"/>
          <w:numId w:val="2"/>
        </w:numPr>
        <w:spacing w:after="80"/>
      </w:pPr>
      <w:r>
        <w:rPr>
          <w:color w:val="1A1A1A"/>
          <w:sz w:val="21"/>
          <w:szCs w:val="21"/>
        </w:rPr>
        <w:t xml:space="preserve">Maintain a complete, tamper-proof audit trail of every order's status and assignment history for accountability and dispute resolution.</w:t>
      </w:r>
    </w:p>
    <w:p>
      <w:pPr>
        <w:pStyle w:val="ListParagraph"/>
        <w:numPr>
          <w:ilvl w:val="0"/>
          <w:numId w:val="2"/>
        </w:numPr>
        <w:spacing w:after="80"/>
      </w:pPr>
      <w:r>
        <w:rPr>
          <w:color w:val="1A1A1A"/>
          <w:sz w:val="21"/>
          <w:szCs w:val="21"/>
        </w:rPr>
        <w:t xml:space="preserve">Provide a clear recovery path for failed deliveries so a failed attempt doesn't become a lost order.</w:t>
      </w:r>
    </w:p>
    <w:p>
      <w:pPr>
        <w:pStyle w:val="Heading1"/>
        <w:pBdr>
          <w:bottom w:val="single" w:color="2E6E9E" w:sz="6" w:space="4"/>
        </w:pBdr>
        <w:spacing w:after="200" w:before="400"/>
      </w:pPr>
      <w:r>
        <w:rPr>
          <w:b/>
          <w:bCs/>
          <w:color w:val="1F3A5F"/>
          <w:sz w:val="30"/>
          <w:szCs w:val="30"/>
        </w:rPr>
        <w:t xml:space="preserve">3. Project Scope</w:t>
      </w:r>
    </w:p>
    <w:p>
      <w:pPr>
        <w:pStyle w:val="Heading2"/>
        <w:spacing w:after="120" w:before="300"/>
      </w:pPr>
      <w:r>
        <w:rPr>
          <w:b/>
          <w:bCs/>
          <w:color w:val="1F3A5F"/>
          <w:sz w:val="24"/>
          <w:szCs w:val="24"/>
        </w:rPr>
        <w:t xml:space="preserve">3.1 In Scope</w:t>
      </w:r>
    </w:p>
    <w:p>
      <w:pPr>
        <w:pStyle w:val="ListParagraph"/>
        <w:numPr>
          <w:ilvl w:val="0"/>
          <w:numId w:val="2"/>
        </w:numPr>
        <w:spacing w:after="80"/>
      </w:pPr>
      <w:r>
        <w:rPr>
          <w:color w:val="1A1A1A"/>
          <w:sz w:val="21"/>
          <w:szCs w:val="21"/>
        </w:rPr>
        <w:t xml:space="preserve">Customer and Admin order creation with auto-calculated charges.</w:t>
      </w:r>
    </w:p>
    <w:p>
      <w:pPr>
        <w:pStyle w:val="ListParagraph"/>
        <w:numPr>
          <w:ilvl w:val="0"/>
          <w:numId w:val="2"/>
        </w:numPr>
        <w:spacing w:after="80"/>
      </w:pPr>
      <w:r>
        <w:rPr>
          <w:color w:val="1A1A1A"/>
          <w:sz w:val="21"/>
          <w:szCs w:val="21"/>
        </w:rPr>
        <w:t xml:space="preserve">Admin-configurable zones, pincode-to-zone mapping, and rate cards (B2B/B2C, intra/inter-zone).</w:t>
      </w:r>
    </w:p>
    <w:p>
      <w:pPr>
        <w:pStyle w:val="ListParagraph"/>
        <w:numPr>
          <w:ilvl w:val="0"/>
          <w:numId w:val="2"/>
        </w:numPr>
        <w:spacing w:after="80"/>
      </w:pPr>
      <w:r>
        <w:rPr>
          <w:color w:val="1A1A1A"/>
          <w:sz w:val="21"/>
          <w:szCs w:val="21"/>
        </w:rPr>
        <w:t xml:space="preserve">Admin-configurable COD surcharge per order type.</w:t>
      </w:r>
    </w:p>
    <w:p>
      <w:pPr>
        <w:pStyle w:val="ListParagraph"/>
        <w:numPr>
          <w:ilvl w:val="0"/>
          <w:numId w:val="2"/>
        </w:numPr>
        <w:spacing w:after="80"/>
      </w:pPr>
      <w:r>
        <w:rPr>
          <w:color w:val="1A1A1A"/>
          <w:sz w:val="21"/>
          <w:szCs w:val="21"/>
        </w:rPr>
        <w:t xml:space="preserve">Manual and automatic (nearest-available-agent) delivery agent assignment.</w:t>
      </w:r>
    </w:p>
    <w:p>
      <w:pPr>
        <w:pStyle w:val="ListParagraph"/>
        <w:numPr>
          <w:ilvl w:val="0"/>
          <w:numId w:val="2"/>
        </w:numPr>
        <w:spacing w:after="80"/>
      </w:pPr>
      <w:r>
        <w:rPr>
          <w:color w:val="1A1A1A"/>
          <w:sz w:val="21"/>
          <w:szCs w:val="21"/>
        </w:rPr>
        <w:t xml:space="preserve">Full order status lifecycle with immutable, timestamped, actor-attributed tracking history.</w:t>
      </w:r>
    </w:p>
    <w:p>
      <w:pPr>
        <w:pStyle w:val="ListParagraph"/>
        <w:numPr>
          <w:ilvl w:val="0"/>
          <w:numId w:val="2"/>
        </w:numPr>
        <w:spacing w:after="80"/>
      </w:pPr>
      <w:r>
        <w:rPr>
          <w:color w:val="1A1A1A"/>
          <w:sz w:val="21"/>
          <w:szCs w:val="21"/>
        </w:rPr>
        <w:t xml:space="preserve">Failed-delivery handling: customer notification, reschedule capture, and agent reassignment.</w:t>
      </w:r>
    </w:p>
    <w:p>
      <w:pPr>
        <w:pStyle w:val="ListParagraph"/>
        <w:numPr>
          <w:ilvl w:val="0"/>
          <w:numId w:val="2"/>
        </w:numPr>
        <w:spacing w:after="80"/>
      </w:pPr>
      <w:r>
        <w:rPr>
          <w:color w:val="1A1A1A"/>
          <w:sz w:val="21"/>
          <w:szCs w:val="21"/>
        </w:rPr>
        <w:t xml:space="preserve">Email notifications to customers on every status change.</w:t>
      </w:r>
    </w:p>
    <w:p>
      <w:pPr>
        <w:pStyle w:val="ListParagraph"/>
        <w:numPr>
          <w:ilvl w:val="0"/>
          <w:numId w:val="2"/>
        </w:numPr>
        <w:spacing w:after="80"/>
      </w:pPr>
      <w:r>
        <w:rPr>
          <w:color w:val="1A1A1A"/>
          <w:sz w:val="21"/>
          <w:szCs w:val="21"/>
        </w:rPr>
        <w:t xml:space="preserve">Admin dashboard capability: view all orders, filter by status/zone/agent, override order status.</w:t>
      </w:r>
    </w:p>
    <w:p>
      <w:pPr>
        <w:pStyle w:val="ListParagraph"/>
        <w:numPr>
          <w:ilvl w:val="0"/>
          <w:numId w:val="2"/>
        </w:numPr>
        <w:spacing w:after="80"/>
      </w:pPr>
      <w:r>
        <w:rPr>
          <w:color w:val="1A1A1A"/>
          <w:sz w:val="21"/>
          <w:szCs w:val="21"/>
        </w:rPr>
        <w:t xml:space="preserve">Role-based access control for Customer, Delivery Agent, and Admin.</w:t>
      </w:r>
    </w:p>
    <w:p>
      <w:pPr>
        <w:pStyle w:val="Heading2"/>
        <w:spacing w:after="120" w:before="300"/>
      </w:pPr>
      <w:r>
        <w:rPr>
          <w:b/>
          <w:bCs/>
          <w:color w:val="1F3A5F"/>
          <w:sz w:val="24"/>
          <w:szCs w:val="24"/>
        </w:rPr>
        <w:t xml:space="preserve">3.2 Out of Scope</w:t>
      </w:r>
    </w:p>
    <w:p>
      <w:pPr>
        <w:pStyle w:val="ListParagraph"/>
        <w:numPr>
          <w:ilvl w:val="0"/>
          <w:numId w:val="2"/>
        </w:numPr>
        <w:spacing w:after="80"/>
      </w:pPr>
      <w:r>
        <w:rPr>
          <w:color w:val="1A1A1A"/>
          <w:sz w:val="21"/>
          <w:szCs w:val="21"/>
        </w:rPr>
        <w:t xml:space="preserve">Real-time GPS map tracking / live agent location streaming to customers (agent location is used internally for assignment only).</w:t>
      </w:r>
    </w:p>
    <w:p>
      <w:pPr>
        <w:pStyle w:val="ListParagraph"/>
        <w:numPr>
          <w:ilvl w:val="0"/>
          <w:numId w:val="2"/>
        </w:numPr>
        <w:spacing w:after="80"/>
      </w:pPr>
      <w:r>
        <w:rPr>
          <w:color w:val="1A1A1A"/>
          <w:sz w:val="21"/>
          <w:szCs w:val="21"/>
        </w:rPr>
        <w:t xml:space="preserve">Payment gateway integration for online Prepaid collection (payment type is captured as a field, not processed).</w:t>
      </w:r>
    </w:p>
    <w:p>
      <w:pPr>
        <w:pStyle w:val="ListParagraph"/>
        <w:numPr>
          <w:ilvl w:val="0"/>
          <w:numId w:val="2"/>
        </w:numPr>
        <w:spacing w:after="80"/>
      </w:pPr>
      <w:r>
        <w:rPr>
          <w:color w:val="1A1A1A"/>
          <w:sz w:val="21"/>
          <w:szCs w:val="21"/>
        </w:rPr>
        <w:t xml:space="preserve">Native mobile applications (delivery is via web-based/API-driven frontend).</w:t>
      </w:r>
    </w:p>
    <w:p>
      <w:pPr>
        <w:pStyle w:val="ListParagraph"/>
        <w:numPr>
          <w:ilvl w:val="0"/>
          <w:numId w:val="2"/>
        </w:numPr>
        <w:spacing w:after="80"/>
      </w:pPr>
      <w:r>
        <w:rPr>
          <w:color w:val="1A1A1A"/>
          <w:sz w:val="21"/>
          <w:szCs w:val="21"/>
        </w:rPr>
        <w:t xml:space="preserve">Multi-currency or multi-country tax handling.</w:t>
      </w:r>
    </w:p>
    <w:p>
      <w:pPr>
        <w:pStyle w:val="ListParagraph"/>
        <w:numPr>
          <w:ilvl w:val="0"/>
          <w:numId w:val="2"/>
        </w:numPr>
        <w:spacing w:after="80"/>
      </w:pPr>
      <w:r>
        <w:rPr>
          <w:color w:val="1A1A1A"/>
          <w:sz w:val="21"/>
          <w:szCs w:val="21"/>
        </w:rPr>
        <w:t xml:space="preserve">SMS notifications beyond an optional integration point (email is the primary channel in scope).</w:t>
      </w:r>
    </w:p>
    <w:p>
      <w:pPr>
        <w:pStyle w:val="Heading1"/>
        <w:pBdr>
          <w:bottom w:val="single" w:color="2E6E9E" w:sz="6" w:space="4"/>
        </w:pBdr>
        <w:spacing w:after="200" w:before="400"/>
      </w:pPr>
      <w:r>
        <w:rPr>
          <w:b/>
          <w:bCs/>
          <w:color w:val="1F3A5F"/>
          <w:sz w:val="30"/>
          <w:szCs w:val="30"/>
        </w:rPr>
        <w:t xml:space="preserve">4. Stakeholders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200"/>
      </w:tblGrid>
      <w:tr>
        <w:trPr>
          <w:tblHeader/>
        </w:trPr>
        <w:tc>
          <w:tcPr>
            <w:tcW w:type="dxa" w:w="2600"/>
            <w:shd w:fill="1F3A5F" w:val="clear"/>
            <w:tcMar>
              <w:top w:type="dxa" w:w="90"/>
              <w:left w:type="dxa" w:w="120"/>
              <w:bottom w:type="dxa" w:w="90"/>
              <w:right w:type="dxa" w:w="120"/>
            </w:tcMar>
          </w:tcPr>
          <w:p>
            <w:r>
              <w:rPr>
                <w:b/>
                <w:bCs/>
                <w:color w:val="FFFFFF"/>
                <w:sz w:val="19"/>
                <w:szCs w:val="19"/>
              </w:rPr>
              <w:t xml:space="preserve">Role</w:t>
            </w:r>
          </w:p>
        </w:tc>
        <w:tc>
          <w:tcPr>
            <w:tcW w:type="dxa" w:w="3400"/>
            <w:shd w:fill="1F3A5F" w:val="clear"/>
            <w:tcMar>
              <w:top w:type="dxa" w:w="90"/>
              <w:left w:type="dxa" w:w="120"/>
              <w:bottom w:type="dxa" w:w="90"/>
              <w:right w:type="dxa" w:w="120"/>
            </w:tcMar>
          </w:tcPr>
          <w:p>
            <w:r>
              <w:rPr>
                <w:b/>
                <w:bCs/>
                <w:color w:val="FFFFFF"/>
                <w:sz w:val="19"/>
                <w:szCs w:val="19"/>
              </w:rPr>
              <w:t xml:space="preserve">Stakeholder</w:t>
            </w:r>
          </w:p>
        </w:tc>
        <w:tc>
          <w:tcPr>
            <w:tcW w:type="dxa" w:w="4200"/>
            <w:shd w:fill="1F3A5F" w:val="clear"/>
            <w:tcMar>
              <w:top w:type="dxa" w:w="90"/>
              <w:left w:type="dxa" w:w="120"/>
              <w:bottom w:type="dxa" w:w="90"/>
              <w:right w:type="dxa" w:w="120"/>
            </w:tcMar>
          </w:tcPr>
          <w:p>
            <w:r>
              <w:rPr>
                <w:b/>
                <w:bCs/>
                <w:color w:val="FFFFFF"/>
                <w:sz w:val="19"/>
                <w:szCs w:val="19"/>
              </w:rPr>
              <w:t xml:space="preserve">Interest / Responsibility</w:t>
            </w:r>
          </w:p>
        </w:tc>
      </w:tr>
      <w:tr>
        <w:tc>
          <w:tcPr>
            <w:tcW w:type="dxa" w:w="2600"/>
            <w:tcMar>
              <w:top w:type="dxa" w:w="90"/>
              <w:left w:type="dxa" w:w="120"/>
              <w:bottom w:type="dxa" w:w="90"/>
              <w:right w:type="dxa" w:w="120"/>
            </w:tcMar>
          </w:tcPr>
          <w:p>
            <w:pPr>
              <w:spacing w:after="0"/>
            </w:pPr>
            <w:r>
              <w:rPr>
                <w:b/>
                <w:bCs/>
                <w:color w:val="1A1A1A"/>
                <w:sz w:val="19"/>
                <w:szCs w:val="19"/>
              </w:rPr>
              <w:t xml:space="preserve">Customer</w:t>
            </w:r>
          </w:p>
        </w:tc>
        <w:tc>
          <w:tcPr>
            <w:tcW w:type="dxa" w:w="3400"/>
            <w:tcMar>
              <w:top w:type="dxa" w:w="90"/>
              <w:left w:type="dxa" w:w="120"/>
              <w:bottom w:type="dxa" w:w="90"/>
              <w:right w:type="dxa" w:w="120"/>
            </w:tcMar>
          </w:tcPr>
          <w:p>
            <w:pPr>
              <w:spacing w:after="0"/>
            </w:pPr>
            <w:r>
              <w:rPr>
                <w:color w:val="1A1A1A"/>
                <w:sz w:val="19"/>
                <w:szCs w:val="19"/>
              </w:rPr>
              <w:t xml:space="preserve">End user placing orders</w:t>
            </w:r>
          </w:p>
        </w:tc>
        <w:tc>
          <w:tcPr>
            <w:tcW w:type="dxa" w:w="4200"/>
            <w:tcMar>
              <w:top w:type="dxa" w:w="90"/>
              <w:left w:type="dxa" w:w="120"/>
              <w:bottom w:type="dxa" w:w="90"/>
              <w:right w:type="dxa" w:w="120"/>
            </w:tcMar>
          </w:tcPr>
          <w:p>
            <w:pPr>
              <w:spacing w:after="0"/>
            </w:pPr>
            <w:r>
              <w:rPr>
                <w:color w:val="1A1A1A"/>
                <w:sz w:val="19"/>
                <w:szCs w:val="19"/>
              </w:rPr>
              <w:t xml:space="preserve">Places orders, tracks deliveries, reschedules failed attempts</w:t>
            </w:r>
          </w:p>
        </w:tc>
      </w:tr>
      <w:tr>
        <w:tc>
          <w:tcPr>
            <w:tcW w:type="dxa" w:w="2600"/>
            <w:shd w:fill="F2F4F7" w:val="clear"/>
            <w:tcMar>
              <w:top w:type="dxa" w:w="90"/>
              <w:left w:type="dxa" w:w="120"/>
              <w:bottom w:type="dxa" w:w="90"/>
              <w:right w:type="dxa" w:w="120"/>
            </w:tcMar>
          </w:tcPr>
          <w:p>
            <w:pPr>
              <w:spacing w:after="0"/>
            </w:pPr>
            <w:r>
              <w:rPr>
                <w:b/>
                <w:bCs/>
                <w:color w:val="1A1A1A"/>
                <w:sz w:val="19"/>
                <w:szCs w:val="19"/>
              </w:rPr>
              <w:t xml:space="preserve">Delivery Agent</w:t>
            </w:r>
          </w:p>
        </w:tc>
        <w:tc>
          <w:tcPr>
            <w:tcW w:type="dxa" w:w="3400"/>
            <w:shd w:fill="F2F4F7" w:val="clear"/>
            <w:tcMar>
              <w:top w:type="dxa" w:w="90"/>
              <w:left w:type="dxa" w:w="120"/>
              <w:bottom w:type="dxa" w:w="90"/>
              <w:right w:type="dxa" w:w="120"/>
            </w:tcMar>
          </w:tcPr>
          <w:p>
            <w:pPr>
              <w:spacing w:after="0"/>
            </w:pPr>
            <w:r>
              <w:rPr>
                <w:color w:val="1A1A1A"/>
                <w:sz w:val="19"/>
                <w:szCs w:val="19"/>
              </w:rPr>
              <w:t xml:space="preserve">Field operations staff</w:t>
            </w:r>
          </w:p>
        </w:tc>
        <w:tc>
          <w:tcPr>
            <w:tcW w:type="dxa" w:w="4200"/>
            <w:shd w:fill="F2F4F7" w:val="clear"/>
            <w:tcMar>
              <w:top w:type="dxa" w:w="90"/>
              <w:left w:type="dxa" w:w="120"/>
              <w:bottom w:type="dxa" w:w="90"/>
              <w:right w:type="dxa" w:w="120"/>
            </w:tcMar>
          </w:tcPr>
          <w:p>
            <w:pPr>
              <w:spacing w:after="0"/>
            </w:pPr>
            <w:r>
              <w:rPr>
                <w:color w:val="1A1A1A"/>
                <w:sz w:val="19"/>
                <w:szCs w:val="19"/>
              </w:rPr>
              <w:t xml:space="preserve">Updates order status while fulfilling deliveries</w:t>
            </w:r>
          </w:p>
        </w:tc>
      </w:tr>
      <w:tr>
        <w:tc>
          <w:tcPr>
            <w:tcW w:type="dxa" w:w="2600"/>
            <w:tcMar>
              <w:top w:type="dxa" w:w="90"/>
              <w:left w:type="dxa" w:w="120"/>
              <w:bottom w:type="dxa" w:w="90"/>
              <w:right w:type="dxa" w:w="120"/>
            </w:tcMar>
          </w:tcPr>
          <w:p>
            <w:pPr>
              <w:spacing w:after="0"/>
            </w:pPr>
            <w:r>
              <w:rPr>
                <w:b/>
                <w:bCs/>
                <w:color w:val="1A1A1A"/>
                <w:sz w:val="19"/>
                <w:szCs w:val="19"/>
              </w:rPr>
              <w:t xml:space="preserve">Admin</w:t>
            </w:r>
          </w:p>
        </w:tc>
        <w:tc>
          <w:tcPr>
            <w:tcW w:type="dxa" w:w="3400"/>
            <w:tcMar>
              <w:top w:type="dxa" w:w="90"/>
              <w:left w:type="dxa" w:w="120"/>
              <w:bottom w:type="dxa" w:w="90"/>
              <w:right w:type="dxa" w:w="120"/>
            </w:tcMar>
          </w:tcPr>
          <w:p>
            <w:pPr>
              <w:spacing w:after="0"/>
            </w:pPr>
            <w:r>
              <w:rPr>
                <w:color w:val="1A1A1A"/>
                <w:sz w:val="19"/>
                <w:szCs w:val="19"/>
              </w:rPr>
              <w:t xml:space="preserve">Operations / logistics team</w:t>
            </w:r>
          </w:p>
        </w:tc>
        <w:tc>
          <w:tcPr>
            <w:tcW w:type="dxa" w:w="4200"/>
            <w:tcMar>
              <w:top w:type="dxa" w:w="90"/>
              <w:left w:type="dxa" w:w="120"/>
              <w:bottom w:type="dxa" w:w="90"/>
              <w:right w:type="dxa" w:w="120"/>
            </w:tcMar>
          </w:tcPr>
          <w:p>
            <w:pPr>
              <w:spacing w:after="0"/>
            </w:pPr>
            <w:r>
              <w:rPr>
                <w:color w:val="1A1A1A"/>
                <w:sz w:val="19"/>
                <w:szCs w:val="19"/>
              </w:rPr>
              <w:t xml:space="preserve">Configures zones, rates, surcharges; assigns agents; oversees all orders</w:t>
            </w:r>
          </w:p>
        </w:tc>
      </w:tr>
      <w:tr>
        <w:tc>
          <w:tcPr>
            <w:tcW w:type="dxa" w:w="2600"/>
            <w:shd w:fill="F2F4F7" w:val="clear"/>
            <w:tcMar>
              <w:top w:type="dxa" w:w="90"/>
              <w:left w:type="dxa" w:w="120"/>
              <w:bottom w:type="dxa" w:w="90"/>
              <w:right w:type="dxa" w:w="120"/>
            </w:tcMar>
          </w:tcPr>
          <w:p>
            <w:pPr>
              <w:spacing w:after="0"/>
            </w:pPr>
            <w:r>
              <w:rPr>
                <w:b/>
                <w:bCs/>
                <w:color w:val="1A1A1A"/>
                <w:sz w:val="19"/>
                <w:szCs w:val="19"/>
              </w:rPr>
              <w:t xml:space="preserve">Project Sponsor / Evaluator</w:t>
            </w:r>
          </w:p>
        </w:tc>
        <w:tc>
          <w:tcPr>
            <w:tcW w:type="dxa" w:w="3400"/>
            <w:shd w:fill="F2F4F7" w:val="clear"/>
            <w:tcMar>
              <w:top w:type="dxa" w:w="90"/>
              <w:left w:type="dxa" w:w="120"/>
              <w:bottom w:type="dxa" w:w="90"/>
              <w:right w:type="dxa" w:w="120"/>
            </w:tcMar>
          </w:tcPr>
          <w:p>
            <w:pPr>
              <w:spacing w:after="0"/>
            </w:pPr>
            <w:r>
              <w:rPr>
                <w:color w:val="1A1A1A"/>
                <w:sz w:val="19"/>
                <w:szCs w:val="19"/>
              </w:rPr>
              <w:t xml:space="preserve">Business owner / reviewer</w:t>
            </w:r>
          </w:p>
        </w:tc>
        <w:tc>
          <w:tcPr>
            <w:tcW w:type="dxa" w:w="4200"/>
            <w:shd w:fill="F2F4F7" w:val="clear"/>
            <w:tcMar>
              <w:top w:type="dxa" w:w="90"/>
              <w:left w:type="dxa" w:w="120"/>
              <w:bottom w:type="dxa" w:w="90"/>
              <w:right w:type="dxa" w:w="120"/>
            </w:tcMar>
          </w:tcPr>
          <w:p>
            <w:pPr>
              <w:spacing w:after="0"/>
            </w:pPr>
            <w:r>
              <w:rPr>
                <w:color w:val="1A1A1A"/>
                <w:sz w:val="19"/>
                <w:szCs w:val="19"/>
              </w:rPr>
              <w:t xml:space="preserve">Assesses system against business objectives and deliverables</w:t>
            </w:r>
          </w:p>
        </w:tc>
      </w:tr>
      <w:tr>
        <w:tc>
          <w:tcPr>
            <w:tcW w:type="dxa" w:w="2600"/>
            <w:tcMar>
              <w:top w:type="dxa" w:w="90"/>
              <w:left w:type="dxa" w:w="120"/>
              <w:bottom w:type="dxa" w:w="90"/>
              <w:right w:type="dxa" w:w="120"/>
            </w:tcMar>
          </w:tcPr>
          <w:p>
            <w:pPr>
              <w:spacing w:after="0"/>
            </w:pPr>
            <w:r>
              <w:rPr>
                <w:b/>
                <w:bCs/>
                <w:color w:val="1A1A1A"/>
                <w:sz w:val="19"/>
                <w:szCs w:val="19"/>
              </w:rPr>
              <w:t xml:space="preserve">Development Team</w:t>
            </w:r>
          </w:p>
        </w:tc>
        <w:tc>
          <w:tcPr>
            <w:tcW w:type="dxa" w:w="3400"/>
            <w:tcMar>
              <w:top w:type="dxa" w:w="90"/>
              <w:left w:type="dxa" w:w="120"/>
              <w:bottom w:type="dxa" w:w="90"/>
              <w:right w:type="dxa" w:w="120"/>
            </w:tcMar>
          </w:tcPr>
          <w:p>
            <w:pPr>
              <w:spacing w:after="0"/>
            </w:pPr>
            <w:r>
              <w:rPr>
                <w:color w:val="1A1A1A"/>
                <w:sz w:val="19"/>
                <w:szCs w:val="19"/>
              </w:rPr>
              <w:t xml:space="preserve">Engineering</w:t>
            </w:r>
          </w:p>
        </w:tc>
        <w:tc>
          <w:tcPr>
            <w:tcW w:type="dxa" w:w="4200"/>
            <w:tcMar>
              <w:top w:type="dxa" w:w="90"/>
              <w:left w:type="dxa" w:w="120"/>
              <w:bottom w:type="dxa" w:w="90"/>
              <w:right w:type="dxa" w:w="120"/>
            </w:tcMar>
          </w:tcPr>
          <w:p>
            <w:pPr>
              <w:spacing w:after="0"/>
            </w:pPr>
            <w:r>
              <w:rPr>
                <w:color w:val="1A1A1A"/>
                <w:sz w:val="19"/>
                <w:szCs w:val="19"/>
              </w:rPr>
              <w:t xml:space="preserve">Builds, tests, and deploys the platform per this BRD</w:t>
            </w:r>
          </w:p>
        </w:tc>
      </w:tr>
    </w:tbl>
    <w:p>
      <w:pPr>
        <w:spacing w:after="200"/>
      </w:pPr>
    </w:p>
    <w:p>
      <w:pPr>
        <w:pStyle w:val="Heading1"/>
        <w:pBdr>
          <w:bottom w:val="single" w:color="2E6E9E" w:sz="6" w:space="4"/>
        </w:pBdr>
        <w:spacing w:after="200" w:before="400"/>
      </w:pPr>
      <w:r>
        <w:rPr>
          <w:b/>
          <w:bCs/>
          <w:color w:val="1F3A5F"/>
          <w:sz w:val="30"/>
          <w:szCs w:val="30"/>
        </w:rPr>
        <w:t xml:space="preserve">5. Functional Requirements</w:t>
      </w:r>
    </w:p>
    <w:p>
      <w:pPr>
        <w:pStyle w:val="Heading2"/>
        <w:spacing w:after="120" w:before="300"/>
      </w:pPr>
      <w:r>
        <w:rPr>
          <w:b/>
          <w:bCs/>
          <w:color w:val="1F3A5F"/>
          <w:sz w:val="24"/>
          <w:szCs w:val="24"/>
        </w:rPr>
        <w:t xml:space="preserve">5.1 Authentication &amp; Roles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2500"/>
      </w:tblGrid>
      <w:tr>
        <w:trPr>
          <w:tblHeader/>
        </w:trPr>
        <w:tc>
          <w:tcPr>
            <w:tcW w:type="dxa" w:w="1000"/>
            <w:shd w:fill="1F3A5F" w:val="clear"/>
            <w:tcMar>
              <w:top w:type="dxa" w:w="90"/>
              <w:left w:type="dxa" w:w="120"/>
              <w:bottom w:type="dxa" w:w="90"/>
              <w:right w:type="dxa" w:w="120"/>
            </w:tcMar>
          </w:tcPr>
          <w:p>
            <w:r>
              <w:rPr>
                <w:b/>
                <w:bCs/>
                <w:color w:val="FFFFFF"/>
                <w:sz w:val="19"/>
                <w:szCs w:val="19"/>
              </w:rPr>
              <w:t xml:space="preserve">ID</w:t>
            </w:r>
          </w:p>
        </w:tc>
        <w:tc>
          <w:tcPr>
            <w:tcW w:type="dxa" w:w="6700"/>
            <w:shd w:fill="1F3A5F" w:val="clear"/>
            <w:tcMar>
              <w:top w:type="dxa" w:w="90"/>
              <w:left w:type="dxa" w:w="120"/>
              <w:bottom w:type="dxa" w:w="90"/>
              <w:right w:type="dxa" w:w="120"/>
            </w:tcMar>
          </w:tcPr>
          <w:p>
            <w:r>
              <w:rPr>
                <w:b/>
                <w:bCs/>
                <w:color w:val="FFFFFF"/>
                <w:sz w:val="19"/>
                <w:szCs w:val="19"/>
              </w:rPr>
              <w:t xml:space="preserve">Requirement</w:t>
            </w:r>
          </w:p>
        </w:tc>
        <w:tc>
          <w:tcPr>
            <w:tcW w:type="dxa" w:w="2500"/>
            <w:shd w:fill="1F3A5F" w:val="clear"/>
            <w:tcMar>
              <w:top w:type="dxa" w:w="90"/>
              <w:left w:type="dxa" w:w="120"/>
              <w:bottom w:type="dxa" w:w="90"/>
              <w:right w:type="dxa" w:w="120"/>
            </w:tcMar>
          </w:tcPr>
          <w:p>
            <w:r>
              <w:rPr>
                <w:b/>
                <w:bCs/>
                <w:color w:val="FFFFFF"/>
                <w:sz w:val="19"/>
                <w:szCs w:val="19"/>
              </w:rPr>
              <w:t xml:space="preserve">Priority</w:t>
            </w:r>
          </w:p>
        </w:tc>
      </w:tr>
      <w:tr>
        <w:tc>
          <w:tcPr>
            <w:tcW w:type="dxa" w:w="1000"/>
            <w:tcMar>
              <w:top w:type="dxa" w:w="90"/>
              <w:left w:type="dxa" w:w="120"/>
              <w:bottom w:type="dxa" w:w="90"/>
              <w:right w:type="dxa" w:w="120"/>
            </w:tcMar>
          </w:tcPr>
          <w:p>
            <w:pPr>
              <w:spacing w:after="0"/>
            </w:pPr>
            <w:r>
              <w:rPr>
                <w:b/>
                <w:bCs/>
                <w:color w:val="1A1A1A"/>
                <w:sz w:val="19"/>
                <w:szCs w:val="19"/>
              </w:rPr>
              <w:t xml:space="preserve">FR-1.1</w:t>
            </w:r>
          </w:p>
        </w:tc>
        <w:tc>
          <w:tcPr>
            <w:tcW w:type="dxa" w:w="6700"/>
            <w:tcMar>
              <w:top w:type="dxa" w:w="90"/>
              <w:left w:type="dxa" w:w="120"/>
              <w:bottom w:type="dxa" w:w="90"/>
              <w:right w:type="dxa" w:w="120"/>
            </w:tcMar>
          </w:tcPr>
          <w:p>
            <w:pPr>
              <w:spacing w:after="0"/>
            </w:pPr>
            <w:r>
              <w:rPr>
                <w:color w:val="1A1A1A"/>
                <w:sz w:val="19"/>
                <w:szCs w:val="19"/>
              </w:rPr>
              <w:t xml:space="preserve">System shall allow customers to self-register with name, email, phone, and password.</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FR-1.2</w:t>
            </w:r>
          </w:p>
        </w:tc>
        <w:tc>
          <w:tcPr>
            <w:tcW w:type="dxa" w:w="6700"/>
            <w:shd w:fill="F2F4F7" w:val="clear"/>
            <w:tcMar>
              <w:top w:type="dxa" w:w="90"/>
              <w:left w:type="dxa" w:w="120"/>
              <w:bottom w:type="dxa" w:w="90"/>
              <w:right w:type="dxa" w:w="120"/>
            </w:tcMar>
          </w:tcPr>
          <w:p>
            <w:pPr>
              <w:spacing w:after="0"/>
            </w:pPr>
            <w:r>
              <w:rPr>
                <w:color w:val="1A1A1A"/>
                <w:sz w:val="19"/>
                <w:szCs w:val="19"/>
              </w:rPr>
              <w:t xml:space="preserve">System shall authenticate users via login and issue a session/token scoped to their role.</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FR-1.3</w:t>
            </w:r>
          </w:p>
        </w:tc>
        <w:tc>
          <w:tcPr>
            <w:tcW w:type="dxa" w:w="6700"/>
            <w:tcMar>
              <w:top w:type="dxa" w:w="90"/>
              <w:left w:type="dxa" w:w="120"/>
              <w:bottom w:type="dxa" w:w="90"/>
              <w:right w:type="dxa" w:w="120"/>
            </w:tcMar>
          </w:tcPr>
          <w:p>
            <w:pPr>
              <w:spacing w:after="0"/>
            </w:pPr>
            <w:r>
              <w:rPr>
                <w:color w:val="1A1A1A"/>
                <w:sz w:val="19"/>
                <w:szCs w:val="19"/>
              </w:rPr>
              <w:t xml:space="preserve">System shall support three roles: Customer, Delivery Agent, Admin, each with distinct permissions.</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FR-1.4</w:t>
            </w:r>
          </w:p>
        </w:tc>
        <w:tc>
          <w:tcPr>
            <w:tcW w:type="dxa" w:w="6700"/>
            <w:shd w:fill="F2F4F7" w:val="clear"/>
            <w:tcMar>
              <w:top w:type="dxa" w:w="90"/>
              <w:left w:type="dxa" w:w="120"/>
              <w:bottom w:type="dxa" w:w="90"/>
              <w:right w:type="dxa" w:w="120"/>
            </w:tcMar>
          </w:tcPr>
          <w:p>
            <w:pPr>
              <w:spacing w:after="0"/>
            </w:pPr>
            <w:r>
              <w:rPr>
                <w:color w:val="1A1A1A"/>
                <w:sz w:val="19"/>
                <w:szCs w:val="19"/>
              </w:rPr>
              <w:t xml:space="preserve">Only Admin shall be able to create Delivery Agent and Admin accounts.</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bl>
    <w:p>
      <w:pPr>
        <w:pStyle w:val="Heading2"/>
        <w:spacing w:after="120" w:before="300"/>
      </w:pPr>
      <w:r>
        <w:rPr>
          <w:b/>
          <w:bCs/>
          <w:color w:val="1F3A5F"/>
          <w:sz w:val="24"/>
          <w:szCs w:val="24"/>
        </w:rPr>
        <w:t xml:space="preserve">5.2 Zone Management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2500"/>
      </w:tblGrid>
      <w:tr>
        <w:trPr>
          <w:tblHeader/>
        </w:trPr>
        <w:tc>
          <w:tcPr>
            <w:tcW w:type="dxa" w:w="1000"/>
            <w:shd w:fill="1F3A5F" w:val="clear"/>
            <w:tcMar>
              <w:top w:type="dxa" w:w="90"/>
              <w:left w:type="dxa" w:w="120"/>
              <w:bottom w:type="dxa" w:w="90"/>
              <w:right w:type="dxa" w:w="120"/>
            </w:tcMar>
          </w:tcPr>
          <w:p>
            <w:r>
              <w:rPr>
                <w:b/>
                <w:bCs/>
                <w:color w:val="FFFFFF"/>
                <w:sz w:val="19"/>
                <w:szCs w:val="19"/>
              </w:rPr>
              <w:t xml:space="preserve">ID</w:t>
            </w:r>
          </w:p>
        </w:tc>
        <w:tc>
          <w:tcPr>
            <w:tcW w:type="dxa" w:w="6700"/>
            <w:shd w:fill="1F3A5F" w:val="clear"/>
            <w:tcMar>
              <w:top w:type="dxa" w:w="90"/>
              <w:left w:type="dxa" w:w="120"/>
              <w:bottom w:type="dxa" w:w="90"/>
              <w:right w:type="dxa" w:w="120"/>
            </w:tcMar>
          </w:tcPr>
          <w:p>
            <w:r>
              <w:rPr>
                <w:b/>
                <w:bCs/>
                <w:color w:val="FFFFFF"/>
                <w:sz w:val="19"/>
                <w:szCs w:val="19"/>
              </w:rPr>
              <w:t xml:space="preserve">Requirement</w:t>
            </w:r>
          </w:p>
        </w:tc>
        <w:tc>
          <w:tcPr>
            <w:tcW w:type="dxa" w:w="2500"/>
            <w:shd w:fill="1F3A5F" w:val="clear"/>
            <w:tcMar>
              <w:top w:type="dxa" w:w="90"/>
              <w:left w:type="dxa" w:w="120"/>
              <w:bottom w:type="dxa" w:w="90"/>
              <w:right w:type="dxa" w:w="120"/>
            </w:tcMar>
          </w:tcPr>
          <w:p>
            <w:r>
              <w:rPr>
                <w:b/>
                <w:bCs/>
                <w:color w:val="FFFFFF"/>
                <w:sz w:val="19"/>
                <w:szCs w:val="19"/>
              </w:rPr>
              <w:t xml:space="preserve">Priority</w:t>
            </w:r>
          </w:p>
        </w:tc>
      </w:tr>
      <w:tr>
        <w:tc>
          <w:tcPr>
            <w:tcW w:type="dxa" w:w="1000"/>
            <w:tcMar>
              <w:top w:type="dxa" w:w="90"/>
              <w:left w:type="dxa" w:w="120"/>
              <w:bottom w:type="dxa" w:w="90"/>
              <w:right w:type="dxa" w:w="120"/>
            </w:tcMar>
          </w:tcPr>
          <w:p>
            <w:pPr>
              <w:spacing w:after="0"/>
            </w:pPr>
            <w:r>
              <w:rPr>
                <w:b/>
                <w:bCs/>
                <w:color w:val="1A1A1A"/>
                <w:sz w:val="19"/>
                <w:szCs w:val="19"/>
              </w:rPr>
              <w:t xml:space="preserve">FR-2.1</w:t>
            </w:r>
          </w:p>
        </w:tc>
        <w:tc>
          <w:tcPr>
            <w:tcW w:type="dxa" w:w="6700"/>
            <w:tcMar>
              <w:top w:type="dxa" w:w="90"/>
              <w:left w:type="dxa" w:w="120"/>
              <w:bottom w:type="dxa" w:w="90"/>
              <w:right w:type="dxa" w:w="120"/>
            </w:tcMar>
          </w:tcPr>
          <w:p>
            <w:pPr>
              <w:spacing w:after="0"/>
            </w:pPr>
            <w:r>
              <w:rPr>
                <w:color w:val="1A1A1A"/>
                <w:sz w:val="19"/>
                <w:szCs w:val="19"/>
              </w:rPr>
              <w:t xml:space="preserve">Admin shall be able to create, edit, and deactivate delivery zones.</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FR-2.2</w:t>
            </w:r>
          </w:p>
        </w:tc>
        <w:tc>
          <w:tcPr>
            <w:tcW w:type="dxa" w:w="6700"/>
            <w:shd w:fill="F2F4F7" w:val="clear"/>
            <w:tcMar>
              <w:top w:type="dxa" w:w="90"/>
              <w:left w:type="dxa" w:w="120"/>
              <w:bottom w:type="dxa" w:w="90"/>
              <w:right w:type="dxa" w:w="120"/>
            </w:tcMar>
          </w:tcPr>
          <w:p>
            <w:pPr>
              <w:spacing w:after="0"/>
            </w:pPr>
            <w:r>
              <w:rPr>
                <w:color w:val="1A1A1A"/>
                <w:sz w:val="19"/>
                <w:szCs w:val="19"/>
              </w:rPr>
              <w:t xml:space="preserve">Admin shall be able to map one or more pincodes/areas to a zone.</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FR-2.3</w:t>
            </w:r>
          </w:p>
        </w:tc>
        <w:tc>
          <w:tcPr>
            <w:tcW w:type="dxa" w:w="6700"/>
            <w:tcMar>
              <w:top w:type="dxa" w:w="90"/>
              <w:left w:type="dxa" w:w="120"/>
              <w:bottom w:type="dxa" w:w="90"/>
              <w:right w:type="dxa" w:w="120"/>
            </w:tcMar>
          </w:tcPr>
          <w:p>
            <w:pPr>
              <w:spacing w:after="0"/>
            </w:pPr>
            <w:r>
              <w:rPr>
                <w:color w:val="1A1A1A"/>
                <w:sz w:val="19"/>
                <w:szCs w:val="19"/>
              </w:rPr>
              <w:t xml:space="preserve">System shall automatically resolve pickup and drop zones from the pincode entered on an order.</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FR-2.4</w:t>
            </w:r>
          </w:p>
        </w:tc>
        <w:tc>
          <w:tcPr>
            <w:tcW w:type="dxa" w:w="6700"/>
            <w:shd w:fill="F2F4F7" w:val="clear"/>
            <w:tcMar>
              <w:top w:type="dxa" w:w="90"/>
              <w:left w:type="dxa" w:w="120"/>
              <w:bottom w:type="dxa" w:w="90"/>
              <w:right w:type="dxa" w:w="120"/>
            </w:tcMar>
          </w:tcPr>
          <w:p>
            <w:pPr>
              <w:spacing w:after="0"/>
            </w:pPr>
            <w:r>
              <w:rPr>
                <w:color w:val="1A1A1A"/>
                <w:sz w:val="19"/>
                <w:szCs w:val="19"/>
              </w:rPr>
              <w:t xml:space="preserve">System shall reject order creation if a pincode is not mapped to any zone, with a clear error.</w:t>
            </w:r>
          </w:p>
        </w:tc>
        <w:tc>
          <w:tcPr>
            <w:tcW w:type="dxa" w:w="2500"/>
            <w:shd w:fill="F2F4F7" w:val="clear"/>
            <w:tcMar>
              <w:top w:type="dxa" w:w="90"/>
              <w:left w:type="dxa" w:w="120"/>
              <w:bottom w:type="dxa" w:w="90"/>
              <w:right w:type="dxa" w:w="120"/>
            </w:tcMar>
          </w:tcPr>
          <w:p>
            <w:pPr>
              <w:spacing w:after="0"/>
            </w:pPr>
            <w:r>
              <w:rPr>
                <w:color w:val="1A1A1A"/>
                <w:sz w:val="19"/>
                <w:szCs w:val="19"/>
              </w:rPr>
              <w:t xml:space="preserve">Should</w:t>
            </w:r>
          </w:p>
        </w:tc>
      </w:tr>
    </w:tbl>
    <w:p>
      <w:pPr>
        <w:pStyle w:val="Heading2"/>
        <w:spacing w:after="120" w:before="300"/>
      </w:pPr>
      <w:r>
        <w:rPr>
          <w:b/>
          <w:bCs/>
          <w:color w:val="1F3A5F"/>
          <w:sz w:val="24"/>
          <w:szCs w:val="24"/>
        </w:rPr>
        <w:t xml:space="preserve">5.3 Rate &amp; Surcharge Configuration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2500"/>
      </w:tblGrid>
      <w:tr>
        <w:trPr>
          <w:tblHeader/>
        </w:trPr>
        <w:tc>
          <w:tcPr>
            <w:tcW w:type="dxa" w:w="1000"/>
            <w:shd w:fill="1F3A5F" w:val="clear"/>
            <w:tcMar>
              <w:top w:type="dxa" w:w="90"/>
              <w:left w:type="dxa" w:w="120"/>
              <w:bottom w:type="dxa" w:w="90"/>
              <w:right w:type="dxa" w:w="120"/>
            </w:tcMar>
          </w:tcPr>
          <w:p>
            <w:r>
              <w:rPr>
                <w:b/>
                <w:bCs/>
                <w:color w:val="FFFFFF"/>
                <w:sz w:val="19"/>
                <w:szCs w:val="19"/>
              </w:rPr>
              <w:t xml:space="preserve">ID</w:t>
            </w:r>
          </w:p>
        </w:tc>
        <w:tc>
          <w:tcPr>
            <w:tcW w:type="dxa" w:w="6700"/>
            <w:shd w:fill="1F3A5F" w:val="clear"/>
            <w:tcMar>
              <w:top w:type="dxa" w:w="90"/>
              <w:left w:type="dxa" w:w="120"/>
              <w:bottom w:type="dxa" w:w="90"/>
              <w:right w:type="dxa" w:w="120"/>
            </w:tcMar>
          </w:tcPr>
          <w:p>
            <w:r>
              <w:rPr>
                <w:b/>
                <w:bCs/>
                <w:color w:val="FFFFFF"/>
                <w:sz w:val="19"/>
                <w:szCs w:val="19"/>
              </w:rPr>
              <w:t xml:space="preserve">Requirement</w:t>
            </w:r>
          </w:p>
        </w:tc>
        <w:tc>
          <w:tcPr>
            <w:tcW w:type="dxa" w:w="2500"/>
            <w:shd w:fill="1F3A5F" w:val="clear"/>
            <w:tcMar>
              <w:top w:type="dxa" w:w="90"/>
              <w:left w:type="dxa" w:w="120"/>
              <w:bottom w:type="dxa" w:w="90"/>
              <w:right w:type="dxa" w:w="120"/>
            </w:tcMar>
          </w:tcPr>
          <w:p>
            <w:r>
              <w:rPr>
                <w:b/>
                <w:bCs/>
                <w:color w:val="FFFFFF"/>
                <w:sz w:val="19"/>
                <w:szCs w:val="19"/>
              </w:rPr>
              <w:t xml:space="preserve">Priority</w:t>
            </w:r>
          </w:p>
        </w:tc>
      </w:tr>
      <w:tr>
        <w:tc>
          <w:tcPr>
            <w:tcW w:type="dxa" w:w="1000"/>
            <w:tcMar>
              <w:top w:type="dxa" w:w="90"/>
              <w:left w:type="dxa" w:w="120"/>
              <w:bottom w:type="dxa" w:w="90"/>
              <w:right w:type="dxa" w:w="120"/>
            </w:tcMar>
          </w:tcPr>
          <w:p>
            <w:pPr>
              <w:spacing w:after="0"/>
            </w:pPr>
            <w:r>
              <w:rPr>
                <w:b/>
                <w:bCs/>
                <w:color w:val="1A1A1A"/>
                <w:sz w:val="19"/>
                <w:szCs w:val="19"/>
              </w:rPr>
              <w:t xml:space="preserve">FR-3.1</w:t>
            </w:r>
          </w:p>
        </w:tc>
        <w:tc>
          <w:tcPr>
            <w:tcW w:type="dxa" w:w="6700"/>
            <w:tcMar>
              <w:top w:type="dxa" w:w="90"/>
              <w:left w:type="dxa" w:w="120"/>
              <w:bottom w:type="dxa" w:w="90"/>
              <w:right w:type="dxa" w:w="120"/>
            </w:tcMar>
          </w:tcPr>
          <w:p>
            <w:pPr>
              <w:spacing w:after="0"/>
            </w:pPr>
            <w:r>
              <w:rPr>
                <w:color w:val="1A1A1A"/>
                <w:sz w:val="19"/>
                <w:szCs w:val="19"/>
              </w:rPr>
              <w:t xml:space="preserve">Admin shall configure rate cards separately for B2B and B2C order types.</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FR-3.2</w:t>
            </w:r>
          </w:p>
        </w:tc>
        <w:tc>
          <w:tcPr>
            <w:tcW w:type="dxa" w:w="6700"/>
            <w:shd w:fill="F2F4F7" w:val="clear"/>
            <w:tcMar>
              <w:top w:type="dxa" w:w="90"/>
              <w:left w:type="dxa" w:w="120"/>
              <w:bottom w:type="dxa" w:w="90"/>
              <w:right w:type="dxa" w:w="120"/>
            </w:tcMar>
          </w:tcPr>
          <w:p>
            <w:pPr>
              <w:spacing w:after="0"/>
            </w:pPr>
            <w:r>
              <w:rPr>
                <w:color w:val="1A1A1A"/>
                <w:sz w:val="19"/>
                <w:szCs w:val="19"/>
              </w:rPr>
              <w:t xml:space="preserve">Admin shall configure separate rates for intra-zone and inter-zone movement.</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FR-3.3</w:t>
            </w:r>
          </w:p>
        </w:tc>
        <w:tc>
          <w:tcPr>
            <w:tcW w:type="dxa" w:w="6700"/>
            <w:tcMar>
              <w:top w:type="dxa" w:w="90"/>
              <w:left w:type="dxa" w:w="120"/>
              <w:bottom w:type="dxa" w:w="90"/>
              <w:right w:type="dxa" w:w="120"/>
            </w:tcMar>
          </w:tcPr>
          <w:p>
            <w:pPr>
              <w:spacing w:after="0"/>
            </w:pPr>
            <w:r>
              <w:rPr>
                <w:color w:val="1A1A1A"/>
                <w:sz w:val="19"/>
                <w:szCs w:val="19"/>
              </w:rPr>
              <w:t xml:space="preserve">Admin shall configure a COD surcharge (flat or percentage) per order type.</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FR-3.4</w:t>
            </w:r>
          </w:p>
        </w:tc>
        <w:tc>
          <w:tcPr>
            <w:tcW w:type="dxa" w:w="6700"/>
            <w:shd w:fill="F2F4F7" w:val="clear"/>
            <w:tcMar>
              <w:top w:type="dxa" w:w="90"/>
              <w:left w:type="dxa" w:w="120"/>
              <w:bottom w:type="dxa" w:w="90"/>
              <w:right w:type="dxa" w:w="120"/>
            </w:tcMar>
          </w:tcPr>
          <w:p>
            <w:pPr>
              <w:spacing w:after="0"/>
            </w:pPr>
            <w:r>
              <w:rPr>
                <w:color w:val="1A1A1A"/>
                <w:sz w:val="19"/>
                <w:szCs w:val="19"/>
              </w:rPr>
              <w:t xml:space="preserve">Rate and surcharge values shall be fully admin-configurable; no rate shall be hardcoded in application code.</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FR-3.5</w:t>
            </w:r>
          </w:p>
        </w:tc>
        <w:tc>
          <w:tcPr>
            <w:tcW w:type="dxa" w:w="6700"/>
            <w:tcMar>
              <w:top w:type="dxa" w:w="90"/>
              <w:left w:type="dxa" w:w="120"/>
              <w:bottom w:type="dxa" w:w="90"/>
              <w:right w:type="dxa" w:w="120"/>
            </w:tcMar>
          </w:tcPr>
          <w:p>
            <w:pPr>
              <w:spacing w:after="0"/>
            </w:pPr>
            <w:r>
              <w:rPr>
                <w:color w:val="1A1A1A"/>
                <w:sz w:val="19"/>
                <w:szCs w:val="19"/>
              </w:rPr>
              <w:t xml:space="preserve">Changing a rate card shall not alter the charge already recorded on past orders (version history preserved).</w:t>
            </w:r>
          </w:p>
        </w:tc>
        <w:tc>
          <w:tcPr>
            <w:tcW w:type="dxa" w:w="2500"/>
            <w:tcMar>
              <w:top w:type="dxa" w:w="90"/>
              <w:left w:type="dxa" w:w="120"/>
              <w:bottom w:type="dxa" w:w="90"/>
              <w:right w:type="dxa" w:w="120"/>
            </w:tcMar>
          </w:tcPr>
          <w:p>
            <w:pPr>
              <w:spacing w:after="0"/>
            </w:pPr>
            <w:r>
              <w:rPr>
                <w:color w:val="1A1A1A"/>
                <w:sz w:val="19"/>
                <w:szCs w:val="19"/>
              </w:rPr>
              <w:t xml:space="preserve">Should</w:t>
            </w:r>
          </w:p>
        </w:tc>
      </w:tr>
    </w:tbl>
    <w:p>
      <w:pPr>
        <w:pStyle w:val="Heading2"/>
        <w:spacing w:after="120" w:before="300"/>
      </w:pPr>
      <w:r>
        <w:rPr>
          <w:b/>
          <w:bCs/>
          <w:color w:val="1F3A5F"/>
          <w:sz w:val="24"/>
          <w:szCs w:val="24"/>
        </w:rPr>
        <w:t xml:space="preserve">5.4 Order Creation &amp; Charge Calculation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2500"/>
      </w:tblGrid>
      <w:tr>
        <w:trPr>
          <w:tblHeader/>
        </w:trPr>
        <w:tc>
          <w:tcPr>
            <w:tcW w:type="dxa" w:w="1000"/>
            <w:shd w:fill="1F3A5F" w:val="clear"/>
            <w:tcMar>
              <w:top w:type="dxa" w:w="90"/>
              <w:left w:type="dxa" w:w="120"/>
              <w:bottom w:type="dxa" w:w="90"/>
              <w:right w:type="dxa" w:w="120"/>
            </w:tcMar>
          </w:tcPr>
          <w:p>
            <w:r>
              <w:rPr>
                <w:b/>
                <w:bCs/>
                <w:color w:val="FFFFFF"/>
                <w:sz w:val="19"/>
                <w:szCs w:val="19"/>
              </w:rPr>
              <w:t xml:space="preserve">ID</w:t>
            </w:r>
          </w:p>
        </w:tc>
        <w:tc>
          <w:tcPr>
            <w:tcW w:type="dxa" w:w="6700"/>
            <w:shd w:fill="1F3A5F" w:val="clear"/>
            <w:tcMar>
              <w:top w:type="dxa" w:w="90"/>
              <w:left w:type="dxa" w:w="120"/>
              <w:bottom w:type="dxa" w:w="90"/>
              <w:right w:type="dxa" w:w="120"/>
            </w:tcMar>
          </w:tcPr>
          <w:p>
            <w:r>
              <w:rPr>
                <w:b/>
                <w:bCs/>
                <w:color w:val="FFFFFF"/>
                <w:sz w:val="19"/>
                <w:szCs w:val="19"/>
              </w:rPr>
              <w:t xml:space="preserve">Requirement</w:t>
            </w:r>
          </w:p>
        </w:tc>
        <w:tc>
          <w:tcPr>
            <w:tcW w:type="dxa" w:w="2500"/>
            <w:shd w:fill="1F3A5F" w:val="clear"/>
            <w:tcMar>
              <w:top w:type="dxa" w:w="90"/>
              <w:left w:type="dxa" w:w="120"/>
              <w:bottom w:type="dxa" w:w="90"/>
              <w:right w:type="dxa" w:w="120"/>
            </w:tcMar>
          </w:tcPr>
          <w:p>
            <w:r>
              <w:rPr>
                <w:b/>
                <w:bCs/>
                <w:color w:val="FFFFFF"/>
                <w:sz w:val="19"/>
                <w:szCs w:val="19"/>
              </w:rPr>
              <w:t xml:space="preserve">Priority</w:t>
            </w:r>
          </w:p>
        </w:tc>
      </w:tr>
      <w:tr>
        <w:tc>
          <w:tcPr>
            <w:tcW w:type="dxa" w:w="1000"/>
            <w:tcMar>
              <w:top w:type="dxa" w:w="90"/>
              <w:left w:type="dxa" w:w="120"/>
              <w:bottom w:type="dxa" w:w="90"/>
              <w:right w:type="dxa" w:w="120"/>
            </w:tcMar>
          </w:tcPr>
          <w:p>
            <w:pPr>
              <w:spacing w:after="0"/>
            </w:pPr>
            <w:r>
              <w:rPr>
                <w:b/>
                <w:bCs/>
                <w:color w:val="1A1A1A"/>
                <w:sz w:val="19"/>
                <w:szCs w:val="19"/>
              </w:rPr>
              <w:t xml:space="preserve">FR-4.1</w:t>
            </w:r>
          </w:p>
        </w:tc>
        <w:tc>
          <w:tcPr>
            <w:tcW w:type="dxa" w:w="6700"/>
            <w:tcMar>
              <w:top w:type="dxa" w:w="90"/>
              <w:left w:type="dxa" w:w="120"/>
              <w:bottom w:type="dxa" w:w="90"/>
              <w:right w:type="dxa" w:w="120"/>
            </w:tcMar>
          </w:tcPr>
          <w:p>
            <w:pPr>
              <w:spacing w:after="0"/>
            </w:pPr>
            <w:r>
              <w:rPr>
                <w:color w:val="1A1A1A"/>
                <w:sz w:val="19"/>
                <w:szCs w:val="19"/>
              </w:rPr>
              <w:t xml:space="preserve">Customer shall be able to create an order with pickup/drop address, package dimensions (L×B×H), actual weight, order type (B2B/B2C), and payment type (Prepaid/COD).</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FR-4.2</w:t>
            </w:r>
          </w:p>
        </w:tc>
        <w:tc>
          <w:tcPr>
            <w:tcW w:type="dxa" w:w="6700"/>
            <w:shd w:fill="F2F4F7" w:val="clear"/>
            <w:tcMar>
              <w:top w:type="dxa" w:w="90"/>
              <w:left w:type="dxa" w:w="120"/>
              <w:bottom w:type="dxa" w:w="90"/>
              <w:right w:type="dxa" w:w="120"/>
            </w:tcMar>
          </w:tcPr>
          <w:p>
            <w:pPr>
              <w:spacing w:after="0"/>
            </w:pPr>
            <w:r>
              <w:rPr>
                <w:color w:val="1A1A1A"/>
                <w:sz w:val="19"/>
                <w:szCs w:val="19"/>
              </w:rPr>
              <w:t xml:space="preserve">Admin shall be able to create an order on behalf of a customer.</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FR-4.3</w:t>
            </w:r>
          </w:p>
        </w:tc>
        <w:tc>
          <w:tcPr>
            <w:tcW w:type="dxa" w:w="6700"/>
            <w:tcMar>
              <w:top w:type="dxa" w:w="90"/>
              <w:left w:type="dxa" w:w="120"/>
              <w:bottom w:type="dxa" w:w="90"/>
              <w:right w:type="dxa" w:w="120"/>
            </w:tcMar>
          </w:tcPr>
          <w:p>
            <w:pPr>
              <w:spacing w:after="0"/>
            </w:pPr>
            <w:r>
              <w:rPr>
                <w:color w:val="1A1A1A"/>
                <w:sz w:val="19"/>
                <w:szCs w:val="19"/>
              </w:rPr>
              <w:t xml:space="preserve">System shall calculate volumetric weight as (L × B × H) ÷ 5000.</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FR-4.4</w:t>
            </w:r>
          </w:p>
        </w:tc>
        <w:tc>
          <w:tcPr>
            <w:tcW w:type="dxa" w:w="6700"/>
            <w:shd w:fill="F2F4F7" w:val="clear"/>
            <w:tcMar>
              <w:top w:type="dxa" w:w="90"/>
              <w:left w:type="dxa" w:w="120"/>
              <w:bottom w:type="dxa" w:w="90"/>
              <w:right w:type="dxa" w:w="120"/>
            </w:tcMar>
          </w:tcPr>
          <w:p>
            <w:pPr>
              <w:spacing w:after="0"/>
            </w:pPr>
            <w:r>
              <w:rPr>
                <w:color w:val="1A1A1A"/>
                <w:sz w:val="19"/>
                <w:szCs w:val="19"/>
              </w:rPr>
              <w:t xml:space="preserve">System shall bill on the higher of actual weight vs. volumetric weight.</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FR-4.5</w:t>
            </w:r>
          </w:p>
        </w:tc>
        <w:tc>
          <w:tcPr>
            <w:tcW w:type="dxa" w:w="6700"/>
            <w:tcMar>
              <w:top w:type="dxa" w:w="90"/>
              <w:left w:type="dxa" w:w="120"/>
              <w:bottom w:type="dxa" w:w="90"/>
              <w:right w:type="dxa" w:w="120"/>
            </w:tcMar>
          </w:tcPr>
          <w:p>
            <w:pPr>
              <w:spacing w:after="0"/>
            </w:pPr>
            <w:r>
              <w:rPr>
                <w:color w:val="1A1A1A"/>
                <w:sz w:val="19"/>
                <w:szCs w:val="19"/>
              </w:rPr>
              <w:t xml:space="preserve">System shall apply the correct rate card based on order type and pickup/drop zone combination.</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FR-4.6</w:t>
            </w:r>
          </w:p>
        </w:tc>
        <w:tc>
          <w:tcPr>
            <w:tcW w:type="dxa" w:w="6700"/>
            <w:shd w:fill="F2F4F7" w:val="clear"/>
            <w:tcMar>
              <w:top w:type="dxa" w:w="90"/>
              <w:left w:type="dxa" w:w="120"/>
              <w:bottom w:type="dxa" w:w="90"/>
              <w:right w:type="dxa" w:w="120"/>
            </w:tcMar>
          </w:tcPr>
          <w:p>
            <w:pPr>
              <w:spacing w:after="0"/>
            </w:pPr>
            <w:r>
              <w:rPr>
                <w:color w:val="1A1A1A"/>
                <w:sz w:val="19"/>
                <w:szCs w:val="19"/>
              </w:rPr>
              <w:t xml:space="preserve">System shall add COD surcharge to the charge when payment type is COD.</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FR-4.7</w:t>
            </w:r>
          </w:p>
        </w:tc>
        <w:tc>
          <w:tcPr>
            <w:tcW w:type="dxa" w:w="6700"/>
            <w:tcMar>
              <w:top w:type="dxa" w:w="90"/>
              <w:left w:type="dxa" w:w="120"/>
              <w:bottom w:type="dxa" w:w="90"/>
              <w:right w:type="dxa" w:w="120"/>
            </w:tcMar>
          </w:tcPr>
          <w:p>
            <w:pPr>
              <w:spacing w:after="0"/>
            </w:pPr>
            <w:r>
              <w:rPr>
                <w:color w:val="1A1A1A"/>
                <w:sz w:val="19"/>
                <w:szCs w:val="19"/>
              </w:rPr>
              <w:t xml:space="preserve">System shall display the calculated charge to the customer before order confirmation.</w:t>
            </w:r>
          </w:p>
        </w:tc>
        <w:tc>
          <w:tcPr>
            <w:tcW w:type="dxa" w:w="2500"/>
            <w:tcMar>
              <w:top w:type="dxa" w:w="90"/>
              <w:left w:type="dxa" w:w="120"/>
              <w:bottom w:type="dxa" w:w="90"/>
              <w:right w:type="dxa" w:w="120"/>
            </w:tcMar>
          </w:tcPr>
          <w:p>
            <w:pPr>
              <w:spacing w:after="0"/>
            </w:pPr>
            <w:r>
              <w:rPr>
                <w:color w:val="1A1A1A"/>
                <w:sz w:val="19"/>
                <w:szCs w:val="19"/>
              </w:rPr>
              <w:t xml:space="preserve">Must</w:t>
            </w:r>
          </w:p>
        </w:tc>
      </w:tr>
    </w:tbl>
    <w:p>
      <w:pPr>
        <w:pStyle w:val="Heading2"/>
        <w:spacing w:after="120" w:before="300"/>
      </w:pPr>
      <w:r>
        <w:rPr>
          <w:b/>
          <w:bCs/>
          <w:color w:val="1F3A5F"/>
          <w:sz w:val="24"/>
          <w:szCs w:val="24"/>
        </w:rPr>
        <w:t xml:space="preserve">5.5 Agent Assignment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2500"/>
      </w:tblGrid>
      <w:tr>
        <w:trPr>
          <w:tblHeader/>
        </w:trPr>
        <w:tc>
          <w:tcPr>
            <w:tcW w:type="dxa" w:w="1000"/>
            <w:shd w:fill="1F3A5F" w:val="clear"/>
            <w:tcMar>
              <w:top w:type="dxa" w:w="90"/>
              <w:left w:type="dxa" w:w="120"/>
              <w:bottom w:type="dxa" w:w="90"/>
              <w:right w:type="dxa" w:w="120"/>
            </w:tcMar>
          </w:tcPr>
          <w:p>
            <w:r>
              <w:rPr>
                <w:b/>
                <w:bCs/>
                <w:color w:val="FFFFFF"/>
                <w:sz w:val="19"/>
                <w:szCs w:val="19"/>
              </w:rPr>
              <w:t xml:space="preserve">ID</w:t>
            </w:r>
          </w:p>
        </w:tc>
        <w:tc>
          <w:tcPr>
            <w:tcW w:type="dxa" w:w="6700"/>
            <w:shd w:fill="1F3A5F" w:val="clear"/>
            <w:tcMar>
              <w:top w:type="dxa" w:w="90"/>
              <w:left w:type="dxa" w:w="120"/>
              <w:bottom w:type="dxa" w:w="90"/>
              <w:right w:type="dxa" w:w="120"/>
            </w:tcMar>
          </w:tcPr>
          <w:p>
            <w:r>
              <w:rPr>
                <w:b/>
                <w:bCs/>
                <w:color w:val="FFFFFF"/>
                <w:sz w:val="19"/>
                <w:szCs w:val="19"/>
              </w:rPr>
              <w:t xml:space="preserve">Requirement</w:t>
            </w:r>
          </w:p>
        </w:tc>
        <w:tc>
          <w:tcPr>
            <w:tcW w:type="dxa" w:w="2500"/>
            <w:shd w:fill="1F3A5F" w:val="clear"/>
            <w:tcMar>
              <w:top w:type="dxa" w:w="90"/>
              <w:left w:type="dxa" w:w="120"/>
              <w:bottom w:type="dxa" w:w="90"/>
              <w:right w:type="dxa" w:w="120"/>
            </w:tcMar>
          </w:tcPr>
          <w:p>
            <w:r>
              <w:rPr>
                <w:b/>
                <w:bCs/>
                <w:color w:val="FFFFFF"/>
                <w:sz w:val="19"/>
                <w:szCs w:val="19"/>
              </w:rPr>
              <w:t xml:space="preserve">Priority</w:t>
            </w:r>
          </w:p>
        </w:tc>
      </w:tr>
      <w:tr>
        <w:tc>
          <w:tcPr>
            <w:tcW w:type="dxa" w:w="1000"/>
            <w:tcMar>
              <w:top w:type="dxa" w:w="90"/>
              <w:left w:type="dxa" w:w="120"/>
              <w:bottom w:type="dxa" w:w="90"/>
              <w:right w:type="dxa" w:w="120"/>
            </w:tcMar>
          </w:tcPr>
          <w:p>
            <w:pPr>
              <w:spacing w:after="0"/>
            </w:pPr>
            <w:r>
              <w:rPr>
                <w:b/>
                <w:bCs/>
                <w:color w:val="1A1A1A"/>
                <w:sz w:val="19"/>
                <w:szCs w:val="19"/>
              </w:rPr>
              <w:t xml:space="preserve">FR-5.1</w:t>
            </w:r>
          </w:p>
        </w:tc>
        <w:tc>
          <w:tcPr>
            <w:tcW w:type="dxa" w:w="6700"/>
            <w:tcMar>
              <w:top w:type="dxa" w:w="90"/>
              <w:left w:type="dxa" w:w="120"/>
              <w:bottom w:type="dxa" w:w="90"/>
              <w:right w:type="dxa" w:w="120"/>
            </w:tcMar>
          </w:tcPr>
          <w:p>
            <w:pPr>
              <w:spacing w:after="0"/>
            </w:pPr>
            <w:r>
              <w:rPr>
                <w:color w:val="1A1A1A"/>
                <w:sz w:val="19"/>
                <w:szCs w:val="19"/>
              </w:rPr>
              <w:t xml:space="preserve">Admin shall be able to manually assign a delivery agent to an order.</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FR-5.2</w:t>
            </w:r>
          </w:p>
        </w:tc>
        <w:tc>
          <w:tcPr>
            <w:tcW w:type="dxa" w:w="6700"/>
            <w:shd w:fill="F2F4F7" w:val="clear"/>
            <w:tcMar>
              <w:top w:type="dxa" w:w="90"/>
              <w:left w:type="dxa" w:w="120"/>
              <w:bottom w:type="dxa" w:w="90"/>
              <w:right w:type="dxa" w:w="120"/>
            </w:tcMar>
          </w:tcPr>
          <w:p>
            <w:pPr>
              <w:spacing w:after="0"/>
            </w:pPr>
            <w:r>
              <w:rPr>
                <w:color w:val="1A1A1A"/>
                <w:sz w:val="19"/>
                <w:szCs w:val="19"/>
              </w:rPr>
              <w:t xml:space="preserve">System shall support auto-assignment to the nearest available agent, using live location or zone as fallback.</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FR-5.3</w:t>
            </w:r>
          </w:p>
        </w:tc>
        <w:tc>
          <w:tcPr>
            <w:tcW w:type="dxa" w:w="6700"/>
            <w:tcMar>
              <w:top w:type="dxa" w:w="90"/>
              <w:left w:type="dxa" w:w="120"/>
              <w:bottom w:type="dxa" w:w="90"/>
              <w:right w:type="dxa" w:w="120"/>
            </w:tcMar>
          </w:tcPr>
          <w:p>
            <w:pPr>
              <w:spacing w:after="0"/>
            </w:pPr>
            <w:r>
              <w:rPr>
                <w:color w:val="1A1A1A"/>
                <w:sz w:val="19"/>
                <w:szCs w:val="19"/>
              </w:rPr>
              <w:t xml:space="preserve">System shall exclude agents at or above their maximum concurrent-order capacity from assignment.</w:t>
            </w:r>
          </w:p>
        </w:tc>
        <w:tc>
          <w:tcPr>
            <w:tcW w:type="dxa" w:w="2500"/>
            <w:tcMar>
              <w:top w:type="dxa" w:w="90"/>
              <w:left w:type="dxa" w:w="120"/>
              <w:bottom w:type="dxa" w:w="90"/>
              <w:right w:type="dxa" w:w="120"/>
            </w:tcMar>
          </w:tcPr>
          <w:p>
            <w:pPr>
              <w:spacing w:after="0"/>
            </w:pPr>
            <w:r>
              <w:rPr>
                <w:color w:val="1A1A1A"/>
                <w:sz w:val="19"/>
                <w:szCs w:val="19"/>
              </w:rPr>
              <w:t xml:space="preserve">Should</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FR-5.4</w:t>
            </w:r>
          </w:p>
        </w:tc>
        <w:tc>
          <w:tcPr>
            <w:tcW w:type="dxa" w:w="6700"/>
            <w:shd w:fill="F2F4F7" w:val="clear"/>
            <w:tcMar>
              <w:top w:type="dxa" w:w="90"/>
              <w:left w:type="dxa" w:w="120"/>
              <w:bottom w:type="dxa" w:w="90"/>
              <w:right w:type="dxa" w:w="120"/>
            </w:tcMar>
          </w:tcPr>
          <w:p>
            <w:pPr>
              <w:spacing w:after="0"/>
            </w:pPr>
            <w:r>
              <w:rPr>
                <w:color w:val="1A1A1A"/>
                <w:sz w:val="19"/>
                <w:szCs w:val="19"/>
              </w:rPr>
              <w:t xml:space="preserve">Every assignment and reassignment shall be logged with who/what performed it and when.</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bl>
    <w:p>
      <w:pPr>
        <w:pStyle w:val="Heading2"/>
        <w:spacing w:after="120" w:before="300"/>
      </w:pPr>
      <w:r>
        <w:rPr>
          <w:b/>
          <w:bCs/>
          <w:color w:val="1F3A5F"/>
          <w:sz w:val="24"/>
          <w:szCs w:val="24"/>
        </w:rPr>
        <w:t xml:space="preserve">5.6 Order Status &amp; Tracking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2500"/>
      </w:tblGrid>
      <w:tr>
        <w:trPr>
          <w:tblHeader/>
        </w:trPr>
        <w:tc>
          <w:tcPr>
            <w:tcW w:type="dxa" w:w="1000"/>
            <w:shd w:fill="1F3A5F" w:val="clear"/>
            <w:tcMar>
              <w:top w:type="dxa" w:w="90"/>
              <w:left w:type="dxa" w:w="120"/>
              <w:bottom w:type="dxa" w:w="90"/>
              <w:right w:type="dxa" w:w="120"/>
            </w:tcMar>
          </w:tcPr>
          <w:p>
            <w:r>
              <w:rPr>
                <w:b/>
                <w:bCs/>
                <w:color w:val="FFFFFF"/>
                <w:sz w:val="19"/>
                <w:szCs w:val="19"/>
              </w:rPr>
              <w:t xml:space="preserve">ID</w:t>
            </w:r>
          </w:p>
        </w:tc>
        <w:tc>
          <w:tcPr>
            <w:tcW w:type="dxa" w:w="6700"/>
            <w:shd w:fill="1F3A5F" w:val="clear"/>
            <w:tcMar>
              <w:top w:type="dxa" w:w="90"/>
              <w:left w:type="dxa" w:w="120"/>
              <w:bottom w:type="dxa" w:w="90"/>
              <w:right w:type="dxa" w:w="120"/>
            </w:tcMar>
          </w:tcPr>
          <w:p>
            <w:r>
              <w:rPr>
                <w:b/>
                <w:bCs/>
                <w:color w:val="FFFFFF"/>
                <w:sz w:val="19"/>
                <w:szCs w:val="19"/>
              </w:rPr>
              <w:t xml:space="preserve">Requirement</w:t>
            </w:r>
          </w:p>
        </w:tc>
        <w:tc>
          <w:tcPr>
            <w:tcW w:type="dxa" w:w="2500"/>
            <w:shd w:fill="1F3A5F" w:val="clear"/>
            <w:tcMar>
              <w:top w:type="dxa" w:w="90"/>
              <w:left w:type="dxa" w:w="120"/>
              <w:bottom w:type="dxa" w:w="90"/>
              <w:right w:type="dxa" w:w="120"/>
            </w:tcMar>
          </w:tcPr>
          <w:p>
            <w:r>
              <w:rPr>
                <w:b/>
                <w:bCs/>
                <w:color w:val="FFFFFF"/>
                <w:sz w:val="19"/>
                <w:szCs w:val="19"/>
              </w:rPr>
              <w:t xml:space="preserve">Priority</w:t>
            </w:r>
          </w:p>
        </w:tc>
      </w:tr>
      <w:tr>
        <w:tc>
          <w:tcPr>
            <w:tcW w:type="dxa" w:w="1000"/>
            <w:tcMar>
              <w:top w:type="dxa" w:w="90"/>
              <w:left w:type="dxa" w:w="120"/>
              <w:bottom w:type="dxa" w:w="90"/>
              <w:right w:type="dxa" w:w="120"/>
            </w:tcMar>
          </w:tcPr>
          <w:p>
            <w:pPr>
              <w:spacing w:after="0"/>
            </w:pPr>
            <w:r>
              <w:rPr>
                <w:b/>
                <w:bCs/>
                <w:color w:val="1A1A1A"/>
                <w:sz w:val="19"/>
                <w:szCs w:val="19"/>
              </w:rPr>
              <w:t xml:space="preserve">FR-6.1</w:t>
            </w:r>
          </w:p>
        </w:tc>
        <w:tc>
          <w:tcPr>
            <w:tcW w:type="dxa" w:w="6700"/>
            <w:tcMar>
              <w:top w:type="dxa" w:w="90"/>
              <w:left w:type="dxa" w:w="120"/>
              <w:bottom w:type="dxa" w:w="90"/>
              <w:right w:type="dxa" w:w="120"/>
            </w:tcMar>
          </w:tcPr>
          <w:p>
            <w:pPr>
              <w:spacing w:after="0"/>
            </w:pPr>
            <w:r>
              <w:rPr>
                <w:color w:val="1A1A1A"/>
                <w:sz w:val="19"/>
                <w:szCs w:val="19"/>
              </w:rPr>
              <w:t xml:space="preserve">Delivery agent shall be able to update order status: Picked Up, In Transit, Out for Delivery, Delivered, Failed.</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FR-6.2</w:t>
            </w:r>
          </w:p>
        </w:tc>
        <w:tc>
          <w:tcPr>
            <w:tcW w:type="dxa" w:w="6700"/>
            <w:shd w:fill="F2F4F7" w:val="clear"/>
            <w:tcMar>
              <w:top w:type="dxa" w:w="90"/>
              <w:left w:type="dxa" w:w="120"/>
              <w:bottom w:type="dxa" w:w="90"/>
              <w:right w:type="dxa" w:w="120"/>
            </w:tcMar>
          </w:tcPr>
          <w:p>
            <w:pPr>
              <w:spacing w:after="0"/>
            </w:pPr>
            <w:r>
              <w:rPr>
                <w:color w:val="1A1A1A"/>
                <w:sz w:val="19"/>
                <w:szCs w:val="19"/>
              </w:rPr>
              <w:t xml:space="preserve">Every status change shall be recorded immutably with timestamp and the actor who made the change.</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FR-6.3</w:t>
            </w:r>
          </w:p>
        </w:tc>
        <w:tc>
          <w:tcPr>
            <w:tcW w:type="dxa" w:w="6700"/>
            <w:tcMar>
              <w:top w:type="dxa" w:w="90"/>
              <w:left w:type="dxa" w:w="120"/>
              <w:bottom w:type="dxa" w:w="90"/>
              <w:right w:type="dxa" w:w="120"/>
            </w:tcMar>
          </w:tcPr>
          <w:p>
            <w:pPr>
              <w:spacing w:after="0"/>
            </w:pPr>
            <w:r>
              <w:rPr>
                <w:color w:val="1A1A1A"/>
                <w:sz w:val="19"/>
                <w:szCs w:val="19"/>
              </w:rPr>
              <w:t xml:space="preserve">Customer shall be able to view live order status and the full tracking timeline.</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FR-6.4</w:t>
            </w:r>
          </w:p>
        </w:tc>
        <w:tc>
          <w:tcPr>
            <w:tcW w:type="dxa" w:w="6700"/>
            <w:shd w:fill="F2F4F7" w:val="clear"/>
            <w:tcMar>
              <w:top w:type="dxa" w:w="90"/>
              <w:left w:type="dxa" w:w="120"/>
              <w:bottom w:type="dxa" w:w="90"/>
              <w:right w:type="dxa" w:w="120"/>
            </w:tcMar>
          </w:tcPr>
          <w:p>
            <w:pPr>
              <w:spacing w:after="0"/>
            </w:pPr>
            <w:r>
              <w:rPr>
                <w:color w:val="1A1A1A"/>
                <w:sz w:val="19"/>
                <w:szCs w:val="19"/>
              </w:rPr>
              <w:t xml:space="preserve">Admin shall be able to view all orders and filter by status, zone, and agent.</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FR-6.5</w:t>
            </w:r>
          </w:p>
        </w:tc>
        <w:tc>
          <w:tcPr>
            <w:tcW w:type="dxa" w:w="6700"/>
            <w:tcMar>
              <w:top w:type="dxa" w:w="90"/>
              <w:left w:type="dxa" w:w="120"/>
              <w:bottom w:type="dxa" w:w="90"/>
              <w:right w:type="dxa" w:w="120"/>
            </w:tcMar>
          </w:tcPr>
          <w:p>
            <w:pPr>
              <w:spacing w:after="0"/>
            </w:pPr>
            <w:r>
              <w:rPr>
                <w:color w:val="1A1A1A"/>
                <w:sz w:val="19"/>
                <w:szCs w:val="19"/>
              </w:rPr>
              <w:t xml:space="preserve">Admin shall be able to override any order's status, with the override logged like any other status change.</w:t>
            </w:r>
          </w:p>
        </w:tc>
        <w:tc>
          <w:tcPr>
            <w:tcW w:type="dxa" w:w="2500"/>
            <w:tcMar>
              <w:top w:type="dxa" w:w="90"/>
              <w:left w:type="dxa" w:w="120"/>
              <w:bottom w:type="dxa" w:w="90"/>
              <w:right w:type="dxa" w:w="120"/>
            </w:tcMar>
          </w:tcPr>
          <w:p>
            <w:pPr>
              <w:spacing w:after="0"/>
            </w:pPr>
            <w:r>
              <w:rPr>
                <w:color w:val="1A1A1A"/>
                <w:sz w:val="19"/>
                <w:szCs w:val="19"/>
              </w:rPr>
              <w:t xml:space="preserve">Must</w:t>
            </w:r>
          </w:p>
        </w:tc>
      </w:tr>
    </w:tbl>
    <w:p>
      <w:pPr>
        <w:pStyle w:val="Heading2"/>
        <w:spacing w:after="120" w:before="300"/>
      </w:pPr>
      <w:r>
        <w:rPr>
          <w:b/>
          <w:bCs/>
          <w:color w:val="1F3A5F"/>
          <w:sz w:val="24"/>
          <w:szCs w:val="24"/>
        </w:rPr>
        <w:t xml:space="preserve">5.7 Failed Delivery &amp; Reschedule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2500"/>
      </w:tblGrid>
      <w:tr>
        <w:trPr>
          <w:tblHeader/>
        </w:trPr>
        <w:tc>
          <w:tcPr>
            <w:tcW w:type="dxa" w:w="1000"/>
            <w:shd w:fill="1F3A5F" w:val="clear"/>
            <w:tcMar>
              <w:top w:type="dxa" w:w="90"/>
              <w:left w:type="dxa" w:w="120"/>
              <w:bottom w:type="dxa" w:w="90"/>
              <w:right w:type="dxa" w:w="120"/>
            </w:tcMar>
          </w:tcPr>
          <w:p>
            <w:r>
              <w:rPr>
                <w:b/>
                <w:bCs/>
                <w:color w:val="FFFFFF"/>
                <w:sz w:val="19"/>
                <w:szCs w:val="19"/>
              </w:rPr>
              <w:t xml:space="preserve">ID</w:t>
            </w:r>
          </w:p>
        </w:tc>
        <w:tc>
          <w:tcPr>
            <w:tcW w:type="dxa" w:w="6700"/>
            <w:shd w:fill="1F3A5F" w:val="clear"/>
            <w:tcMar>
              <w:top w:type="dxa" w:w="90"/>
              <w:left w:type="dxa" w:w="120"/>
              <w:bottom w:type="dxa" w:w="90"/>
              <w:right w:type="dxa" w:w="120"/>
            </w:tcMar>
          </w:tcPr>
          <w:p>
            <w:r>
              <w:rPr>
                <w:b/>
                <w:bCs/>
                <w:color w:val="FFFFFF"/>
                <w:sz w:val="19"/>
                <w:szCs w:val="19"/>
              </w:rPr>
              <w:t xml:space="preserve">Requirement</w:t>
            </w:r>
          </w:p>
        </w:tc>
        <w:tc>
          <w:tcPr>
            <w:tcW w:type="dxa" w:w="2500"/>
            <w:shd w:fill="1F3A5F" w:val="clear"/>
            <w:tcMar>
              <w:top w:type="dxa" w:w="90"/>
              <w:left w:type="dxa" w:w="120"/>
              <w:bottom w:type="dxa" w:w="90"/>
              <w:right w:type="dxa" w:w="120"/>
            </w:tcMar>
          </w:tcPr>
          <w:p>
            <w:r>
              <w:rPr>
                <w:b/>
                <w:bCs/>
                <w:color w:val="FFFFFF"/>
                <w:sz w:val="19"/>
                <w:szCs w:val="19"/>
              </w:rPr>
              <w:t xml:space="preserve">Priority</w:t>
            </w:r>
          </w:p>
        </w:tc>
      </w:tr>
      <w:tr>
        <w:tc>
          <w:tcPr>
            <w:tcW w:type="dxa" w:w="1000"/>
            <w:tcMar>
              <w:top w:type="dxa" w:w="90"/>
              <w:left w:type="dxa" w:w="120"/>
              <w:bottom w:type="dxa" w:w="90"/>
              <w:right w:type="dxa" w:w="120"/>
            </w:tcMar>
          </w:tcPr>
          <w:p>
            <w:pPr>
              <w:spacing w:after="0"/>
            </w:pPr>
            <w:r>
              <w:rPr>
                <w:b/>
                <w:bCs/>
                <w:color w:val="1A1A1A"/>
                <w:sz w:val="19"/>
                <w:szCs w:val="19"/>
              </w:rPr>
              <w:t xml:space="preserve">FR-7.1</w:t>
            </w:r>
          </w:p>
        </w:tc>
        <w:tc>
          <w:tcPr>
            <w:tcW w:type="dxa" w:w="6700"/>
            <w:tcMar>
              <w:top w:type="dxa" w:w="90"/>
              <w:left w:type="dxa" w:w="120"/>
              <w:bottom w:type="dxa" w:w="90"/>
              <w:right w:type="dxa" w:w="120"/>
            </w:tcMar>
          </w:tcPr>
          <w:p>
            <w:pPr>
              <w:spacing w:after="0"/>
            </w:pPr>
            <w:r>
              <w:rPr>
                <w:color w:val="1A1A1A"/>
                <w:sz w:val="19"/>
                <w:szCs w:val="19"/>
              </w:rPr>
              <w:t xml:space="preserve">On a Failed status, the customer shall be notified automatically.</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FR-7.2</w:t>
            </w:r>
          </w:p>
        </w:tc>
        <w:tc>
          <w:tcPr>
            <w:tcW w:type="dxa" w:w="6700"/>
            <w:shd w:fill="F2F4F7" w:val="clear"/>
            <w:tcMar>
              <w:top w:type="dxa" w:w="90"/>
              <w:left w:type="dxa" w:w="120"/>
              <w:bottom w:type="dxa" w:w="90"/>
              <w:right w:type="dxa" w:w="120"/>
            </w:tcMar>
          </w:tcPr>
          <w:p>
            <w:pPr>
              <w:spacing w:after="0"/>
            </w:pPr>
            <w:r>
              <w:rPr>
                <w:color w:val="1A1A1A"/>
                <w:sz w:val="19"/>
                <w:szCs w:val="19"/>
              </w:rPr>
              <w:t xml:space="preserve">Customer shall be able to select a new delivery date to reschedule a failed delivery.</w:t>
            </w:r>
          </w:p>
        </w:tc>
        <w:tc>
          <w:tcPr>
            <w:tcW w:type="dxa" w:w="2500"/>
            <w:shd w:fill="F2F4F7" w:val="clear"/>
            <w:tcMar>
              <w:top w:type="dxa" w:w="90"/>
              <w:left w:type="dxa" w:w="120"/>
              <w:bottom w:type="dxa" w:w="90"/>
              <w:right w:type="dxa" w:w="120"/>
            </w:tcMar>
          </w:tcPr>
          <w:p>
            <w:pPr>
              <w:spacing w:after="0"/>
            </w:pPr>
            <w:r>
              <w:rPr>
                <w:color w:val="1A1A1A"/>
                <w:sz w:val="19"/>
                <w:szCs w:val="19"/>
              </w:rPr>
              <w:t xml:space="preserve">Must</w:t>
            </w:r>
          </w:p>
        </w:tc>
      </w:tr>
      <w:tr>
        <w:tc>
          <w:tcPr>
            <w:tcW w:type="dxa" w:w="1000"/>
            <w:tcMar>
              <w:top w:type="dxa" w:w="90"/>
              <w:left w:type="dxa" w:w="120"/>
              <w:bottom w:type="dxa" w:w="90"/>
              <w:right w:type="dxa" w:w="120"/>
            </w:tcMar>
          </w:tcPr>
          <w:p>
            <w:pPr>
              <w:spacing w:after="0"/>
            </w:pPr>
            <w:r>
              <w:rPr>
                <w:b/>
                <w:bCs/>
                <w:color w:val="1A1A1A"/>
                <w:sz w:val="19"/>
                <w:szCs w:val="19"/>
              </w:rPr>
              <w:t xml:space="preserve">FR-7.3</w:t>
            </w:r>
          </w:p>
        </w:tc>
        <w:tc>
          <w:tcPr>
            <w:tcW w:type="dxa" w:w="6700"/>
            <w:tcMar>
              <w:top w:type="dxa" w:w="90"/>
              <w:left w:type="dxa" w:w="120"/>
              <w:bottom w:type="dxa" w:w="90"/>
              <w:right w:type="dxa" w:w="120"/>
            </w:tcMar>
          </w:tcPr>
          <w:p>
            <w:pPr>
              <w:spacing w:after="0"/>
            </w:pPr>
            <w:r>
              <w:rPr>
                <w:color w:val="1A1A1A"/>
                <w:sz w:val="19"/>
                <w:szCs w:val="19"/>
              </w:rPr>
              <w:t xml:space="preserve">System shall reassign a delivery agent for the rescheduled attempt.</w:t>
            </w:r>
          </w:p>
        </w:tc>
        <w:tc>
          <w:tcPr>
            <w:tcW w:type="dxa" w:w="2500"/>
            <w:tcMar>
              <w:top w:type="dxa" w:w="90"/>
              <w:left w:type="dxa" w:w="120"/>
              <w:bottom w:type="dxa" w:w="90"/>
              <w:right w:type="dxa" w:w="120"/>
            </w:tcMar>
          </w:tcPr>
          <w:p>
            <w:pPr>
              <w:spacing w:after="0"/>
            </w:pPr>
            <w:r>
              <w:rPr>
                <w:color w:val="1A1A1A"/>
                <w:sz w:val="19"/>
                <w:szCs w:val="19"/>
              </w:rPr>
              <w:t xml:space="preserve">Must</w:t>
            </w:r>
          </w:p>
        </w:tc>
      </w:tr>
    </w:tbl>
    <w:p>
      <w:pPr>
        <w:pStyle w:val="Heading2"/>
        <w:spacing w:after="120" w:before="300"/>
      </w:pPr>
      <w:r>
        <w:rPr>
          <w:b/>
          <w:bCs/>
          <w:color w:val="1F3A5F"/>
          <w:sz w:val="24"/>
          <w:szCs w:val="24"/>
        </w:rPr>
        <w:t xml:space="preserve">5.8 Notifications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2500"/>
      </w:tblGrid>
      <w:tr>
        <w:trPr>
          <w:tblHeader/>
        </w:trPr>
        <w:tc>
          <w:tcPr>
            <w:tcW w:type="dxa" w:w="1000"/>
            <w:shd w:fill="1F3A5F" w:val="clear"/>
            <w:tcMar>
              <w:top w:type="dxa" w:w="90"/>
              <w:left w:type="dxa" w:w="120"/>
              <w:bottom w:type="dxa" w:w="90"/>
              <w:right w:type="dxa" w:w="120"/>
            </w:tcMar>
          </w:tcPr>
          <w:p>
            <w:r>
              <w:rPr>
                <w:b/>
                <w:bCs/>
                <w:color w:val="FFFFFF"/>
                <w:sz w:val="19"/>
                <w:szCs w:val="19"/>
              </w:rPr>
              <w:t xml:space="preserve">ID</w:t>
            </w:r>
          </w:p>
        </w:tc>
        <w:tc>
          <w:tcPr>
            <w:tcW w:type="dxa" w:w="6700"/>
            <w:shd w:fill="1F3A5F" w:val="clear"/>
            <w:tcMar>
              <w:top w:type="dxa" w:w="90"/>
              <w:left w:type="dxa" w:w="120"/>
              <w:bottom w:type="dxa" w:w="90"/>
              <w:right w:type="dxa" w:w="120"/>
            </w:tcMar>
          </w:tcPr>
          <w:p>
            <w:r>
              <w:rPr>
                <w:b/>
                <w:bCs/>
                <w:color w:val="FFFFFF"/>
                <w:sz w:val="19"/>
                <w:szCs w:val="19"/>
              </w:rPr>
              <w:t xml:space="preserve">Requirement</w:t>
            </w:r>
          </w:p>
        </w:tc>
        <w:tc>
          <w:tcPr>
            <w:tcW w:type="dxa" w:w="2500"/>
            <w:shd w:fill="1F3A5F" w:val="clear"/>
            <w:tcMar>
              <w:top w:type="dxa" w:w="90"/>
              <w:left w:type="dxa" w:w="120"/>
              <w:bottom w:type="dxa" w:w="90"/>
              <w:right w:type="dxa" w:w="120"/>
            </w:tcMar>
          </w:tcPr>
          <w:p>
            <w:r>
              <w:rPr>
                <w:b/>
                <w:bCs/>
                <w:color w:val="FFFFFF"/>
                <w:sz w:val="19"/>
                <w:szCs w:val="19"/>
              </w:rPr>
              <w:t xml:space="preserve">Priority</w:t>
            </w:r>
          </w:p>
        </w:tc>
      </w:tr>
      <w:tr>
        <w:tc>
          <w:tcPr>
            <w:tcW w:type="dxa" w:w="1000"/>
            <w:tcMar>
              <w:top w:type="dxa" w:w="90"/>
              <w:left w:type="dxa" w:w="120"/>
              <w:bottom w:type="dxa" w:w="90"/>
              <w:right w:type="dxa" w:w="120"/>
            </w:tcMar>
          </w:tcPr>
          <w:p>
            <w:pPr>
              <w:spacing w:after="0"/>
            </w:pPr>
            <w:r>
              <w:rPr>
                <w:b/>
                <w:bCs/>
                <w:color w:val="1A1A1A"/>
                <w:sz w:val="19"/>
                <w:szCs w:val="19"/>
              </w:rPr>
              <w:t xml:space="preserve">FR-8.1</w:t>
            </w:r>
          </w:p>
        </w:tc>
        <w:tc>
          <w:tcPr>
            <w:tcW w:type="dxa" w:w="6700"/>
            <w:tcMar>
              <w:top w:type="dxa" w:w="90"/>
              <w:left w:type="dxa" w:w="120"/>
              <w:bottom w:type="dxa" w:w="90"/>
              <w:right w:type="dxa" w:w="120"/>
            </w:tcMar>
          </w:tcPr>
          <w:p>
            <w:pPr>
              <w:spacing w:after="0"/>
            </w:pPr>
            <w:r>
              <w:rPr>
                <w:color w:val="1A1A1A"/>
                <w:sz w:val="19"/>
                <w:szCs w:val="19"/>
              </w:rPr>
              <w:t xml:space="preserve">System shall send an email notification to the customer on every order status change.</w:t>
            </w:r>
          </w:p>
        </w:tc>
        <w:tc>
          <w:tcPr>
            <w:tcW w:type="dxa" w:w="2500"/>
            <w:tcMar>
              <w:top w:type="dxa" w:w="90"/>
              <w:left w:type="dxa" w:w="120"/>
              <w:bottom w:type="dxa" w:w="90"/>
              <w:right w:type="dxa" w:w="120"/>
            </w:tcMar>
          </w:tcPr>
          <w:p>
            <w:pPr>
              <w:spacing w:after="0"/>
            </w:pPr>
            <w:r>
              <w:rPr>
                <w:color w:val="1A1A1A"/>
                <w:sz w:val="19"/>
                <w:szCs w:val="19"/>
              </w:rPr>
              <w:t xml:space="preserve">Must</w:t>
            </w:r>
          </w:p>
        </w:tc>
      </w:tr>
      <w:tr>
        <w:tc>
          <w:tcPr>
            <w:tcW w:type="dxa" w:w="1000"/>
            <w:shd w:fill="F2F4F7" w:val="clear"/>
            <w:tcMar>
              <w:top w:type="dxa" w:w="90"/>
              <w:left w:type="dxa" w:w="120"/>
              <w:bottom w:type="dxa" w:w="90"/>
              <w:right w:type="dxa" w:w="120"/>
            </w:tcMar>
          </w:tcPr>
          <w:p>
            <w:pPr>
              <w:spacing w:after="0"/>
            </w:pPr>
            <w:r>
              <w:rPr>
                <w:b/>
                <w:bCs/>
                <w:color w:val="1A1A1A"/>
                <w:sz w:val="19"/>
                <w:szCs w:val="19"/>
              </w:rPr>
              <w:t xml:space="preserve">FR-8.2</w:t>
            </w:r>
          </w:p>
        </w:tc>
        <w:tc>
          <w:tcPr>
            <w:tcW w:type="dxa" w:w="6700"/>
            <w:shd w:fill="F2F4F7" w:val="clear"/>
            <w:tcMar>
              <w:top w:type="dxa" w:w="90"/>
              <w:left w:type="dxa" w:w="120"/>
              <w:bottom w:type="dxa" w:w="90"/>
              <w:right w:type="dxa" w:w="120"/>
            </w:tcMar>
          </w:tcPr>
          <w:p>
            <w:pPr>
              <w:spacing w:after="0"/>
            </w:pPr>
            <w:r>
              <w:rPr>
                <w:color w:val="1A1A1A"/>
                <w:sz w:val="19"/>
                <w:szCs w:val="19"/>
              </w:rPr>
              <w:t xml:space="preserve">Notification delivery shall be logged (sent/failed) without blocking or rolling back the order transaction.</w:t>
            </w:r>
          </w:p>
        </w:tc>
        <w:tc>
          <w:tcPr>
            <w:tcW w:type="dxa" w:w="2500"/>
            <w:shd w:fill="F2F4F7" w:val="clear"/>
            <w:tcMar>
              <w:top w:type="dxa" w:w="90"/>
              <w:left w:type="dxa" w:w="120"/>
              <w:bottom w:type="dxa" w:w="90"/>
              <w:right w:type="dxa" w:w="120"/>
            </w:tcMar>
          </w:tcPr>
          <w:p>
            <w:pPr>
              <w:spacing w:after="0"/>
            </w:pPr>
            <w:r>
              <w:rPr>
                <w:color w:val="1A1A1A"/>
                <w:sz w:val="19"/>
                <w:szCs w:val="19"/>
              </w:rPr>
              <w:t xml:space="preserve">Should</w:t>
            </w:r>
          </w:p>
        </w:tc>
      </w:tr>
    </w:tbl>
    <w:p>
      <w:pPr>
        <w:pStyle w:val="Heading1"/>
        <w:pBdr>
          <w:bottom w:val="single" w:color="2E6E9E" w:sz="6" w:space="4"/>
        </w:pBdr>
        <w:spacing w:after="200" w:before="400"/>
      </w:pPr>
      <w:r>
        <w:rPr>
          <w:b/>
          <w:bCs/>
          <w:color w:val="1F3A5F"/>
          <w:sz w:val="30"/>
          <w:szCs w:val="30"/>
        </w:rPr>
        <w:t xml:space="preserve">6. Non-Functional Requirements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600"/>
      </w:tblGrid>
      <w:tr>
        <w:trPr>
          <w:tblHeader/>
        </w:trPr>
        <w:tc>
          <w:tcPr>
            <w:tcW w:type="dxa" w:w="1400"/>
            <w:shd w:fill="1F3A5F" w:val="clear"/>
            <w:tcMar>
              <w:top w:type="dxa" w:w="90"/>
              <w:left w:type="dxa" w:w="120"/>
              <w:bottom w:type="dxa" w:w="90"/>
              <w:right w:type="dxa" w:w="120"/>
            </w:tcMar>
          </w:tcPr>
          <w:p>
            <w:r>
              <w:rPr>
                <w:b/>
                <w:bCs/>
                <w:color w:val="FFFFFF"/>
                <w:sz w:val="19"/>
                <w:szCs w:val="19"/>
              </w:rPr>
              <w:t xml:space="preserve">ID</w:t>
            </w:r>
          </w:p>
        </w:tc>
        <w:tc>
          <w:tcPr>
            <w:tcW w:type="dxa" w:w="2200"/>
            <w:shd w:fill="1F3A5F" w:val="clear"/>
            <w:tcMar>
              <w:top w:type="dxa" w:w="90"/>
              <w:left w:type="dxa" w:w="120"/>
              <w:bottom w:type="dxa" w:w="90"/>
              <w:right w:type="dxa" w:w="120"/>
            </w:tcMar>
          </w:tcPr>
          <w:p>
            <w:r>
              <w:rPr>
                <w:b/>
                <w:bCs/>
                <w:color w:val="FFFFFF"/>
                <w:sz w:val="19"/>
                <w:szCs w:val="19"/>
              </w:rPr>
              <w:t xml:space="preserve">Category</w:t>
            </w:r>
          </w:p>
        </w:tc>
        <w:tc>
          <w:tcPr>
            <w:tcW w:type="dxa" w:w="6600"/>
            <w:shd w:fill="1F3A5F" w:val="clear"/>
            <w:tcMar>
              <w:top w:type="dxa" w:w="90"/>
              <w:left w:type="dxa" w:w="120"/>
              <w:bottom w:type="dxa" w:w="90"/>
              <w:right w:type="dxa" w:w="120"/>
            </w:tcMar>
          </w:tcPr>
          <w:p>
            <w:r>
              <w:rPr>
                <w:b/>
                <w:bCs/>
                <w:color w:val="FFFFFF"/>
                <w:sz w:val="19"/>
                <w:szCs w:val="19"/>
              </w:rPr>
              <w:t xml:space="preserve">Requirement</w:t>
            </w:r>
          </w:p>
        </w:tc>
      </w:tr>
      <w:tr>
        <w:tc>
          <w:tcPr>
            <w:tcW w:type="dxa" w:w="1400"/>
            <w:tcMar>
              <w:top w:type="dxa" w:w="90"/>
              <w:left w:type="dxa" w:w="120"/>
              <w:bottom w:type="dxa" w:w="90"/>
              <w:right w:type="dxa" w:w="120"/>
            </w:tcMar>
          </w:tcPr>
          <w:p>
            <w:pPr>
              <w:spacing w:after="0"/>
            </w:pPr>
            <w:r>
              <w:rPr>
                <w:b/>
                <w:bCs/>
                <w:color w:val="1A1A1A"/>
                <w:sz w:val="19"/>
                <w:szCs w:val="19"/>
              </w:rPr>
              <w:t xml:space="preserve">NFR-1</w:t>
            </w:r>
          </w:p>
        </w:tc>
        <w:tc>
          <w:tcPr>
            <w:tcW w:type="dxa" w:w="2200"/>
            <w:tcMar>
              <w:top w:type="dxa" w:w="90"/>
              <w:left w:type="dxa" w:w="120"/>
              <w:bottom w:type="dxa" w:w="90"/>
              <w:right w:type="dxa" w:w="120"/>
            </w:tcMar>
          </w:tcPr>
          <w:p>
            <w:pPr>
              <w:spacing w:after="0"/>
            </w:pPr>
            <w:r>
              <w:rPr>
                <w:b/>
                <w:bCs/>
                <w:color w:val="1A1A1A"/>
                <w:sz w:val="19"/>
                <w:szCs w:val="19"/>
              </w:rPr>
              <w:t xml:space="preserve">Security</w:t>
            </w:r>
          </w:p>
        </w:tc>
        <w:tc>
          <w:tcPr>
            <w:tcW w:type="dxa" w:w="6600"/>
            <w:tcMar>
              <w:top w:type="dxa" w:w="90"/>
              <w:left w:type="dxa" w:w="120"/>
              <w:bottom w:type="dxa" w:w="90"/>
              <w:right w:type="dxa" w:w="120"/>
            </w:tcMar>
          </w:tcPr>
          <w:p>
            <w:pPr>
              <w:spacing w:after="0"/>
            </w:pPr>
            <w:r>
              <w:rPr>
                <w:color w:val="1A1A1A"/>
                <w:sz w:val="19"/>
                <w:szCs w:val="19"/>
              </w:rPr>
              <w:t xml:space="preserve">Role-based access control enforced at the API layer; passwords stored hashed, never in plaintext.</w:t>
            </w:r>
          </w:p>
        </w:tc>
      </w:tr>
      <w:tr>
        <w:tc>
          <w:tcPr>
            <w:tcW w:type="dxa" w:w="1400"/>
            <w:shd w:fill="F2F4F7" w:val="clear"/>
            <w:tcMar>
              <w:top w:type="dxa" w:w="90"/>
              <w:left w:type="dxa" w:w="120"/>
              <w:bottom w:type="dxa" w:w="90"/>
              <w:right w:type="dxa" w:w="120"/>
            </w:tcMar>
          </w:tcPr>
          <w:p>
            <w:pPr>
              <w:spacing w:after="0"/>
            </w:pPr>
            <w:r>
              <w:rPr>
                <w:b/>
                <w:bCs/>
                <w:color w:val="1A1A1A"/>
                <w:sz w:val="19"/>
                <w:szCs w:val="19"/>
              </w:rPr>
              <w:t xml:space="preserve">NFR-2</w:t>
            </w:r>
          </w:p>
        </w:tc>
        <w:tc>
          <w:tcPr>
            <w:tcW w:type="dxa" w:w="2200"/>
            <w:shd w:fill="F2F4F7" w:val="clear"/>
            <w:tcMar>
              <w:top w:type="dxa" w:w="90"/>
              <w:left w:type="dxa" w:w="120"/>
              <w:bottom w:type="dxa" w:w="90"/>
              <w:right w:type="dxa" w:w="120"/>
            </w:tcMar>
          </w:tcPr>
          <w:p>
            <w:pPr>
              <w:spacing w:after="0"/>
            </w:pPr>
            <w:r>
              <w:rPr>
                <w:b/>
                <w:bCs/>
                <w:color w:val="1A1A1A"/>
                <w:sz w:val="19"/>
                <w:szCs w:val="19"/>
              </w:rPr>
              <w:t xml:space="preserve">Auditability</w:t>
            </w:r>
          </w:p>
        </w:tc>
        <w:tc>
          <w:tcPr>
            <w:tcW w:type="dxa" w:w="6600"/>
            <w:shd w:fill="F2F4F7" w:val="clear"/>
            <w:tcMar>
              <w:top w:type="dxa" w:w="90"/>
              <w:left w:type="dxa" w:w="120"/>
              <w:bottom w:type="dxa" w:w="90"/>
              <w:right w:type="dxa" w:w="120"/>
            </w:tcMar>
          </w:tcPr>
          <w:p>
            <w:pPr>
              <w:spacing w:after="0"/>
            </w:pPr>
            <w:r>
              <w:rPr>
                <w:color w:val="1A1A1A"/>
                <w:sz w:val="19"/>
                <w:szCs w:val="19"/>
              </w:rPr>
              <w:t xml:space="preserve">Status history and assignment history are append-only and cannot be edited or deleted, including by Admin.</w:t>
            </w:r>
          </w:p>
        </w:tc>
      </w:tr>
      <w:tr>
        <w:tc>
          <w:tcPr>
            <w:tcW w:type="dxa" w:w="1400"/>
            <w:tcMar>
              <w:top w:type="dxa" w:w="90"/>
              <w:left w:type="dxa" w:w="120"/>
              <w:bottom w:type="dxa" w:w="90"/>
              <w:right w:type="dxa" w:w="120"/>
            </w:tcMar>
          </w:tcPr>
          <w:p>
            <w:pPr>
              <w:spacing w:after="0"/>
            </w:pPr>
            <w:r>
              <w:rPr>
                <w:b/>
                <w:bCs/>
                <w:color w:val="1A1A1A"/>
                <w:sz w:val="19"/>
                <w:szCs w:val="19"/>
              </w:rPr>
              <w:t xml:space="preserve">NFR-3</w:t>
            </w:r>
          </w:p>
        </w:tc>
        <w:tc>
          <w:tcPr>
            <w:tcW w:type="dxa" w:w="2200"/>
            <w:tcMar>
              <w:top w:type="dxa" w:w="90"/>
              <w:left w:type="dxa" w:w="120"/>
              <w:bottom w:type="dxa" w:w="90"/>
              <w:right w:type="dxa" w:w="120"/>
            </w:tcMar>
          </w:tcPr>
          <w:p>
            <w:pPr>
              <w:spacing w:after="0"/>
            </w:pPr>
            <w:r>
              <w:rPr>
                <w:b/>
                <w:bCs/>
                <w:color w:val="1A1A1A"/>
                <w:sz w:val="19"/>
                <w:szCs w:val="19"/>
              </w:rPr>
              <w:t xml:space="preserve">Configurability</w:t>
            </w:r>
          </w:p>
        </w:tc>
        <w:tc>
          <w:tcPr>
            <w:tcW w:type="dxa" w:w="6600"/>
            <w:tcMar>
              <w:top w:type="dxa" w:w="90"/>
              <w:left w:type="dxa" w:w="120"/>
              <w:bottom w:type="dxa" w:w="90"/>
              <w:right w:type="dxa" w:w="120"/>
            </w:tcMar>
          </w:tcPr>
          <w:p>
            <w:pPr>
              <w:spacing w:after="0"/>
            </w:pPr>
            <w:r>
              <w:rPr>
                <w:color w:val="1A1A1A"/>
                <w:sz w:val="19"/>
                <w:szCs w:val="19"/>
              </w:rPr>
              <w:t xml:space="preserve">Zones, rate cards, and COD surcharge must be changeable by Admin without a code deployment.</w:t>
            </w:r>
          </w:p>
        </w:tc>
      </w:tr>
      <w:tr>
        <w:tc>
          <w:tcPr>
            <w:tcW w:type="dxa" w:w="1400"/>
            <w:shd w:fill="F2F4F7" w:val="clear"/>
            <w:tcMar>
              <w:top w:type="dxa" w:w="90"/>
              <w:left w:type="dxa" w:w="120"/>
              <w:bottom w:type="dxa" w:w="90"/>
              <w:right w:type="dxa" w:w="120"/>
            </w:tcMar>
          </w:tcPr>
          <w:p>
            <w:pPr>
              <w:spacing w:after="0"/>
            </w:pPr>
            <w:r>
              <w:rPr>
                <w:b/>
                <w:bCs/>
                <w:color w:val="1A1A1A"/>
                <w:sz w:val="19"/>
                <w:szCs w:val="19"/>
              </w:rPr>
              <w:t xml:space="preserve">NFR-4</w:t>
            </w:r>
          </w:p>
        </w:tc>
        <w:tc>
          <w:tcPr>
            <w:tcW w:type="dxa" w:w="2200"/>
            <w:shd w:fill="F2F4F7" w:val="clear"/>
            <w:tcMar>
              <w:top w:type="dxa" w:w="90"/>
              <w:left w:type="dxa" w:w="120"/>
              <w:bottom w:type="dxa" w:w="90"/>
              <w:right w:type="dxa" w:w="120"/>
            </w:tcMar>
          </w:tcPr>
          <w:p>
            <w:pPr>
              <w:spacing w:after="0"/>
            </w:pPr>
            <w:r>
              <w:rPr>
                <w:b/>
                <w:bCs/>
                <w:color w:val="1A1A1A"/>
                <w:sz w:val="19"/>
                <w:szCs w:val="19"/>
              </w:rPr>
              <w:t xml:space="preserve">Reliability</w:t>
            </w:r>
          </w:p>
        </w:tc>
        <w:tc>
          <w:tcPr>
            <w:tcW w:type="dxa" w:w="6600"/>
            <w:shd w:fill="F2F4F7" w:val="clear"/>
            <w:tcMar>
              <w:top w:type="dxa" w:w="90"/>
              <w:left w:type="dxa" w:w="120"/>
              <w:bottom w:type="dxa" w:w="90"/>
              <w:right w:type="dxa" w:w="120"/>
            </w:tcMar>
          </w:tcPr>
          <w:p>
            <w:pPr>
              <w:spacing w:after="0"/>
            </w:pPr>
            <w:r>
              <w:rPr>
                <w:color w:val="1A1A1A"/>
                <w:sz w:val="19"/>
                <w:szCs w:val="19"/>
              </w:rPr>
              <w:t xml:space="preserve">Core order flow (creation, status update) must not fail or roll back due to a notification-delivery failure.</w:t>
            </w:r>
          </w:p>
        </w:tc>
      </w:tr>
      <w:tr>
        <w:tc>
          <w:tcPr>
            <w:tcW w:type="dxa" w:w="1400"/>
            <w:tcMar>
              <w:top w:type="dxa" w:w="90"/>
              <w:left w:type="dxa" w:w="120"/>
              <w:bottom w:type="dxa" w:w="90"/>
              <w:right w:type="dxa" w:w="120"/>
            </w:tcMar>
          </w:tcPr>
          <w:p>
            <w:pPr>
              <w:spacing w:after="0"/>
            </w:pPr>
            <w:r>
              <w:rPr>
                <w:b/>
                <w:bCs/>
                <w:color w:val="1A1A1A"/>
                <w:sz w:val="19"/>
                <w:szCs w:val="19"/>
              </w:rPr>
              <w:t xml:space="preserve">NFR-5</w:t>
            </w:r>
          </w:p>
        </w:tc>
        <w:tc>
          <w:tcPr>
            <w:tcW w:type="dxa" w:w="2200"/>
            <w:tcMar>
              <w:top w:type="dxa" w:w="90"/>
              <w:left w:type="dxa" w:w="120"/>
              <w:bottom w:type="dxa" w:w="90"/>
              <w:right w:type="dxa" w:w="120"/>
            </w:tcMar>
          </w:tcPr>
          <w:p>
            <w:pPr>
              <w:spacing w:after="0"/>
            </w:pPr>
            <w:r>
              <w:rPr>
                <w:b/>
                <w:bCs/>
                <w:color w:val="1A1A1A"/>
                <w:sz w:val="19"/>
                <w:szCs w:val="19"/>
              </w:rPr>
              <w:t xml:space="preserve">Availability</w:t>
            </w:r>
          </w:p>
        </w:tc>
        <w:tc>
          <w:tcPr>
            <w:tcW w:type="dxa" w:w="6600"/>
            <w:tcMar>
              <w:top w:type="dxa" w:w="90"/>
              <w:left w:type="dxa" w:w="120"/>
              <w:bottom w:type="dxa" w:w="90"/>
              <w:right w:type="dxa" w:w="120"/>
            </w:tcMar>
          </w:tcPr>
          <w:p>
            <w:pPr>
              <w:spacing w:after="0"/>
            </w:pPr>
            <w:r>
              <w:rPr>
                <w:color w:val="1A1A1A"/>
                <w:sz w:val="19"/>
                <w:szCs w:val="19"/>
              </w:rPr>
              <w:t xml:space="preserve">Application should be reachable via a hosted URL with reasonable uptime for demo/evaluation use.</w:t>
            </w:r>
          </w:p>
        </w:tc>
      </w:tr>
      <w:tr>
        <w:tc>
          <w:tcPr>
            <w:tcW w:type="dxa" w:w="1400"/>
            <w:shd w:fill="F2F4F7" w:val="clear"/>
            <w:tcMar>
              <w:top w:type="dxa" w:w="90"/>
              <w:left w:type="dxa" w:w="120"/>
              <w:bottom w:type="dxa" w:w="90"/>
              <w:right w:type="dxa" w:w="120"/>
            </w:tcMar>
          </w:tcPr>
          <w:p>
            <w:pPr>
              <w:spacing w:after="0"/>
            </w:pPr>
            <w:r>
              <w:rPr>
                <w:b/>
                <w:bCs/>
                <w:color w:val="1A1A1A"/>
                <w:sz w:val="19"/>
                <w:szCs w:val="19"/>
              </w:rPr>
              <w:t xml:space="preserve">NFR-6</w:t>
            </w:r>
          </w:p>
        </w:tc>
        <w:tc>
          <w:tcPr>
            <w:tcW w:type="dxa" w:w="2200"/>
            <w:shd w:fill="F2F4F7" w:val="clear"/>
            <w:tcMar>
              <w:top w:type="dxa" w:w="90"/>
              <w:left w:type="dxa" w:w="120"/>
              <w:bottom w:type="dxa" w:w="90"/>
              <w:right w:type="dxa" w:w="120"/>
            </w:tcMar>
          </w:tcPr>
          <w:p>
            <w:pPr>
              <w:spacing w:after="0"/>
            </w:pPr>
            <w:r>
              <w:rPr>
                <w:b/>
                <w:bCs/>
                <w:color w:val="1A1A1A"/>
                <w:sz w:val="19"/>
                <w:szCs w:val="19"/>
              </w:rPr>
              <w:t xml:space="preserve">Usability</w:t>
            </w:r>
          </w:p>
        </w:tc>
        <w:tc>
          <w:tcPr>
            <w:tcW w:type="dxa" w:w="6600"/>
            <w:shd w:fill="F2F4F7" w:val="clear"/>
            <w:tcMar>
              <w:top w:type="dxa" w:w="90"/>
              <w:left w:type="dxa" w:w="120"/>
              <w:bottom w:type="dxa" w:w="90"/>
              <w:right w:type="dxa" w:w="120"/>
            </w:tcMar>
          </w:tcPr>
          <w:p>
            <w:pPr>
              <w:spacing w:after="0"/>
            </w:pPr>
            <w:r>
              <w:rPr>
                <w:color w:val="1A1A1A"/>
                <w:sz w:val="19"/>
                <w:szCs w:val="19"/>
              </w:rPr>
              <w:t xml:space="preserve">Charge shall be shown to the customer before order confirmation; no hidden or surprise fees.</w:t>
            </w:r>
          </w:p>
        </w:tc>
      </w:tr>
      <w:tr>
        <w:tc>
          <w:tcPr>
            <w:tcW w:type="dxa" w:w="1400"/>
            <w:tcMar>
              <w:top w:type="dxa" w:w="90"/>
              <w:left w:type="dxa" w:w="120"/>
              <w:bottom w:type="dxa" w:w="90"/>
              <w:right w:type="dxa" w:w="120"/>
            </w:tcMar>
          </w:tcPr>
          <w:p>
            <w:pPr>
              <w:spacing w:after="0"/>
            </w:pPr>
            <w:r>
              <w:rPr>
                <w:b/>
                <w:bCs/>
                <w:color w:val="1A1A1A"/>
                <w:sz w:val="19"/>
                <w:szCs w:val="19"/>
              </w:rPr>
              <w:t xml:space="preserve">NFR-7</w:t>
            </w:r>
          </w:p>
        </w:tc>
        <w:tc>
          <w:tcPr>
            <w:tcW w:type="dxa" w:w="2200"/>
            <w:tcMar>
              <w:top w:type="dxa" w:w="90"/>
              <w:left w:type="dxa" w:w="120"/>
              <w:bottom w:type="dxa" w:w="90"/>
              <w:right w:type="dxa" w:w="120"/>
            </w:tcMar>
          </w:tcPr>
          <w:p>
            <w:pPr>
              <w:spacing w:after="0"/>
            </w:pPr>
            <w:r>
              <w:rPr>
                <w:b/>
                <w:bCs/>
                <w:color w:val="1A1A1A"/>
                <w:sz w:val="19"/>
                <w:szCs w:val="19"/>
              </w:rPr>
              <w:t xml:space="preserve">Documentation</w:t>
            </w:r>
          </w:p>
        </w:tc>
        <w:tc>
          <w:tcPr>
            <w:tcW w:type="dxa" w:w="6600"/>
            <w:tcMar>
              <w:top w:type="dxa" w:w="90"/>
              <w:left w:type="dxa" w:w="120"/>
              <w:bottom w:type="dxa" w:w="90"/>
              <w:right w:type="dxa" w:w="120"/>
            </w:tcMar>
          </w:tcPr>
          <w:p>
            <w:pPr>
              <w:spacing w:after="0"/>
            </w:pPr>
            <w:r>
              <w:rPr>
                <w:color w:val="1A1A1A"/>
                <w:sz w:val="19"/>
                <w:szCs w:val="19"/>
              </w:rPr>
              <w:t xml:space="preserve">Setup guide, .env.example, API docs, DB schema, and rate-calculation logic must be documented in the README.</w:t>
            </w:r>
          </w:p>
        </w:tc>
      </w:tr>
    </w:tbl>
    <w:p>
      <w:pPr>
        <w:spacing w:after="200"/>
      </w:pPr>
    </w:p>
    <w:p>
      <w:pPr>
        <w:pStyle w:val="Heading1"/>
        <w:pBdr>
          <w:bottom w:val="single" w:color="2E6E9E" w:sz="6" w:space="4"/>
        </w:pBdr>
        <w:spacing w:after="200" w:before="400"/>
      </w:pPr>
      <w:r>
        <w:rPr>
          <w:b/>
          <w:bCs/>
          <w:color w:val="1F3A5F"/>
          <w:sz w:val="30"/>
          <w:szCs w:val="30"/>
        </w:rPr>
        <w:t xml:space="preserve">7. Key Business Rules</w:t>
      </w:r>
    </w:p>
    <w:p>
      <w:pPr>
        <w:pStyle w:val="ListParagraph"/>
        <w:numPr>
          <w:ilvl w:val="0"/>
          <w:numId w:val="2"/>
        </w:numPr>
        <w:spacing w:after="80"/>
      </w:pPr>
      <w:r>
        <w:rPr>
          <w:color w:val="1A1A1A"/>
          <w:sz w:val="21"/>
          <w:szCs w:val="21"/>
        </w:rPr>
        <w:t xml:space="preserve">Volumetric weight = (Length × Breadth × Height) ÷ 5000.</w:t>
      </w:r>
    </w:p>
    <w:p>
      <w:pPr>
        <w:pStyle w:val="ListParagraph"/>
        <w:numPr>
          <w:ilvl w:val="0"/>
          <w:numId w:val="2"/>
        </w:numPr>
        <w:spacing w:after="80"/>
      </w:pPr>
      <w:r>
        <w:rPr>
          <w:color w:val="1A1A1A"/>
          <w:sz w:val="21"/>
          <w:szCs w:val="21"/>
        </w:rPr>
        <w:t xml:space="preserve">Chargeable weight = the greater of actual weight and volumetric weight.</w:t>
      </w:r>
    </w:p>
    <w:p>
      <w:pPr>
        <w:pStyle w:val="ListParagraph"/>
        <w:numPr>
          <w:ilvl w:val="0"/>
          <w:numId w:val="2"/>
        </w:numPr>
        <w:spacing w:after="80"/>
      </w:pPr>
      <w:r>
        <w:rPr>
          <w:color w:val="1A1A1A"/>
          <w:sz w:val="21"/>
          <w:szCs w:val="21"/>
        </w:rPr>
        <w:t xml:space="preserve">Rate applied depends on: order type (B2B or B2C) × zone relationship (intra-zone or inter-zone) — four distinct rate combinations minimum.</w:t>
      </w:r>
    </w:p>
    <w:p>
      <w:pPr>
        <w:pStyle w:val="ListParagraph"/>
        <w:numPr>
          <w:ilvl w:val="0"/>
          <w:numId w:val="2"/>
        </w:numPr>
        <w:spacing w:after="80"/>
      </w:pPr>
      <w:r>
        <w:rPr>
          <w:color w:val="1A1A1A"/>
          <w:sz w:val="21"/>
          <w:szCs w:val="21"/>
        </w:rPr>
        <w:t xml:space="preserve">COD surcharge applies only when payment type = COD, and is calculated per the order type's configured surcharge rule (flat or percentage).</w:t>
      </w:r>
    </w:p>
    <w:p>
      <w:pPr>
        <w:pStyle w:val="ListParagraph"/>
        <w:numPr>
          <w:ilvl w:val="0"/>
          <w:numId w:val="2"/>
        </w:numPr>
        <w:spacing w:after="80"/>
      </w:pPr>
      <w:r>
        <w:rPr>
          <w:color w:val="1A1A1A"/>
          <w:sz w:val="21"/>
          <w:szCs w:val="21"/>
        </w:rPr>
        <w:t xml:space="preserve">The calculated charge must be shown to the customer before the order is confirmed — no charge is finalized silently.</w:t>
      </w:r>
    </w:p>
    <w:p>
      <w:pPr>
        <w:pStyle w:val="ListParagraph"/>
        <w:numPr>
          <w:ilvl w:val="0"/>
          <w:numId w:val="2"/>
        </w:numPr>
        <w:spacing w:after="80"/>
      </w:pPr>
      <w:r>
        <w:rPr>
          <w:color w:val="1A1A1A"/>
          <w:sz w:val="21"/>
          <w:szCs w:val="21"/>
        </w:rPr>
        <w:t xml:space="preserve">An order's status can only move forward through the defined lifecycle (or to Failed), and every transition — including admin overrides — is permanently logged with actor and timestamp.</w:t>
      </w:r>
    </w:p>
    <w:p>
      <w:pPr>
        <w:pStyle w:val="ListParagraph"/>
        <w:numPr>
          <w:ilvl w:val="0"/>
          <w:numId w:val="2"/>
        </w:numPr>
        <w:spacing w:after="80"/>
      </w:pPr>
      <w:r>
        <w:rPr>
          <w:color w:val="1A1A1A"/>
          <w:sz w:val="21"/>
          <w:szCs w:val="21"/>
        </w:rPr>
        <w:t xml:space="preserve">A Failed order can only be rescheduled by capturing a new delivery date, which triggers a new agent assignment for that attempt.</w:t>
      </w:r>
    </w:p>
    <w:p>
      <w:pPr>
        <w:pStyle w:val="Heading1"/>
        <w:pBdr>
          <w:bottom w:val="single" w:color="2E6E9E" w:sz="6" w:space="4"/>
        </w:pBdr>
        <w:spacing w:after="200" w:before="400"/>
      </w:pPr>
      <w:r>
        <w:rPr>
          <w:b/>
          <w:bCs/>
          <w:color w:val="1F3A5F"/>
          <w:sz w:val="30"/>
          <w:szCs w:val="30"/>
        </w:rPr>
        <w:t xml:space="preserve">8. Assumptions &amp; Constraints</w:t>
      </w:r>
    </w:p>
    <w:p>
      <w:pPr>
        <w:pStyle w:val="Heading2"/>
        <w:spacing w:after="120" w:before="300"/>
      </w:pPr>
      <w:r>
        <w:rPr>
          <w:b/>
          <w:bCs/>
          <w:color w:val="1F3A5F"/>
          <w:sz w:val="24"/>
          <w:szCs w:val="24"/>
        </w:rPr>
        <w:t xml:space="preserve">8.1 Assumptions</w:t>
      </w:r>
    </w:p>
    <w:p>
      <w:pPr>
        <w:pStyle w:val="ListParagraph"/>
        <w:numPr>
          <w:ilvl w:val="0"/>
          <w:numId w:val="2"/>
        </w:numPr>
        <w:spacing w:after="80"/>
      </w:pPr>
      <w:r>
        <w:rPr>
          <w:color w:val="1A1A1A"/>
          <w:sz w:val="21"/>
          <w:szCs w:val="21"/>
        </w:rPr>
        <w:t xml:space="preserve">Each pincode belongs to exactly one zone; zone boundaries do not overlap.</w:t>
      </w:r>
    </w:p>
    <w:p>
      <w:pPr>
        <w:pStyle w:val="ListParagraph"/>
        <w:numPr>
          <w:ilvl w:val="0"/>
          <w:numId w:val="2"/>
        </w:numPr>
        <w:spacing w:after="80"/>
      </w:pPr>
      <w:r>
        <w:rPr>
          <w:color w:val="1A1A1A"/>
          <w:sz w:val="21"/>
          <w:szCs w:val="21"/>
        </w:rPr>
        <w:t xml:space="preserve">Delivery agents' availability and approximate location are self-reported or system-tracked to a reasonable accuracy for assignment purposes.</w:t>
      </w:r>
    </w:p>
    <w:p>
      <w:pPr>
        <w:pStyle w:val="ListParagraph"/>
        <w:numPr>
          <w:ilvl w:val="0"/>
          <w:numId w:val="2"/>
        </w:numPr>
        <w:spacing w:after="80"/>
      </w:pPr>
      <w:r>
        <w:rPr>
          <w:color w:val="1A1A1A"/>
          <w:sz w:val="21"/>
          <w:szCs w:val="21"/>
        </w:rPr>
        <w:t xml:space="preserve">A free-tier email service is acceptable for notification delivery during evaluation/demo.</w:t>
      </w:r>
    </w:p>
    <w:p>
      <w:pPr>
        <w:pStyle w:val="ListParagraph"/>
        <w:numPr>
          <w:ilvl w:val="0"/>
          <w:numId w:val="2"/>
        </w:numPr>
        <w:spacing w:after="80"/>
      </w:pPr>
      <w:r>
        <w:rPr>
          <w:color w:val="1A1A1A"/>
          <w:sz w:val="21"/>
          <w:szCs w:val="21"/>
        </w:rPr>
        <w:t xml:space="preserve">Admin users are trusted internal operators; the BRD does not require a maker-checker approval flow for rate changes.</w:t>
      </w:r>
    </w:p>
    <w:p>
      <w:pPr>
        <w:pStyle w:val="Heading2"/>
        <w:spacing w:after="120" w:before="300"/>
      </w:pPr>
      <w:r>
        <w:rPr>
          <w:b/>
          <w:bCs/>
          <w:color w:val="1F3A5F"/>
          <w:sz w:val="24"/>
          <w:szCs w:val="24"/>
        </w:rPr>
        <w:t xml:space="preserve">8.2 Constraints</w:t>
      </w:r>
    </w:p>
    <w:p>
      <w:pPr>
        <w:pStyle w:val="ListParagraph"/>
        <w:numPr>
          <w:ilvl w:val="0"/>
          <w:numId w:val="2"/>
        </w:numPr>
        <w:spacing w:after="80"/>
      </w:pPr>
      <w:r>
        <w:rPr>
          <w:color w:val="1A1A1A"/>
          <w:sz w:val="21"/>
          <w:szCs w:val="21"/>
        </w:rPr>
        <w:t xml:space="preserve">Solution must be deployable to a standard hosting provider (e.g., Vercel, Render, Railway) within free/low-cost tiers.</w:t>
      </w:r>
    </w:p>
    <w:p>
      <w:pPr>
        <w:pStyle w:val="ListParagraph"/>
        <w:numPr>
          <w:ilvl w:val="0"/>
          <w:numId w:val="2"/>
        </w:numPr>
        <w:spacing w:after="80"/>
      </w:pPr>
      <w:r>
        <w:rPr>
          <w:color w:val="1A1A1A"/>
          <w:sz w:val="21"/>
          <w:szCs w:val="21"/>
        </w:rPr>
        <w:t xml:space="preserve">No hardcoded pricing, surcharge, or zone logic — all must be admin-configurable at runtime.</w:t>
      </w:r>
    </w:p>
    <w:p>
      <w:pPr>
        <w:pStyle w:val="ListParagraph"/>
        <w:numPr>
          <w:ilvl w:val="0"/>
          <w:numId w:val="2"/>
        </w:numPr>
        <w:spacing w:after="80"/>
      </w:pPr>
      <w:r>
        <w:rPr>
          <w:color w:val="1A1A1A"/>
          <w:sz w:val="21"/>
          <w:szCs w:val="21"/>
        </w:rPr>
        <w:t xml:space="preserve">System design write-up is capped at 800 words per the project deliverables.</w:t>
      </w:r>
    </w:p>
    <w:p>
      <w:pPr>
        <w:pStyle w:val="Heading1"/>
        <w:pBdr>
          <w:bottom w:val="single" w:color="2E6E9E" w:sz="6" w:space="4"/>
        </w:pBdr>
        <w:spacing w:after="200" w:before="400"/>
      </w:pPr>
      <w:r>
        <w:rPr>
          <w:b/>
          <w:bCs/>
          <w:color w:val="1F3A5F"/>
          <w:sz w:val="30"/>
          <w:szCs w:val="30"/>
        </w:rPr>
        <w:t xml:space="preserve">9. Deliverables</w:t>
      </w:r>
    </w:p>
    <w:p>
      <w:pPr>
        <w:pStyle w:val="ListParagraph"/>
        <w:numPr>
          <w:ilvl w:val="0"/>
          <w:numId w:val="2"/>
        </w:numPr>
        <w:spacing w:after="80"/>
      </w:pPr>
      <w:r>
        <w:rPr>
          <w:color w:val="1A1A1A"/>
          <w:sz w:val="21"/>
          <w:szCs w:val="21"/>
        </w:rPr>
        <w:t xml:space="preserve">Complete source code (zip / repository).</w:t>
      </w:r>
    </w:p>
    <w:p>
      <w:pPr>
        <w:pStyle w:val="ListParagraph"/>
        <w:numPr>
          <w:ilvl w:val="0"/>
          <w:numId w:val="2"/>
        </w:numPr>
        <w:spacing w:after="80"/>
      </w:pPr>
      <w:r>
        <w:rPr>
          <w:color w:val="1A1A1A"/>
          <w:sz w:val="21"/>
          <w:szCs w:val="21"/>
        </w:rPr>
        <w:t xml:space="preserve">README with setup guide, .env.example, API documentation, DB schema, and rate-calculation logic explanation.</w:t>
      </w:r>
    </w:p>
    <w:p>
      <w:pPr>
        <w:pStyle w:val="ListParagraph"/>
        <w:numPr>
          <w:ilvl w:val="0"/>
          <w:numId w:val="2"/>
        </w:numPr>
        <w:spacing w:after="80"/>
      </w:pPr>
      <w:r>
        <w:rPr>
          <w:color w:val="1A1A1A"/>
          <w:sz w:val="21"/>
          <w:szCs w:val="21"/>
        </w:rPr>
        <w:t xml:space="preserve">Hosted application URL.</w:t>
      </w:r>
    </w:p>
    <w:p>
      <w:pPr>
        <w:pStyle w:val="ListParagraph"/>
        <w:numPr>
          <w:ilvl w:val="0"/>
          <w:numId w:val="2"/>
        </w:numPr>
        <w:spacing w:after="80"/>
      </w:pPr>
      <w:r>
        <w:rPr>
          <w:color w:val="1A1A1A"/>
          <w:sz w:val="21"/>
          <w:szCs w:val="21"/>
        </w:rPr>
        <w:t xml:space="preserve">System design write-up (≤ 800 words) covering the rate engine, zone detection, auto-assignment logic, and failed-delivery handling.</w:t>
      </w:r>
    </w:p>
    <w:p>
      <w:pPr>
        <w:pStyle w:val="Heading1"/>
        <w:pBdr>
          <w:bottom w:val="single" w:color="2E6E9E" w:sz="6" w:space="4"/>
        </w:pBdr>
        <w:spacing w:after="200" w:before="400"/>
      </w:pPr>
      <w:r>
        <w:rPr>
          <w:b/>
          <w:bCs/>
          <w:color w:val="1F3A5F"/>
          <w:sz w:val="30"/>
          <w:szCs w:val="30"/>
        </w:rPr>
        <w:t xml:space="preserve">10. Success Criteria / Acceptance Criteria</w:t>
      </w:r>
    </w:p>
    <w:p>
      <w:pPr>
        <w:pStyle w:val="ListParagraph"/>
        <w:numPr>
          <w:ilvl w:val="0"/>
          <w:numId w:val="2"/>
        </w:numPr>
        <w:spacing w:after="80"/>
      </w:pPr>
      <w:r>
        <w:rPr>
          <w:color w:val="1A1A1A"/>
          <w:sz w:val="21"/>
          <w:szCs w:val="21"/>
        </w:rPr>
        <w:t xml:space="preserve">An order's charge is calculated correctly for all four combinations of order type × zone relationship, verified against admin-configured rate cards.</w:t>
      </w:r>
    </w:p>
    <w:p>
      <w:pPr>
        <w:pStyle w:val="ListParagraph"/>
        <w:numPr>
          <w:ilvl w:val="0"/>
          <w:numId w:val="2"/>
        </w:numPr>
        <w:spacing w:after="80"/>
      </w:pPr>
      <w:r>
        <w:rPr>
          <w:color w:val="1A1A1A"/>
          <w:sz w:val="21"/>
          <w:szCs w:val="21"/>
        </w:rPr>
        <w:t xml:space="preserve">Volumetric vs. actual weight billing is correct in both directions (volumetric wins when larger, actual wins when larger).</w:t>
      </w:r>
    </w:p>
    <w:p>
      <w:pPr>
        <w:pStyle w:val="ListParagraph"/>
        <w:numPr>
          <w:ilvl w:val="0"/>
          <w:numId w:val="2"/>
        </w:numPr>
        <w:spacing w:after="80"/>
      </w:pPr>
      <w:r>
        <w:rPr>
          <w:color w:val="1A1A1A"/>
          <w:sz w:val="21"/>
          <w:szCs w:val="21"/>
        </w:rPr>
        <w:t xml:space="preserve">COD surcharge is applied only for COD orders and matches the configured value.</w:t>
      </w:r>
    </w:p>
    <w:p>
      <w:pPr>
        <w:pStyle w:val="ListParagraph"/>
        <w:numPr>
          <w:ilvl w:val="0"/>
          <w:numId w:val="2"/>
        </w:numPr>
        <w:spacing w:after="80"/>
      </w:pPr>
      <w:r>
        <w:rPr>
          <w:color w:val="1A1A1A"/>
          <w:sz w:val="21"/>
          <w:szCs w:val="21"/>
        </w:rPr>
        <w:t xml:space="preserve">Auto-assignment consistently selects an available agent, and never assigns an agent at full capacity.</w:t>
      </w:r>
    </w:p>
    <w:p>
      <w:pPr>
        <w:pStyle w:val="ListParagraph"/>
        <w:numPr>
          <w:ilvl w:val="0"/>
          <w:numId w:val="2"/>
        </w:numPr>
        <w:spacing w:after="80"/>
      </w:pPr>
      <w:r>
        <w:rPr>
          <w:color w:val="1A1A1A"/>
          <w:sz w:val="21"/>
          <w:szCs w:val="21"/>
        </w:rPr>
        <w:t xml:space="preserve">Every status change (agent update or admin override) appears in the tracking timeline with correct timestamp and actor, and cannot be edited or deleted after the fact.</w:t>
      </w:r>
    </w:p>
    <w:p>
      <w:pPr>
        <w:pStyle w:val="ListParagraph"/>
        <w:numPr>
          <w:ilvl w:val="0"/>
          <w:numId w:val="2"/>
        </w:numPr>
        <w:spacing w:after="80"/>
      </w:pPr>
      <w:r>
        <w:rPr>
          <w:color w:val="1A1A1A"/>
          <w:sz w:val="21"/>
          <w:szCs w:val="21"/>
        </w:rPr>
        <w:t xml:space="preserve">A Failed order can be rescheduled by the customer, resulting in a new agent assignment and a customer notification.</w:t>
      </w:r>
    </w:p>
    <w:p>
      <w:pPr>
        <w:pStyle w:val="ListParagraph"/>
        <w:numPr>
          <w:ilvl w:val="0"/>
          <w:numId w:val="2"/>
        </w:numPr>
        <w:spacing w:after="80"/>
      </w:pPr>
      <w:r>
        <w:rPr>
          <w:color w:val="1A1A1A"/>
          <w:sz w:val="21"/>
          <w:szCs w:val="21"/>
        </w:rPr>
        <w:t xml:space="preserve">Admin can filter the full order list by status, zone, and agent without errors.</w:t>
      </w:r>
    </w:p>
    <w:p>
      <w:pPr>
        <w:pStyle w:val="ListParagraph"/>
        <w:numPr>
          <w:ilvl w:val="0"/>
          <w:numId w:val="2"/>
        </w:numPr>
        <w:spacing w:after="80"/>
      </w:pPr>
      <w:r>
        <w:rPr>
          <w:color w:val="1A1A1A"/>
          <w:sz w:val="21"/>
          <w:szCs w:val="21"/>
        </w:rPr>
        <w:t xml:space="preserve">A customer email notification is sent (or logged as attempted) for every status change.</w:t>
      </w:r>
    </w:p>
    <w:p>
      <w:pPr>
        <w:pStyle w:val="Heading1"/>
        <w:pBdr>
          <w:bottom w:val="single" w:color="2E6E9E" w:sz="6" w:space="4"/>
        </w:pBdr>
        <w:spacing w:after="200" w:before="400"/>
      </w:pPr>
      <w:r>
        <w:rPr>
          <w:b/>
          <w:bCs/>
          <w:color w:val="1F3A5F"/>
          <w:sz w:val="30"/>
          <w:szCs w:val="30"/>
        </w:rPr>
        <w:t xml:space="preserve">11. Glossary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F3A5F" w:val="clear"/>
            <w:tcMar>
              <w:top w:type="dxa" w:w="90"/>
              <w:left w:type="dxa" w:w="120"/>
              <w:bottom w:type="dxa" w:w="90"/>
              <w:right w:type="dxa" w:w="120"/>
            </w:tcMar>
          </w:tcPr>
          <w:p>
            <w:r>
              <w:rPr>
                <w:b/>
                <w:bCs/>
                <w:color w:val="FFFFFF"/>
                <w:sz w:val="19"/>
                <w:szCs w:val="19"/>
              </w:rPr>
              <w:t xml:space="preserve">Term</w:t>
            </w:r>
          </w:p>
        </w:tc>
        <w:tc>
          <w:tcPr>
            <w:tcW w:type="dxa" w:w="7600"/>
            <w:shd w:fill="1F3A5F" w:val="clear"/>
            <w:tcMar>
              <w:top w:type="dxa" w:w="90"/>
              <w:left w:type="dxa" w:w="120"/>
              <w:bottom w:type="dxa" w:w="90"/>
              <w:right w:type="dxa" w:w="120"/>
            </w:tcMar>
          </w:tcPr>
          <w:p>
            <w:r>
              <w:rPr>
                <w:b/>
                <w:bCs/>
                <w:color w:val="FFFFFF"/>
                <w:sz w:val="19"/>
                <w:szCs w:val="19"/>
              </w:rPr>
              <w:t xml:space="preserve">Definition</w:t>
            </w:r>
          </w:p>
        </w:tc>
      </w:tr>
      <w:tr>
        <w:tc>
          <w:tcPr>
            <w:tcW w:type="dxa" w:w="2600"/>
            <w:tcMar>
              <w:top w:type="dxa" w:w="90"/>
              <w:left w:type="dxa" w:w="120"/>
              <w:bottom w:type="dxa" w:w="90"/>
              <w:right w:type="dxa" w:w="120"/>
            </w:tcMar>
          </w:tcPr>
          <w:p>
            <w:pPr>
              <w:spacing w:after="0"/>
            </w:pPr>
            <w:r>
              <w:rPr>
                <w:b/>
                <w:bCs/>
                <w:color w:val="1A1A1A"/>
                <w:sz w:val="19"/>
                <w:szCs w:val="19"/>
              </w:rPr>
              <w:t xml:space="preserve">B2B / B2C</w:t>
            </w:r>
          </w:p>
        </w:tc>
        <w:tc>
          <w:tcPr>
            <w:tcW w:type="dxa" w:w="7600"/>
            <w:tcMar>
              <w:top w:type="dxa" w:w="90"/>
              <w:left w:type="dxa" w:w="120"/>
              <w:bottom w:type="dxa" w:w="90"/>
              <w:right w:type="dxa" w:w="120"/>
            </w:tcMar>
          </w:tcPr>
          <w:p>
            <w:pPr>
              <w:spacing w:after="0"/>
            </w:pPr>
            <w:r>
              <w:rPr>
                <w:color w:val="1A1A1A"/>
                <w:sz w:val="19"/>
                <w:szCs w:val="19"/>
              </w:rPr>
              <w:t xml:space="preserve">Business-to-Business / Business-to-Consumer — order type affecting which rate card applies.</w:t>
            </w:r>
          </w:p>
        </w:tc>
      </w:tr>
      <w:tr>
        <w:tc>
          <w:tcPr>
            <w:tcW w:type="dxa" w:w="2600"/>
            <w:shd w:fill="F2F4F7" w:val="clear"/>
            <w:tcMar>
              <w:top w:type="dxa" w:w="90"/>
              <w:left w:type="dxa" w:w="120"/>
              <w:bottom w:type="dxa" w:w="90"/>
              <w:right w:type="dxa" w:w="120"/>
            </w:tcMar>
          </w:tcPr>
          <w:p>
            <w:pPr>
              <w:spacing w:after="0"/>
            </w:pPr>
            <w:r>
              <w:rPr>
                <w:b/>
                <w:bCs/>
                <w:color w:val="1A1A1A"/>
                <w:sz w:val="19"/>
                <w:szCs w:val="19"/>
              </w:rPr>
              <w:t xml:space="preserve">Intra-zone</w:t>
            </w:r>
          </w:p>
        </w:tc>
        <w:tc>
          <w:tcPr>
            <w:tcW w:type="dxa" w:w="7600"/>
            <w:shd w:fill="F2F4F7" w:val="clear"/>
            <w:tcMar>
              <w:top w:type="dxa" w:w="90"/>
              <w:left w:type="dxa" w:w="120"/>
              <w:bottom w:type="dxa" w:w="90"/>
              <w:right w:type="dxa" w:w="120"/>
            </w:tcMar>
          </w:tcPr>
          <w:p>
            <w:pPr>
              <w:spacing w:after="0"/>
            </w:pPr>
            <w:r>
              <w:rPr>
                <w:color w:val="1A1A1A"/>
                <w:sz w:val="19"/>
                <w:szCs w:val="19"/>
              </w:rPr>
              <w:t xml:space="preserve">Pickup and drop locations fall within the same delivery zone.</w:t>
            </w:r>
          </w:p>
        </w:tc>
      </w:tr>
      <w:tr>
        <w:tc>
          <w:tcPr>
            <w:tcW w:type="dxa" w:w="2600"/>
            <w:tcMar>
              <w:top w:type="dxa" w:w="90"/>
              <w:left w:type="dxa" w:w="120"/>
              <w:bottom w:type="dxa" w:w="90"/>
              <w:right w:type="dxa" w:w="120"/>
            </w:tcMar>
          </w:tcPr>
          <w:p>
            <w:pPr>
              <w:spacing w:after="0"/>
            </w:pPr>
            <w:r>
              <w:rPr>
                <w:b/>
                <w:bCs/>
                <w:color w:val="1A1A1A"/>
                <w:sz w:val="19"/>
                <w:szCs w:val="19"/>
              </w:rPr>
              <w:t xml:space="preserve">Inter-zone</w:t>
            </w:r>
          </w:p>
        </w:tc>
        <w:tc>
          <w:tcPr>
            <w:tcW w:type="dxa" w:w="7600"/>
            <w:tcMar>
              <w:top w:type="dxa" w:w="90"/>
              <w:left w:type="dxa" w:w="120"/>
              <w:bottom w:type="dxa" w:w="90"/>
              <w:right w:type="dxa" w:w="120"/>
            </w:tcMar>
          </w:tcPr>
          <w:p>
            <w:pPr>
              <w:spacing w:after="0"/>
            </w:pPr>
            <w:r>
              <w:rPr>
                <w:color w:val="1A1A1A"/>
                <w:sz w:val="19"/>
                <w:szCs w:val="19"/>
              </w:rPr>
              <w:t xml:space="preserve">Pickup and drop locations fall in two different delivery zones.</w:t>
            </w:r>
          </w:p>
        </w:tc>
      </w:tr>
      <w:tr>
        <w:tc>
          <w:tcPr>
            <w:tcW w:type="dxa" w:w="2600"/>
            <w:shd w:fill="F2F4F7" w:val="clear"/>
            <w:tcMar>
              <w:top w:type="dxa" w:w="90"/>
              <w:left w:type="dxa" w:w="120"/>
              <w:bottom w:type="dxa" w:w="90"/>
              <w:right w:type="dxa" w:w="120"/>
            </w:tcMar>
          </w:tcPr>
          <w:p>
            <w:pPr>
              <w:spacing w:after="0"/>
            </w:pPr>
            <w:r>
              <w:rPr>
                <w:b/>
                <w:bCs/>
                <w:color w:val="1A1A1A"/>
                <w:sz w:val="19"/>
                <w:szCs w:val="19"/>
              </w:rPr>
              <w:t xml:space="preserve">Volumetric Weight</w:t>
            </w:r>
          </w:p>
        </w:tc>
        <w:tc>
          <w:tcPr>
            <w:tcW w:type="dxa" w:w="7600"/>
            <w:shd w:fill="F2F4F7" w:val="clear"/>
            <w:tcMar>
              <w:top w:type="dxa" w:w="90"/>
              <w:left w:type="dxa" w:w="120"/>
              <w:bottom w:type="dxa" w:w="90"/>
              <w:right w:type="dxa" w:w="120"/>
            </w:tcMar>
          </w:tcPr>
          <w:p>
            <w:pPr>
              <w:spacing w:after="0"/>
            </w:pPr>
            <w:r>
              <w:rPr>
                <w:color w:val="1A1A1A"/>
                <w:sz w:val="19"/>
                <w:szCs w:val="19"/>
              </w:rPr>
              <w:t xml:space="preserve">A weight estimate derived from package dimensions, used to bill oversized-but-light packages fairly: (L×B×H) ÷ 5000.</w:t>
            </w:r>
          </w:p>
        </w:tc>
      </w:tr>
      <w:tr>
        <w:tc>
          <w:tcPr>
            <w:tcW w:type="dxa" w:w="2600"/>
            <w:tcMar>
              <w:top w:type="dxa" w:w="90"/>
              <w:left w:type="dxa" w:w="120"/>
              <w:bottom w:type="dxa" w:w="90"/>
              <w:right w:type="dxa" w:w="120"/>
            </w:tcMar>
          </w:tcPr>
          <w:p>
            <w:pPr>
              <w:spacing w:after="0"/>
            </w:pPr>
            <w:r>
              <w:rPr>
                <w:b/>
                <w:bCs/>
                <w:color w:val="1A1A1A"/>
                <w:sz w:val="19"/>
                <w:szCs w:val="19"/>
              </w:rPr>
              <w:t xml:space="preserve">Chargeable Weight</w:t>
            </w:r>
          </w:p>
        </w:tc>
        <w:tc>
          <w:tcPr>
            <w:tcW w:type="dxa" w:w="7600"/>
            <w:tcMar>
              <w:top w:type="dxa" w:w="90"/>
              <w:left w:type="dxa" w:w="120"/>
              <w:bottom w:type="dxa" w:w="90"/>
              <w:right w:type="dxa" w:w="120"/>
            </w:tcMar>
          </w:tcPr>
          <w:p>
            <w:pPr>
              <w:spacing w:after="0"/>
            </w:pPr>
            <w:r>
              <w:rPr>
                <w:color w:val="1A1A1A"/>
                <w:sz w:val="19"/>
                <w:szCs w:val="19"/>
              </w:rPr>
              <w:t xml:space="preserve">The weight actually billed — the greater of actual and volumetric weight.</w:t>
            </w:r>
          </w:p>
        </w:tc>
      </w:tr>
      <w:tr>
        <w:tc>
          <w:tcPr>
            <w:tcW w:type="dxa" w:w="2600"/>
            <w:shd w:fill="F2F4F7" w:val="clear"/>
            <w:tcMar>
              <w:top w:type="dxa" w:w="90"/>
              <w:left w:type="dxa" w:w="120"/>
              <w:bottom w:type="dxa" w:w="90"/>
              <w:right w:type="dxa" w:w="120"/>
            </w:tcMar>
          </w:tcPr>
          <w:p>
            <w:pPr>
              <w:spacing w:after="0"/>
            </w:pPr>
            <w:r>
              <w:rPr>
                <w:b/>
                <w:bCs/>
                <w:color w:val="1A1A1A"/>
                <w:sz w:val="19"/>
                <w:szCs w:val="19"/>
              </w:rPr>
              <w:t xml:space="preserve">COD</w:t>
            </w:r>
          </w:p>
        </w:tc>
        <w:tc>
          <w:tcPr>
            <w:tcW w:type="dxa" w:w="7600"/>
            <w:shd w:fill="F2F4F7" w:val="clear"/>
            <w:tcMar>
              <w:top w:type="dxa" w:w="90"/>
              <w:left w:type="dxa" w:w="120"/>
              <w:bottom w:type="dxa" w:w="90"/>
              <w:right w:type="dxa" w:w="120"/>
            </w:tcMar>
          </w:tcPr>
          <w:p>
            <w:pPr>
              <w:spacing w:after="0"/>
            </w:pPr>
            <w:r>
              <w:rPr>
                <w:color w:val="1A1A1A"/>
                <w:sz w:val="19"/>
                <w:szCs w:val="19"/>
              </w:rPr>
              <w:t xml:space="preserve">Cash on Delivery — a payment type where the customer pays the agent at the time of delivery, typically attracting a surcharge.</w:t>
            </w:r>
          </w:p>
        </w:tc>
      </w:tr>
      <w:tr>
        <w:tc>
          <w:tcPr>
            <w:tcW w:type="dxa" w:w="2600"/>
            <w:tcMar>
              <w:top w:type="dxa" w:w="90"/>
              <w:left w:type="dxa" w:w="120"/>
              <w:bottom w:type="dxa" w:w="90"/>
              <w:right w:type="dxa" w:w="120"/>
            </w:tcMar>
          </w:tcPr>
          <w:p>
            <w:pPr>
              <w:spacing w:after="0"/>
            </w:pPr>
            <w:r>
              <w:rPr>
                <w:b/>
                <w:bCs/>
                <w:color w:val="1A1A1A"/>
                <w:sz w:val="19"/>
                <w:szCs w:val="19"/>
              </w:rPr>
              <w:t xml:space="preserve">Auto-assignment</w:t>
            </w:r>
          </w:p>
        </w:tc>
        <w:tc>
          <w:tcPr>
            <w:tcW w:type="dxa" w:w="7600"/>
            <w:tcMar>
              <w:top w:type="dxa" w:w="90"/>
              <w:left w:type="dxa" w:w="120"/>
              <w:bottom w:type="dxa" w:w="90"/>
              <w:right w:type="dxa" w:w="120"/>
            </w:tcMar>
          </w:tcPr>
          <w:p>
            <w:pPr>
              <w:spacing w:after="0"/>
            </w:pPr>
            <w:r>
              <w:rPr>
                <w:color w:val="1A1A1A"/>
                <w:sz w:val="19"/>
                <w:szCs w:val="19"/>
              </w:rPr>
              <w:t xml:space="preserve">System-driven selection of the nearest available delivery agent for an order, without manual admin input.</w:t>
            </w:r>
          </w:p>
        </w:tc>
      </w:tr>
      <w:tr>
        <w:tc>
          <w:tcPr>
            <w:tcW w:type="dxa" w:w="2600"/>
            <w:shd w:fill="F2F4F7" w:val="clear"/>
            <w:tcMar>
              <w:top w:type="dxa" w:w="90"/>
              <w:left w:type="dxa" w:w="120"/>
              <w:bottom w:type="dxa" w:w="90"/>
              <w:right w:type="dxa" w:w="120"/>
            </w:tcMar>
          </w:tcPr>
          <w:p>
            <w:pPr>
              <w:spacing w:after="0"/>
            </w:pPr>
            <w:r>
              <w:rPr>
                <w:b/>
                <w:bCs/>
                <w:color w:val="1A1A1A"/>
                <w:sz w:val="19"/>
                <w:szCs w:val="19"/>
              </w:rPr>
              <w:t xml:space="preserve">Immutable Tracking History</w:t>
            </w:r>
          </w:p>
        </w:tc>
        <w:tc>
          <w:tcPr>
            <w:tcW w:type="dxa" w:w="7600"/>
            <w:shd w:fill="F2F4F7" w:val="clear"/>
            <w:tcMar>
              <w:top w:type="dxa" w:w="90"/>
              <w:left w:type="dxa" w:w="120"/>
              <w:bottom w:type="dxa" w:w="90"/>
              <w:right w:type="dxa" w:w="120"/>
            </w:tcMar>
          </w:tcPr>
          <w:p>
            <w:pPr>
              <w:spacing w:after="0"/>
            </w:pPr>
            <w:r>
              <w:rPr>
                <w:color w:val="1A1A1A"/>
                <w:sz w:val="19"/>
                <w:szCs w:val="19"/>
              </w:rPr>
              <w:t xml:space="preserve">A permanent, append-only log of every order status change, which cannot be altered or removed once recorded.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2026-08-22T10:30:59.594Z</dcterms:created>
  <dcterms:modified xsi:type="dcterms:W3CDTF">2026-08-22T10:30:59.595Z</dcterms:modified>
</cp:coreProperties>
</file>

<file path=docProps/custom.xml><?xml version="1.0" encoding="utf-8"?>
<Properties xmlns="http://schemas.openxmlformats.org/officeDocument/2006/custom-properties" xmlns:vt="http://schemas.openxmlformats.org/officeDocument/2006/docPropsVTypes"/>
</file>