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rPr>
          <w:b/>
          <w:color w:val="D9701C"/>
          <w:sz w:val="20"/>
        </w:rPr>
        <w:t>BUILD FOR BHARAT 2.0 · SAS CU HACKATHON</w:t>
      </w:r>
    </w:p>
    <w:p>
      <w:pPr>
        <w:spacing w:after="0"/>
      </w:pPr>
      <w:r>
        <w:rPr>
          <w:b/>
          <w:color w:val="0B1730"/>
          <w:sz w:val="88"/>
        </w:rPr>
        <w:t>NEXUS DELTA</w:t>
      </w:r>
    </w:p>
    <w:p>
      <w:r>
        <w:rPr>
          <w:i/>
          <w:color w:val="0B1730"/>
          <w:sz w:val="32"/>
        </w:rPr>
        <w:t>Evidence-based capability intelligence for the future workforce</w:t>
      </w:r>
    </w:p>
    <w:p>
      <w:r>
        <w:rPr>
          <w:b/>
          <w:color w:val="5B6780"/>
          <w:sz w:val="26"/>
        </w:rPr>
        <w:t>Technical Approach Note</w:t>
      </w:r>
    </w:p>
    <w:p/>
    <w:tbl>
      <w:tblPr>
        <w:tblW w:type="auto" w:w="0"/>
        <w:jc w:val="center"/>
        <w:tblLook w:firstColumn="1" w:firstRow="1" w:lastColumn="0" w:lastRow="0" w:noHBand="0" w:noVBand="1" w:val="04A0"/>
      </w:tblPr>
      <w:tblGrid>
        <w:gridCol w:w="9298"/>
      </w:tblGrid>
      <w:tr>
        <w:trPr>
          <w:cantSplit/>
        </w:trPr>
        <w:tc>
          <w:tcPr>
            <w:tcW w:type="dxa" w:w="9298"/>
            <w:tcBorders>
              <w:top w:val="nil"/>
              <w:start w:val="single" w:sz="24" w:color="D9701C"/>
              <w:bottom w:val="nil"/>
              <w:end w:val="nil"/>
            </w:tcBorders>
            <w:shd w:val="clear" w:color="auto" w:fill="FDF3E8"/>
            <w:tcMar>
              <w:top w:w="120" w:type="dxa"/>
              <w:start w:w="200" w:type="dxa"/>
              <w:bottom w:w="120" w:type="dxa"/>
              <w:end w:w="200" w:type="dxa"/>
            </w:tcMar>
          </w:tcPr>
          <w:p>
            <w:pPr>
              <w:spacing w:after="40"/>
            </w:pPr>
            <w:r>
              <w:rPr>
                <w:b/>
                <w:color w:val="D9701C"/>
                <w:sz w:val="19"/>
              </w:rPr>
              <w:t>THE NUMBER THAT SHAPED THE DESIGN</w:t>
            </w:r>
          </w:p>
          <w:p>
            <w:pPr>
              <w:spacing w:after="40"/>
            </w:pPr>
            <w:r>
              <w:rPr>
                <w:b/>
                <w:sz w:val="23"/>
              </w:rPr>
              <w:t>0</w:t>
            </w:r>
            <w:r>
              <w:rPr>
                <w:sz w:val="23"/>
              </w:rPr>
              <w:t xml:space="preserve"> — the number of employee IDs shared by the two people datasets (JDS ∩ SDS).</w:t>
            </w:r>
          </w:p>
          <w:p>
            <w:pPr>
              <w:spacing w:after="40"/>
            </w:pPr>
            <w:r>
              <w:rPr>
                <w:sz w:val="23"/>
              </w:rPr>
              <w:t>Any analysis that joins these files invents a link. NEXUS DELTA refuses to. It keeps every dataset separate and connects them through a versioned capability taxonomy, then asks three questions:</w:t>
            </w:r>
          </w:p>
          <w:p>
            <w:pPr>
              <w:spacing w:after="40"/>
            </w:pPr>
            <w:r>
              <w:rPr>
                <w:b/>
                <w:sz w:val="23"/>
              </w:rPr>
              <w:t>Know what to build.</w:t>
            </w:r>
            <w:r>
              <w:rPr>
                <w:sz w:val="23"/>
              </w:rPr>
              <w:t xml:space="preserve"> Which capability should an organisation develop next?</w:t>
            </w:r>
          </w:p>
          <w:p>
            <w:pPr>
              <w:spacing w:after="40"/>
            </w:pPr>
            <w:r>
              <w:rPr>
                <w:b/>
                <w:sz w:val="23"/>
              </w:rPr>
              <w:t>Know what to learn.</w:t>
            </w:r>
            <w:r>
              <w:rPr>
                <w:sz w:val="23"/>
              </w:rPr>
              <w:t xml:space="preserve"> Which capability should a student or professional develop next?</w:t>
            </w:r>
          </w:p>
          <w:p>
            <w:pPr>
              <w:spacing w:after="40"/>
            </w:pPr>
            <w:r>
              <w:rPr>
                <w:b/>
                <w:sz w:val="23"/>
              </w:rPr>
              <w:t>Know where you can thrive.</w:t>
            </w:r>
            <w:r>
              <w:rPr>
                <w:sz w:val="23"/>
              </w:rPr>
              <w:t xml:space="preserve"> Will the way a role works fit the way you work?</w:t>
            </w:r>
          </w:p>
        </w:tc>
      </w:tr>
    </w:tbl>
    <w:p>
      <w:pPr>
        <w:spacing w:after="0"/>
      </w:pPr>
    </w:p>
    <w:p/>
    <w:tbl>
      <w:tblPr>
        <w:tblW w:type="auto" w:w="0"/>
        <w:jc w:val="center"/>
        <w:tblLayout w:type="fixed"/>
        <w:tblLook w:firstColumn="1" w:firstRow="1" w:lastColumn="0" w:lastRow="0" w:noHBand="0" w:noVBand="1" w:val="04A0"/>
      </w:tblPr>
      <w:tblGrid>
        <w:gridCol w:w="9298"/>
      </w:tblGrid>
      <w:tr>
        <w:trPr>
          <w:cantSplit/>
          <w:tblHeader/>
        </w:trPr>
        <w:tc>
          <w:tcPr>
            <w:tcW w:type="dxa" w:w="929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2"/>
              </w:rPr>
              <w:t>Team DSA · Chandigarh University</w:t>
            </w:r>
          </w:p>
        </w:tc>
      </w:tr>
      <w:tr>
        <w:trPr>
          <w:cantSplit/>
        </w:trPr>
        <w:tc>
          <w:tcPr>
            <w:tcW w:type="dxa" w:w="929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2"/>
              </w:rPr>
              <w:t>Anwesha Kar · Darshna Parihar · Saamyaraj Baidya</w:t>
            </w:r>
          </w:p>
        </w:tc>
      </w:tr>
      <w:tr>
        <w:trPr>
          <w:cantSplit/>
        </w:trPr>
        <w:tc>
          <w:tcPr>
            <w:tcW w:type="dxa" w:w="929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2"/>
              </w:rPr>
              <w:t>8 executed Python notebooks · SQL · SAS mirror · offline Streamlit application (171 automated checks)</w:t>
            </w:r>
          </w:p>
        </w:tc>
      </w:tr>
    </w:tbl>
    <w:p>
      <w:pPr>
        <w:spacing w:after="40"/>
      </w:pPr>
    </w:p>
    <w:p>
      <w:r>
        <w:rPr>
          <w:color w:val="5B6780"/>
          <w:sz w:val="21"/>
        </w:rPr>
        <w:t xml:space="preserve">Underlined orange text is clickable: section links jump within this document and notebook links open the executed code in the </w:t>
      </w:r>
      <w:hyperlink r:id="rId11">
        <w:r>
          <w:rPr>
            <w:color w:val="D9701C"/>
            <w:u w:val="single"/>
            <w:sz w:val="21"/>
          </w:rPr>
          <w:t xml:space="preserve">project repository</w:t>
        </w:r>
      </w:hyperlink>
      <w:r>
        <w:rPr>
          <w:color w:val="5B6780"/>
          <w:sz w:val="21"/>
        </w:rPr>
        <w:t>. The QR code opens the same repository.</w:t>
      </w:r>
    </w:p>
    <w:p>
      <w:pPr>
        <w:jc w:val="left"/>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qr.png"/>
                    <pic:cNvPicPr/>
                  </pic:nvPicPr>
                  <pic:blipFill>
                    <a:blip r:embed="rId12"/>
                    <a:stretch>
                      <a:fillRect/>
                    </a:stretch>
                  </pic:blipFill>
                  <pic:spPr>
                    <a:xfrm>
                      <a:off x="0" y="0"/>
                      <a:ext cx="1080000" cy="1080000"/>
                    </a:xfrm>
                    <a:prstGeom prst="rect"/>
                  </pic:spPr>
                </pic:pic>
              </a:graphicData>
            </a:graphic>
          </wp:inline>
        </w:drawing>
      </w:r>
    </w:p>
    <w:p>
      <w:r>
        <w:br w:type="page"/>
      </w:r>
    </w:p>
    <w:p>
      <w:pPr>
        <w:pStyle w:val="Heading1"/>
      </w:pPr>
      <w:bookmarkStart w:id="1" w:name="s0"/>
      <w:r>
        <w:t>The 60-second version</w:t>
      </w:r>
      <w:bookmarkEnd w:id="1"/>
    </w:p>
    <w:p>
      <w:pPr>
        <w:jc w:val="both"/>
      </w:pPr>
      <w:r>
        <w:t>The whole study on one page: what NEXUS DELTA found and why it can be trusted.</w:t>
      </w:r>
    </w:p>
    <w:p>
      <w:pPr>
        <w:keepNext/>
        <w:spacing w:after="60"/>
      </w:pPr>
      <w:r>
        <w:rPr>
          <w:b/>
          <w:sz w:val="21"/>
        </w:rPr>
        <w:t>Table 1.</w:t>
      </w:r>
      <w:r>
        <w:rPr>
          <w:sz w:val="21"/>
        </w:rPr>
        <w:t xml:space="preserve"> The decision in one table (all values from results.json).</w:t>
      </w:r>
    </w:p>
    <w:tbl>
      <w:tblPr>
        <w:tblW w:type="auto" w:w="0"/>
        <w:jc w:val="center"/>
        <w:tblLayout w:type="fixed"/>
        <w:tblLook w:firstColumn="1" w:firstRow="1" w:lastColumn="0" w:lastRow="0" w:noHBand="0" w:noVBand="1" w:val="04A0"/>
      </w:tblPr>
      <w:tblGrid>
        <w:gridCol w:w="2948"/>
        <w:gridCol w:w="1701"/>
        <w:gridCol w:w="1701"/>
        <w:gridCol w:w="1361"/>
        <w:gridCol w:w="1701"/>
      </w:tblGrid>
      <w:tr>
        <w:trPr>
          <w:cantSplit/>
          <w:tblHeader/>
        </w:trPr>
        <w:tc>
          <w:tcPr>
            <w:tcW w:type="dxa" w:w="294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1"/>
              </w:rPr>
              <w:t>Capability</w:t>
            </w:r>
          </w:p>
        </w:tc>
        <w:tc>
          <w:tcPr>
            <w:tcW w:type="dxa" w:w="170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1"/>
              </w:rPr>
              <w:t>Internal evidence</w:t>
            </w:r>
          </w:p>
        </w:tc>
        <w:tc>
          <w:tcPr>
            <w:tcW w:type="dxa" w:w="170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1"/>
              </w:rPr>
              <w:t>Market evidence</w:t>
            </w:r>
          </w:p>
        </w:tc>
        <w:tc>
          <w:tcPr>
            <w:tcW w:type="dxa" w:w="136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1"/>
              </w:rPr>
              <w:t>Headroom</w:t>
            </w:r>
          </w:p>
        </w:tc>
        <w:tc>
          <w:tcPr>
            <w:tcW w:type="dxa" w:w="170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1"/>
              </w:rPr>
              <w:t>Decision</w:t>
            </w:r>
          </w:p>
        </w:tc>
      </w:tr>
      <w:tr>
        <w:trPr>
          <w:cantSplit/>
        </w:trPr>
        <w:tc>
          <w:tcPr>
            <w:tcW w:type="dxa" w:w="294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1"/>
              </w:rPr>
              <w:t>Maths &amp; Statistics</w:t>
            </w:r>
          </w:p>
        </w:tc>
        <w:tc>
          <w:tcPr>
            <w:tcW w:type="dxa" w:w="170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1"/>
              </w:rPr>
              <w:t>δ 0.55</w:t>
            </w:r>
          </w:p>
        </w:tc>
        <w:tc>
          <w:tcPr>
            <w:tcW w:type="dxa" w:w="170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1"/>
              </w:rPr>
              <w:t>OR 1.27</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1"/>
              </w:rPr>
              <w:t>59%</w:t>
            </w:r>
          </w:p>
        </w:tc>
        <w:tc>
          <w:tcPr>
            <w:tcW w:type="dxa" w:w="1701"/>
            <w:tcBorders>
              <w:top w:val="single" w:sz="4" w:color="DAD6CB"/>
              <w:start w:val="single" w:sz="4" w:color="DAD6CB"/>
              <w:bottom w:val="single" w:sz="4" w:color="DAD6CB"/>
              <w:end w:val="single" w:sz="4" w:color="DAD6CB"/>
            </w:tcBorders>
            <w:shd w:val="clear" w:color="auto" w:fill="FBE7D3"/>
            <w:tcMar>
              <w:top w:w="50" w:type="dxa"/>
              <w:start w:w="90" w:type="dxa"/>
              <w:bottom w:w="50" w:type="dxa"/>
              <w:end w:w="90" w:type="dxa"/>
            </w:tcMar>
          </w:tcPr>
          <w:p>
            <w:pPr>
              <w:spacing w:after="0"/>
            </w:pPr>
            <w:r>
              <w:rPr>
                <w:b/>
                <w:sz w:val="21"/>
              </w:rPr>
              <w:t>PRIORITIZE</w:t>
            </w:r>
          </w:p>
        </w:tc>
      </w:tr>
      <w:tr>
        <w:trPr>
          <w:cantSplit/>
        </w:trPr>
        <w:tc>
          <w:tcPr>
            <w:tcW w:type="dxa" w:w="294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1"/>
              </w:rPr>
              <w:t>AI &amp; ML</w:t>
            </w:r>
          </w:p>
        </w:tc>
        <w:tc>
          <w:tcPr>
            <w:tcW w:type="dxa" w:w="170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1"/>
              </w:rPr>
              <w:t>δ 0.36</w:t>
            </w:r>
          </w:p>
        </w:tc>
        <w:tc>
          <w:tcPr>
            <w:tcW w:type="dxa" w:w="170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1"/>
              </w:rPr>
              <w:t>OR 1.38</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1"/>
              </w:rPr>
              <w:t>51%</w:t>
            </w:r>
          </w:p>
        </w:tc>
        <w:tc>
          <w:tcPr>
            <w:tcW w:type="dxa" w:w="1701"/>
            <w:tcBorders>
              <w:top w:val="single" w:sz="4" w:color="DAD6CB"/>
              <w:start w:val="single" w:sz="4" w:color="DAD6CB"/>
              <w:bottom w:val="single" w:sz="4" w:color="DAD6CB"/>
              <w:end w:val="single" w:sz="4" w:color="DAD6CB"/>
            </w:tcBorders>
            <w:shd w:val="clear" w:color="auto" w:fill="FBE7D3"/>
            <w:tcMar>
              <w:top w:w="50" w:type="dxa"/>
              <w:start w:w="90" w:type="dxa"/>
              <w:bottom w:w="50" w:type="dxa"/>
              <w:end w:w="90" w:type="dxa"/>
            </w:tcMar>
          </w:tcPr>
          <w:p>
            <w:pPr>
              <w:spacing w:after="0"/>
            </w:pPr>
            <w:r>
              <w:rPr>
                <w:b/>
                <w:sz w:val="21"/>
              </w:rPr>
              <w:t>PRIORITIZE</w:t>
            </w:r>
          </w:p>
        </w:tc>
      </w:tr>
      <w:tr>
        <w:trPr>
          <w:cantSplit/>
        </w:trPr>
        <w:tc>
          <w:tcPr>
            <w:tcW w:type="dxa" w:w="294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1"/>
              </w:rPr>
              <w:t>Coding</w:t>
            </w:r>
          </w:p>
        </w:tc>
        <w:tc>
          <w:tcPr>
            <w:tcW w:type="dxa" w:w="170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1"/>
              </w:rPr>
              <w:t>δ 0.49</w:t>
            </w:r>
          </w:p>
        </w:tc>
        <w:tc>
          <w:tcPr>
            <w:tcW w:type="dxa" w:w="170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1"/>
              </w:rPr>
              <w:t>OR 1.52</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1"/>
              </w:rPr>
              <w:t>55%</w:t>
            </w:r>
          </w:p>
        </w:tc>
        <w:tc>
          <w:tcPr>
            <w:tcW w:type="dxa" w:w="1701"/>
            <w:tcBorders>
              <w:top w:val="single" w:sz="4" w:color="DAD6CB"/>
              <w:start w:val="single" w:sz="4" w:color="DAD6CB"/>
              <w:bottom w:val="single" w:sz="4" w:color="DAD6CB"/>
              <w:end w:val="single" w:sz="4" w:color="DAD6CB"/>
            </w:tcBorders>
            <w:shd w:val="clear" w:color="auto" w:fill="FBE7D3"/>
            <w:tcMar>
              <w:top w:w="50" w:type="dxa"/>
              <w:start w:w="90" w:type="dxa"/>
              <w:bottom w:w="50" w:type="dxa"/>
              <w:end w:w="90" w:type="dxa"/>
            </w:tcMar>
          </w:tcPr>
          <w:p>
            <w:pPr>
              <w:spacing w:after="0"/>
            </w:pPr>
            <w:r>
              <w:rPr>
                <w:b/>
                <w:sz w:val="21"/>
              </w:rPr>
              <w:t>PRIORITIZE</w:t>
            </w:r>
          </w:p>
        </w:tc>
      </w:tr>
      <w:tr>
        <w:trPr>
          <w:cantSplit/>
        </w:trPr>
        <w:tc>
          <w:tcPr>
            <w:tcW w:type="dxa" w:w="294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1"/>
              </w:rPr>
              <w:t>Dashboards &amp; Storytelling</w:t>
            </w:r>
          </w:p>
        </w:tc>
        <w:tc>
          <w:tcPr>
            <w:tcW w:type="dxa" w:w="170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1"/>
              </w:rPr>
              <w:t>δ 0.59</w:t>
            </w:r>
          </w:p>
        </w:tc>
        <w:tc>
          <w:tcPr>
            <w:tcW w:type="dxa" w:w="170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1"/>
              </w:rPr>
              <w:t>OR 0.75</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1"/>
              </w:rPr>
              <w:t>42%</w:t>
            </w:r>
          </w:p>
        </w:tc>
        <w:tc>
          <w:tcPr>
            <w:tcW w:type="dxa" w:w="1701"/>
            <w:tcBorders>
              <w:top w:val="single" w:sz="4" w:color="DAD6CB"/>
              <w:start w:val="single" w:sz="4" w:color="DAD6CB"/>
              <w:bottom w:val="single" w:sz="4" w:color="DAD6CB"/>
              <w:end w:val="single" w:sz="4" w:color="DAD6CB"/>
            </w:tcBorders>
            <w:shd w:val="clear" w:color="auto" w:fill="F6EBCF"/>
            <w:tcMar>
              <w:top w:w="50" w:type="dxa"/>
              <w:start w:w="90" w:type="dxa"/>
              <w:bottom w:w="50" w:type="dxa"/>
              <w:end w:w="90" w:type="dxa"/>
            </w:tcMar>
          </w:tcPr>
          <w:p>
            <w:pPr>
              <w:spacing w:after="0"/>
            </w:pPr>
            <w:r>
              <w:rPr>
                <w:b/>
                <w:sz w:val="21"/>
              </w:rPr>
              <w:t>INVESTIGATE</w:t>
            </w:r>
          </w:p>
        </w:tc>
      </w:tr>
      <w:tr>
        <w:trPr>
          <w:cantSplit/>
        </w:trPr>
        <w:tc>
          <w:tcPr>
            <w:tcW w:type="dxa" w:w="294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1"/>
              </w:rPr>
              <w:t>Big Data</w:t>
            </w:r>
          </w:p>
        </w:tc>
        <w:tc>
          <w:tcPr>
            <w:tcW w:type="dxa" w:w="170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1"/>
              </w:rPr>
              <w:t>δ 0.12</w:t>
            </w:r>
          </w:p>
        </w:tc>
        <w:tc>
          <w:tcPr>
            <w:tcW w:type="dxa" w:w="170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1"/>
              </w:rPr>
              <w:t>OR 1.09</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1"/>
              </w:rPr>
              <w:t>82%</w:t>
            </w:r>
          </w:p>
        </w:tc>
        <w:tc>
          <w:tcPr>
            <w:tcW w:type="dxa" w:w="1701"/>
            <w:tcBorders>
              <w:top w:val="single" w:sz="4" w:color="DAD6CB"/>
              <w:start w:val="single" w:sz="4" w:color="DAD6CB"/>
              <w:bottom w:val="single" w:sz="4" w:color="DAD6CB"/>
              <w:end w:val="single" w:sz="4" w:color="DAD6CB"/>
            </w:tcBorders>
            <w:shd w:val="clear" w:color="auto" w:fill="ECEEF2"/>
            <w:tcMar>
              <w:top w:w="50" w:type="dxa"/>
              <w:start w:w="90" w:type="dxa"/>
              <w:bottom w:w="50" w:type="dxa"/>
              <w:end w:w="90" w:type="dxa"/>
            </w:tcMar>
          </w:tcPr>
          <w:p>
            <w:pPr>
              <w:spacing w:after="0"/>
            </w:pPr>
            <w:r>
              <w:rPr>
                <w:b/>
                <w:sz w:val="21"/>
              </w:rPr>
              <w:t>MAINTAIN</w:t>
            </w:r>
          </w:p>
        </w:tc>
      </w:tr>
    </w:tbl>
    <w:p>
      <w:pPr>
        <w:spacing w:after="40"/>
      </w:pPr>
    </w:p>
    <w:p>
      <w:pPr>
        <w:pStyle w:val="ListBullet"/>
      </w:pPr>
      <w:r>
        <w:rPr>
          <w:b/>
        </w:rPr>
        <w:t>Top priority: Maths &amp; Statistics.</w:t>
      </w:r>
      <w:r>
        <w:t xml:space="preserve"> Strong inside the company (Cliff's δ = 0.55), a market premium in all 6 models, 59% of juniors still below the ceiling, and the largest modelled gain. It beats the runner-up (AI &amp; ML) in </w:t>
      </w:r>
      <w:r>
        <w:rPr>
          <w:b/>
        </w:rPr>
        <w:t>95.7% of 1,000 bootstrap refits</w:t>
      </w:r>
      <w:r>
        <w:t xml:space="preserve">, ranks first among the four funded capabilities in </w:t>
      </w:r>
      <w:r>
        <w:rPr>
          <w:b/>
        </w:rPr>
        <w:t>91.3%</w:t>
      </w:r>
      <w:r>
        <w:t xml:space="preserve"> (NB08), and is first in all 9 sensitivity settings.</w:t>
      </w:r>
    </w:p>
    <w:p>
      <w:pPr>
        <w:pStyle w:val="ListBullet"/>
      </w:pPr>
      <w:r>
        <w:rPr>
          <w:b/>
        </w:rPr>
        <w:t>The paradox: Storytelling.</w:t>
      </w:r>
      <w:r>
        <w:t xml:space="preserve"> It is the strongest internal separator (δ = 0.59) yet carries a market </w:t>
      </w:r>
      <w:r>
        <w:rPr>
          <w:i/>
        </w:rPr>
        <w:t>discount</w:t>
      </w:r>
      <w:r>
        <w:t xml:space="preserve"> (OR 0.69–0.80 in all six models). Splitting the keyword family shows the discount sits with MIS/reporting keywords (OR 0.66); visualisation keywords alone are neutral (OR 0.98). Verdict: </w:t>
      </w:r>
      <w:r>
        <w:rPr>
          <w:b/>
        </w:rPr>
        <w:t>INVESTIGATE</w:t>
      </w:r>
      <w:r>
        <w:t xml:space="preserve"> (fund with reframe) — develop analytical communication, not report production.</w:t>
      </w:r>
    </w:p>
    <w:p>
      <w:pPr>
        <w:pStyle w:val="ListBullet"/>
      </w:pPr>
      <w:r>
        <w:rPr>
          <w:b/>
        </w:rPr>
        <w:t>The trap: Big Data.</w:t>
      </w:r>
      <w:r>
        <w:t xml:space="preserve"> The most headroom (82% of juniors below ceiling) but no significant univariate internal link (δ = 0.12, CI crosses 0), and its market premium disappears once experience is controlled. Headroom alone is not a reason to invest: </w:t>
      </w:r>
      <w:r>
        <w:rPr>
          <w:b/>
        </w:rPr>
        <w:t>MAINTAIN</w:t>
      </w:r>
      <w:r>
        <w:t>, and revisit with more data.</w:t>
      </w:r>
    </w:p>
    <w:p>
      <w:pPr>
        <w:pStyle w:val="ListBullet"/>
      </w:pPr>
      <w:r>
        <w:rPr>
          <w:b/>
        </w:rPr>
        <w:t>For students:</w:t>
      </w:r>
      <w:r>
        <w:t xml:space="preserve"> a posting's title and listed skills predict the exact salary band 44% of the time and land within one band 85% of the time (6 bands; majority-class baseline 24%) — so NEXUS DELTA shows a distribution, never an exact salary.</w:t>
      </w:r>
    </w:p>
    <w:p>
      <w:pPr>
        <w:pStyle w:val="ListBullet"/>
      </w:pPr>
      <w:r>
        <w:rPr>
          <w:b/>
        </w:rPr>
        <w:t>For Bharat:</w:t>
      </w:r>
      <w:r>
        <w:t xml:space="preserve"> Tier-2/3 cities account for 9.2% of all cleaned postings (6.7% of data-role postings), and only 29% of their data-role postings reach 10 LPA versus 51% in Tier-1.</w:t>
      </w:r>
    </w:p>
    <w:p>
      <w:pPr>
        <w:pStyle w:val="Heading2"/>
      </w:pPr>
      <w:bookmarkStart w:id="2" w:name="h_Navigatethisnote"/>
      <w:r>
        <w:t>Navigate this note</w:t>
      </w:r>
      <w:bookmarkEnd w:id="2"/>
    </w:p>
    <w:tbl>
      <w:tblPr>
        <w:tblW w:type="auto" w:w="0"/>
        <w:jc w:val="center"/>
        <w:tblLayout w:type="fixed"/>
        <w:tblLook w:firstColumn="1" w:firstRow="1" w:lastColumn="0" w:lastRow="0" w:noHBand="0" w:noVBand="1" w:val="04A0"/>
      </w:tblPr>
      <w:tblGrid>
        <w:gridCol w:w="2835"/>
        <w:gridCol w:w="6406"/>
      </w:tblGrid>
      <w:tr>
        <w:trPr>
          <w:cantSplit/>
          <w:tblHeader/>
        </w:trPr>
        <w:tc>
          <w:tcPr>
            <w:tcW w:type="dxa" w:w="2835"/>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1"/>
              </w:rPr>
              <w:t>Section</w:t>
            </w:r>
          </w:p>
        </w:tc>
        <w:tc>
          <w:tcPr>
            <w:tcW w:type="dxa" w:w="6406"/>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1"/>
              </w:rPr>
              <w:t>What it answers</w:t>
            </w:r>
          </w:p>
        </w:tc>
      </w:tr>
      <w:tr>
        <w:trPr>
          <w:cantSplit/>
        </w:trPr>
        <w:tc>
          <w:tcPr>
            <w:tcW w:type="dxa" w:w="283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hyperlink w:anchor="s1">
              <w:r>
                <w:rPr>
                  <w:color w:val="D9701C"/>
                  <w:u w:val="single"/>
                  <w:sz w:val="21"/>
                </w:rPr>
                <w:t xml:space="preserve">1. Problem definition</w:t>
              </w:r>
            </w:hyperlink>
          </w:p>
        </w:tc>
        <w:tc>
          <w:tcPr>
            <w:tcW w:type="dxa" w:w="64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1"/>
              </w:rPr>
              <w:t>What decision is being made, by whom, and how success is measured</w:t>
            </w:r>
          </w:p>
        </w:tc>
      </w:tr>
      <w:tr>
        <w:trPr>
          <w:cantSplit/>
        </w:trPr>
        <w:tc>
          <w:tcPr>
            <w:tcW w:type="dxa" w:w="283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hyperlink w:anchor="s2">
              <w:r>
                <w:rPr>
                  <w:color w:val="D9701C"/>
                  <w:u w:val="single"/>
                  <w:sz w:val="21"/>
                </w:rPr>
                <w:t xml:space="preserve">2. Approach</w:t>
              </w:r>
            </w:hyperlink>
          </w:p>
        </w:tc>
        <w:tc>
          <w:tcPr>
            <w:tcW w:type="dxa" w:w="6406"/>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1"/>
              </w:rPr>
              <w:t>Why three separate signals, and why no row-level join</w:t>
            </w:r>
          </w:p>
        </w:tc>
      </w:tr>
      <w:tr>
        <w:trPr>
          <w:cantSplit/>
        </w:trPr>
        <w:tc>
          <w:tcPr>
            <w:tcW w:type="dxa" w:w="283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hyperlink w:anchor="s3">
              <w:r>
                <w:rPr>
                  <w:color w:val="D9701C"/>
                  <w:u w:val="single"/>
                  <w:sz w:val="21"/>
                </w:rPr>
                <w:t xml:space="preserve">3. Data exploration</w:t>
              </w:r>
            </w:hyperlink>
          </w:p>
        </w:tc>
        <w:tc>
          <w:tcPr>
            <w:tcW w:type="dxa" w:w="64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1"/>
              </w:rPr>
              <w:t>Every data issue found, its size, and the fix</w:t>
            </w:r>
          </w:p>
        </w:tc>
      </w:tr>
      <w:tr>
        <w:trPr>
          <w:cantSplit/>
        </w:trPr>
        <w:tc>
          <w:tcPr>
            <w:tcW w:type="dxa" w:w="283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hyperlink w:anchor="s4">
              <w:r>
                <w:rPr>
                  <w:color w:val="D9701C"/>
                  <w:u w:val="single"/>
                  <w:sz w:val="21"/>
                </w:rPr>
                <w:t xml:space="preserve">4. Data analysis</w:t>
              </w:r>
            </w:hyperlink>
          </w:p>
        </w:tc>
        <w:tc>
          <w:tcPr>
            <w:tcW w:type="dxa" w:w="6406"/>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1"/>
              </w:rPr>
              <w:t>Tests, models, validation and the Storytelling paradox</w:t>
            </w:r>
          </w:p>
        </w:tc>
      </w:tr>
      <w:tr>
        <w:trPr>
          <w:cantSplit/>
        </w:trPr>
        <w:tc>
          <w:tcPr>
            <w:tcW w:type="dxa" w:w="283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hyperlink w:anchor="s5">
              <w:r>
                <w:rPr>
                  <w:color w:val="D9701C"/>
                  <w:u w:val="single"/>
                  <w:sz w:val="21"/>
                </w:rPr>
                <w:t xml:space="preserve">5. Results &amp; conclusions</w:t>
              </w:r>
            </w:hyperlink>
          </w:p>
        </w:tc>
        <w:tc>
          <w:tcPr>
            <w:tcW w:type="dxa" w:w="64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1"/>
              </w:rPr>
              <w:t>The decision, objectives met, hypotheses tested</w:t>
            </w:r>
          </w:p>
        </w:tc>
      </w:tr>
      <w:tr>
        <w:trPr>
          <w:cantSplit/>
        </w:trPr>
        <w:tc>
          <w:tcPr>
            <w:tcW w:type="dxa" w:w="283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hyperlink w:anchor="s6">
              <w:r>
                <w:rPr>
                  <w:color w:val="D9701C"/>
                  <w:u w:val="single"/>
                  <w:sz w:val="21"/>
                </w:rPr>
                <w:t xml:space="preserve">6. Implications</w:t>
              </w:r>
            </w:hyperlink>
          </w:p>
        </w:tc>
        <w:tc>
          <w:tcPr>
            <w:tcW w:type="dxa" w:w="6406"/>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1"/>
              </w:rPr>
              <w:t>What changes for each stakeholder, and the product</w:t>
            </w:r>
          </w:p>
        </w:tc>
      </w:tr>
      <w:tr>
        <w:trPr>
          <w:cantSplit/>
        </w:trPr>
        <w:tc>
          <w:tcPr>
            <w:tcW w:type="dxa" w:w="283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hyperlink w:anchor="sA">
              <w:r>
                <w:rPr>
                  <w:color w:val="D9701C"/>
                  <w:u w:val="single"/>
                  <w:sz w:val="21"/>
                </w:rPr>
                <w:t xml:space="preserve">Appendix</w:t>
              </w:r>
            </w:hyperlink>
          </w:p>
        </w:tc>
        <w:tc>
          <w:tcPr>
            <w:tcW w:type="dxa" w:w="64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1"/>
              </w:rPr>
              <w:t>Code, full tables, screenshots, SAS mirror, glossary</w:t>
            </w:r>
          </w:p>
        </w:tc>
      </w:tr>
    </w:tbl>
    <w:p>
      <w:pPr>
        <w:spacing w:after="40"/>
      </w:pPr>
    </w:p>
    <w:p>
      <w:r>
        <w:br w:type="page"/>
      </w:r>
    </w:p>
    <w:p>
      <w:pPr>
        <w:pStyle w:val="Heading1"/>
      </w:pPr>
      <w:bookmarkStart w:id="3" w:name="h_Contents"/>
      <w:r>
        <w:t>Contents</w:t>
      </w:r>
      <w:bookmarkEnd w:id="3"/>
    </w:p>
    <w:p>
      <w:pPr>
        <w:tabs>
          <w:tab w:pos="9298" w:val="right" w:leader="dot"/>
        </w:tabs>
        <w:spacing w:after="40"/>
        <w:ind w:left="0"/>
      </w:pPr>
      <w:hyperlink w:anchor="s1">
        <w:r>
          <w:rPr>
            <w:color w:val="D9701C"/>
            <w:u w:val="single"/>
            <w:sz w:val="23"/>
          </w:rPr>
          <w:t xml:space="preserve">1. Problem Definition &amp; Analytics Objective</w:t>
        </w:r>
      </w:hyperlink>
      <w:r>
        <w:rPr>
          <w:b/>
          <w:sz w:val="23"/>
        </w:rPr>
        <w:tab/>
        <w:t>4</w:t>
      </w:r>
    </w:p>
    <w:p>
      <w:pPr>
        <w:tabs>
          <w:tab w:pos="9298" w:val="right" w:leader="dot"/>
        </w:tabs>
        <w:spacing w:after="0"/>
        <w:ind w:left="454"/>
      </w:pPr>
      <w:hyperlink w:anchor="h_11Context">
        <w:r>
          <w:rPr>
            <w:color w:val="D9701C"/>
            <w:u w:val="single"/>
            <w:sz w:val="21"/>
          </w:rPr>
          <w:t xml:space="preserve">1.1 Context</w:t>
        </w:r>
      </w:hyperlink>
      <w:r>
        <w:rPr>
          <w:sz w:val="21"/>
        </w:rPr>
        <w:tab/>
        <w:t>4</w:t>
      </w:r>
    </w:p>
    <w:p>
      <w:pPr>
        <w:tabs>
          <w:tab w:pos="9298" w:val="right" w:leader="dot"/>
        </w:tabs>
        <w:spacing w:after="0"/>
        <w:ind w:left="454"/>
      </w:pPr>
      <w:hyperlink w:anchor="h_12Problemstatement">
        <w:r>
          <w:rPr>
            <w:color w:val="D9701C"/>
            <w:u w:val="single"/>
            <w:sz w:val="21"/>
          </w:rPr>
          <w:t xml:space="preserve">1.2 Problem statement</w:t>
        </w:r>
      </w:hyperlink>
      <w:r>
        <w:rPr>
          <w:sz w:val="21"/>
        </w:rPr>
        <w:tab/>
        <w:t>4</w:t>
      </w:r>
    </w:p>
    <w:p>
      <w:pPr>
        <w:tabs>
          <w:tab w:pos="9298" w:val="right" w:leader="dot"/>
        </w:tabs>
        <w:spacing w:after="0"/>
        <w:ind w:left="454"/>
      </w:pPr>
      <w:hyperlink w:anchor="h_13Theworkforcehierarchy">
        <w:r>
          <w:rPr>
            <w:color w:val="D9701C"/>
            <w:u w:val="single"/>
            <w:sz w:val="21"/>
          </w:rPr>
          <w:t xml:space="preserve">1.3 The workforce hierarchy</w:t>
        </w:r>
      </w:hyperlink>
      <w:r>
        <w:rPr>
          <w:sz w:val="21"/>
        </w:rPr>
        <w:tab/>
        <w:t>4</w:t>
      </w:r>
    </w:p>
    <w:p>
      <w:pPr>
        <w:tabs>
          <w:tab w:pos="9298" w:val="right" w:leader="dot"/>
        </w:tabs>
        <w:spacing w:after="0"/>
        <w:ind w:left="454"/>
      </w:pPr>
      <w:hyperlink w:anchor="h_14Analyticsobjectives">
        <w:r>
          <w:rPr>
            <w:color w:val="D9701C"/>
            <w:u w:val="single"/>
            <w:sz w:val="21"/>
          </w:rPr>
          <w:t xml:space="preserve">1.4 Analytics objectives</w:t>
        </w:r>
      </w:hyperlink>
      <w:r>
        <w:rPr>
          <w:sz w:val="21"/>
        </w:rPr>
        <w:tab/>
        <w:t>5</w:t>
      </w:r>
    </w:p>
    <w:p>
      <w:pPr>
        <w:tabs>
          <w:tab w:pos="9298" w:val="right" w:leader="dot"/>
        </w:tabs>
        <w:spacing w:after="0"/>
        <w:ind w:left="454"/>
      </w:pPr>
      <w:hyperlink w:anchor="h_15Hypotheses">
        <w:r>
          <w:rPr>
            <w:color w:val="D9701C"/>
            <w:u w:val="single"/>
            <w:sz w:val="21"/>
          </w:rPr>
          <w:t xml:space="preserve">1.5 Hypotheses</w:t>
        </w:r>
      </w:hyperlink>
      <w:r>
        <w:rPr>
          <w:sz w:val="21"/>
        </w:rPr>
        <w:tab/>
        <w:t>5</w:t>
      </w:r>
    </w:p>
    <w:p>
      <w:pPr>
        <w:tabs>
          <w:tab w:pos="9298" w:val="right" w:leader="dot"/>
        </w:tabs>
        <w:spacing w:after="0"/>
        <w:ind w:left="454"/>
      </w:pPr>
      <w:hyperlink w:anchor="h_16Scope">
        <w:r>
          <w:rPr>
            <w:color w:val="D9701C"/>
            <w:u w:val="single"/>
            <w:sz w:val="21"/>
          </w:rPr>
          <w:t xml:space="preserve">1.6 Scope</w:t>
        </w:r>
      </w:hyperlink>
      <w:r>
        <w:rPr>
          <w:sz w:val="21"/>
        </w:rPr>
        <w:tab/>
        <w:t>6</w:t>
      </w:r>
    </w:p>
    <w:p>
      <w:pPr>
        <w:tabs>
          <w:tab w:pos="9298" w:val="right" w:leader="dot"/>
        </w:tabs>
        <w:spacing w:after="40"/>
        <w:ind w:left="0"/>
      </w:pPr>
      <w:hyperlink w:anchor="s2">
        <w:r>
          <w:rPr>
            <w:color w:val="D9701C"/>
            <w:u w:val="single"/>
            <w:sz w:val="23"/>
          </w:rPr>
          <w:t xml:space="preserve">2. Approach Description</w:t>
        </w:r>
      </w:hyperlink>
      <w:r>
        <w:rPr>
          <w:b/>
          <w:sz w:val="23"/>
        </w:rPr>
        <w:tab/>
        <w:t>6</w:t>
      </w:r>
    </w:p>
    <w:p>
      <w:pPr>
        <w:tabs>
          <w:tab w:pos="9298" w:val="right" w:leader="dot"/>
        </w:tabs>
        <w:spacing w:after="0"/>
        <w:ind w:left="454"/>
      </w:pPr>
      <w:hyperlink w:anchor="h_21TheZeroRulewhywedonotjointhe">
        <w:r>
          <w:rPr>
            <w:color w:val="D9701C"/>
            <w:u w:val="single"/>
            <w:sz w:val="21"/>
          </w:rPr>
          <w:t xml:space="preserve">2.1 The Zero Rule: why we do not join the datasets</w:t>
        </w:r>
      </w:hyperlink>
      <w:r>
        <w:rPr>
          <w:sz w:val="21"/>
        </w:rPr>
        <w:tab/>
        <w:t>6</w:t>
      </w:r>
    </w:p>
    <w:p>
      <w:pPr>
        <w:tabs>
          <w:tab w:pos="9298" w:val="right" w:leader="dot"/>
        </w:tabs>
        <w:spacing w:after="0"/>
        <w:ind w:left="454"/>
      </w:pPr>
      <w:hyperlink w:anchor="h_22Overallflow">
        <w:r>
          <w:rPr>
            <w:color w:val="D9701C"/>
            <w:u w:val="single"/>
            <w:sz w:val="21"/>
          </w:rPr>
          <w:t xml:space="preserve">2.2 Overall flow</w:t>
        </w:r>
      </w:hyperlink>
      <w:r>
        <w:rPr>
          <w:sz w:val="21"/>
        </w:rPr>
        <w:tab/>
        <w:t>6</w:t>
      </w:r>
    </w:p>
    <w:p>
      <w:pPr>
        <w:tabs>
          <w:tab w:pos="9298" w:val="right" w:leader="dot"/>
        </w:tabs>
        <w:spacing w:after="0"/>
        <w:ind w:left="454"/>
      </w:pPr>
      <w:hyperlink w:anchor="h_23Whythreesignalsinsteadofones">
        <w:r>
          <w:rPr>
            <w:color w:val="D9701C"/>
            <w:u w:val="single"/>
            <w:sz w:val="21"/>
          </w:rPr>
          <w:t xml:space="preserve">2.3 Why three signals instead of one score</w:t>
        </w:r>
      </w:hyperlink>
      <w:r>
        <w:rPr>
          <w:sz w:val="21"/>
        </w:rPr>
        <w:tab/>
        <w:t>7</w:t>
      </w:r>
    </w:p>
    <w:p>
      <w:pPr>
        <w:tabs>
          <w:tab w:pos="9298" w:val="right" w:leader="dot"/>
        </w:tabs>
        <w:spacing w:after="0"/>
        <w:ind w:left="454"/>
      </w:pPr>
      <w:hyperlink w:anchor="h_24Decisionrules">
        <w:r>
          <w:rPr>
            <w:color w:val="D9701C"/>
            <w:u w:val="single"/>
            <w:sz w:val="21"/>
          </w:rPr>
          <w:t xml:space="preserve">2.4 Decision rules</w:t>
        </w:r>
      </w:hyperlink>
      <w:r>
        <w:rPr>
          <w:sz w:val="21"/>
        </w:rPr>
        <w:tab/>
        <w:t>7</w:t>
      </w:r>
    </w:p>
    <w:p>
      <w:pPr>
        <w:tabs>
          <w:tab w:pos="9298" w:val="right" w:leader="dot"/>
        </w:tabs>
        <w:spacing w:after="0"/>
        <w:ind w:left="454"/>
      </w:pPr>
      <w:hyperlink w:anchor="h_25Methodchoicesandthereasonfor">
        <w:r>
          <w:rPr>
            <w:color w:val="D9701C"/>
            <w:u w:val="single"/>
            <w:sz w:val="21"/>
          </w:rPr>
          <w:t xml:space="preserve">2.5 Method choices and the reason for each</w:t>
        </w:r>
      </w:hyperlink>
      <w:r>
        <w:rPr>
          <w:sz w:val="21"/>
        </w:rPr>
        <w:tab/>
        <w:t>8</w:t>
      </w:r>
    </w:p>
    <w:p>
      <w:pPr>
        <w:tabs>
          <w:tab w:pos="9298" w:val="right" w:leader="dot"/>
        </w:tabs>
        <w:spacing w:after="0"/>
        <w:ind w:left="454"/>
      </w:pPr>
      <w:hyperlink w:anchor="h_26Validationstrategy">
        <w:r>
          <w:rPr>
            <w:color w:val="D9701C"/>
            <w:u w:val="single"/>
            <w:sz w:val="21"/>
          </w:rPr>
          <w:t xml:space="preserve">2.6 Validation strategy</w:t>
        </w:r>
      </w:hyperlink>
      <w:r>
        <w:rPr>
          <w:sz w:val="21"/>
        </w:rPr>
        <w:tab/>
        <w:t>8</w:t>
      </w:r>
    </w:p>
    <w:p>
      <w:pPr>
        <w:tabs>
          <w:tab w:pos="9298" w:val="right" w:leader="dot"/>
        </w:tabs>
        <w:spacing w:after="0"/>
        <w:ind w:left="454"/>
      </w:pPr>
      <w:hyperlink w:anchor="h_27Technology">
        <w:r>
          <w:rPr>
            <w:color w:val="D9701C"/>
            <w:u w:val="single"/>
            <w:sz w:val="21"/>
          </w:rPr>
          <w:t xml:space="preserve">2.7 Technology</w:t>
        </w:r>
      </w:hyperlink>
      <w:r>
        <w:rPr>
          <w:sz w:val="21"/>
        </w:rPr>
        <w:tab/>
        <w:t>8</w:t>
      </w:r>
    </w:p>
    <w:p>
      <w:pPr>
        <w:tabs>
          <w:tab w:pos="9298" w:val="right" w:leader="dot"/>
        </w:tabs>
        <w:spacing w:after="40"/>
        <w:ind w:left="0"/>
      </w:pPr>
      <w:hyperlink w:anchor="s3">
        <w:r>
          <w:rPr>
            <w:color w:val="D9701C"/>
            <w:u w:val="single"/>
            <w:sz w:val="23"/>
          </w:rPr>
          <w:t xml:space="preserve">3. Data Exploration</w:t>
        </w:r>
      </w:hyperlink>
      <w:r>
        <w:rPr>
          <w:b/>
          <w:sz w:val="23"/>
        </w:rPr>
        <w:tab/>
        <w:t>9</w:t>
      </w:r>
    </w:p>
    <w:p>
      <w:pPr>
        <w:tabs>
          <w:tab w:pos="9298" w:val="right" w:leader="dot"/>
        </w:tabs>
        <w:spacing w:after="0"/>
        <w:ind w:left="454"/>
      </w:pPr>
      <w:hyperlink w:anchor="h_31Inventory">
        <w:r>
          <w:rPr>
            <w:color w:val="D9701C"/>
            <w:u w:val="single"/>
            <w:sz w:val="21"/>
          </w:rPr>
          <w:t xml:space="preserve">3.1 Inventory</w:t>
        </w:r>
      </w:hyperlink>
      <w:r>
        <w:rPr>
          <w:sz w:val="21"/>
        </w:rPr>
        <w:tab/>
        <w:t>9</w:t>
      </w:r>
    </w:p>
    <w:p>
      <w:pPr>
        <w:tabs>
          <w:tab w:pos="9298" w:val="right" w:leader="dot"/>
        </w:tabs>
        <w:spacing w:after="0"/>
        <w:ind w:left="454"/>
      </w:pPr>
      <w:hyperlink w:anchor="h_32Dataqualityaudit">
        <w:r>
          <w:rPr>
            <w:color w:val="D9701C"/>
            <w:u w:val="single"/>
            <w:sz w:val="21"/>
          </w:rPr>
          <w:t xml:space="preserve">3.2 Data quality audit</w:t>
        </w:r>
      </w:hyperlink>
      <w:r>
        <w:rPr>
          <w:sz w:val="21"/>
        </w:rPr>
        <w:tab/>
        <w:t>9</w:t>
      </w:r>
    </w:p>
    <w:p>
      <w:pPr>
        <w:tabs>
          <w:tab w:pos="9298" w:val="right" w:leader="dot"/>
        </w:tabs>
        <w:spacing w:after="0"/>
        <w:ind w:left="454"/>
      </w:pPr>
      <w:hyperlink w:anchor="h_33Datasetprofilesoutliersandin">
        <w:r>
          <w:rPr>
            <w:color w:val="D9701C"/>
            <w:u w:val="single"/>
            <w:sz w:val="21"/>
          </w:rPr>
          <w:t xml:space="preserve">3.3 Dataset profiles, outliers and inconsistencies</w:t>
        </w:r>
      </w:hyperlink>
      <w:r>
        <w:rPr>
          <w:sz w:val="21"/>
        </w:rPr>
        <w:tab/>
        <w:t>10</w:t>
      </w:r>
    </w:p>
    <w:p>
      <w:pPr>
        <w:tabs>
          <w:tab w:pos="9298" w:val="right" w:leader="dot"/>
        </w:tabs>
        <w:spacing w:after="0"/>
        <w:ind w:left="454"/>
      </w:pPr>
      <w:hyperlink w:anchor="h_34Descriptivestatistics">
        <w:r>
          <w:rPr>
            <w:color w:val="D9701C"/>
            <w:u w:val="single"/>
            <w:sz w:val="21"/>
          </w:rPr>
          <w:t xml:space="preserve">3.4 Descriptive statistics</w:t>
        </w:r>
      </w:hyperlink>
      <w:r>
        <w:rPr>
          <w:sz w:val="21"/>
        </w:rPr>
        <w:tab/>
        <w:t>11</w:t>
      </w:r>
    </w:p>
    <w:p>
      <w:pPr>
        <w:tabs>
          <w:tab w:pos="9298" w:val="right" w:leader="dot"/>
        </w:tabs>
        <w:spacing w:after="0"/>
        <w:ind w:left="454"/>
      </w:pPr>
      <w:hyperlink w:anchor="s33">
        <w:r>
          <w:rPr>
            <w:color w:val="D9701C"/>
            <w:u w:val="single"/>
            <w:sz w:val="21"/>
          </w:rPr>
          <w:t xml:space="preserve">3.5 Identifier audit</w:t>
        </w:r>
      </w:hyperlink>
      <w:r>
        <w:rPr>
          <w:sz w:val="21"/>
        </w:rPr>
        <w:tab/>
        <w:t>11</w:t>
      </w:r>
    </w:p>
    <w:p>
      <w:pPr>
        <w:tabs>
          <w:tab w:pos="9298" w:val="right" w:leader="dot"/>
        </w:tabs>
        <w:spacing w:after="0"/>
        <w:ind w:left="454"/>
      </w:pPr>
      <w:hyperlink w:anchor="h_36Derivedvariables">
        <w:r>
          <w:rPr>
            <w:color w:val="D9701C"/>
            <w:u w:val="single"/>
            <w:sz w:val="21"/>
          </w:rPr>
          <w:t xml:space="preserve">3.6 Derived variables</w:t>
        </w:r>
      </w:hyperlink>
      <w:r>
        <w:rPr>
          <w:sz w:val="21"/>
        </w:rPr>
        <w:tab/>
        <w:t>12</w:t>
      </w:r>
    </w:p>
    <w:p>
      <w:pPr>
        <w:tabs>
          <w:tab w:pos="9298" w:val="right" w:leader="dot"/>
        </w:tabs>
        <w:spacing w:after="0"/>
        <w:ind w:left="454"/>
      </w:pPr>
      <w:hyperlink w:anchor="h_37Consolidationanddatareductio">
        <w:r>
          <w:rPr>
            <w:color w:val="D9701C"/>
            <w:u w:val="single"/>
            <w:sz w:val="21"/>
          </w:rPr>
          <w:t xml:space="preserve">3.7 Consolidation and data reduction</w:t>
        </w:r>
      </w:hyperlink>
      <w:r>
        <w:rPr>
          <w:sz w:val="21"/>
        </w:rPr>
        <w:tab/>
        <w:t>12</w:t>
      </w:r>
    </w:p>
    <w:p>
      <w:pPr>
        <w:tabs>
          <w:tab w:pos="9298" w:val="right" w:leader="dot"/>
        </w:tabs>
        <w:spacing w:after="0"/>
        <w:ind w:left="454"/>
      </w:pPr>
      <w:hyperlink w:anchor="h_38Whatexplorationshowed">
        <w:r>
          <w:rPr>
            <w:color w:val="D9701C"/>
            <w:u w:val="single"/>
            <w:sz w:val="21"/>
          </w:rPr>
          <w:t xml:space="preserve">3.8 What exploration showed</w:t>
        </w:r>
      </w:hyperlink>
      <w:r>
        <w:rPr>
          <w:sz w:val="21"/>
        </w:rPr>
        <w:tab/>
        <w:t>13</w:t>
      </w:r>
    </w:p>
    <w:p>
      <w:pPr>
        <w:tabs>
          <w:tab w:pos="9298" w:val="right" w:leader="dot"/>
        </w:tabs>
        <w:spacing w:after="0"/>
        <w:ind w:left="454"/>
      </w:pPr>
      <w:hyperlink w:anchor="s37">
        <w:r>
          <w:rPr>
            <w:color w:val="D9701C"/>
            <w:u w:val="single"/>
            <w:sz w:val="21"/>
          </w:rPr>
          <w:t xml:space="preserve">3.9 Bharat lens: the tier gap</w:t>
        </w:r>
      </w:hyperlink>
      <w:r>
        <w:rPr>
          <w:sz w:val="21"/>
        </w:rPr>
        <w:tab/>
        <w:t>13</w:t>
      </w:r>
    </w:p>
    <w:p>
      <w:pPr>
        <w:tabs>
          <w:tab w:pos="9298" w:val="right" w:leader="dot"/>
        </w:tabs>
        <w:spacing w:after="40"/>
        <w:ind w:left="0"/>
      </w:pPr>
      <w:hyperlink w:anchor="s4">
        <w:r>
          <w:rPr>
            <w:color w:val="D9701C"/>
            <w:u w:val="single"/>
            <w:sz w:val="23"/>
          </w:rPr>
          <w:t xml:space="preserve">4. Data Analysis</w:t>
        </w:r>
      </w:hyperlink>
      <w:r>
        <w:rPr>
          <w:b/>
          <w:sz w:val="23"/>
        </w:rPr>
        <w:tab/>
        <w:t>14</w:t>
      </w:r>
    </w:p>
    <w:p>
      <w:pPr>
        <w:tabs>
          <w:tab w:pos="9298" w:val="right" w:leader="dot"/>
        </w:tabs>
        <w:spacing w:after="0"/>
        <w:ind w:left="454"/>
      </w:pPr>
      <w:hyperlink w:anchor="s41">
        <w:r>
          <w:rPr>
            <w:color w:val="D9701C"/>
            <w:u w:val="single"/>
            <w:sz w:val="21"/>
          </w:rPr>
          <w:t xml:space="preserve">4.1 Internal evidence: what separates high-hike juniors</w:t>
        </w:r>
      </w:hyperlink>
      <w:r>
        <w:rPr>
          <w:sz w:val="21"/>
        </w:rPr>
        <w:tab/>
        <w:t>14</w:t>
      </w:r>
    </w:p>
    <w:p>
      <w:pPr>
        <w:tabs>
          <w:tab w:pos="9298" w:val="right" w:leader="dot"/>
        </w:tabs>
        <w:spacing w:after="0"/>
        <w:ind w:left="454"/>
      </w:pPr>
      <w:hyperlink w:anchor="h_42IstheinternalsignalrealT1mod">
        <w:r>
          <w:rPr>
            <w:color w:val="D9701C"/>
            <w:u w:val="single"/>
            <w:sz w:val="21"/>
          </w:rPr>
          <w:t xml:space="preserve">4.2 Is the internal signal real? (T1 model zoo)</w:t>
        </w:r>
      </w:hyperlink>
      <w:r>
        <w:rPr>
          <w:sz w:val="21"/>
        </w:rPr>
        <w:tab/>
        <w:t>15</w:t>
      </w:r>
    </w:p>
    <w:p>
      <w:pPr>
        <w:tabs>
          <w:tab w:pos="9298" w:val="right" w:leader="dot"/>
        </w:tabs>
        <w:spacing w:after="0"/>
        <w:ind w:left="454"/>
      </w:pPr>
      <w:hyperlink w:anchor="h_43PersonalitycontextSDS">
        <w:r>
          <w:rPr>
            <w:color w:val="D9701C"/>
            <w:u w:val="single"/>
            <w:sz w:val="21"/>
          </w:rPr>
          <w:t xml:space="preserve">4.3 Personality context (SDS)</w:t>
        </w:r>
      </w:hyperlink>
      <w:r>
        <w:rPr>
          <w:sz w:val="21"/>
        </w:rPr>
        <w:tab/>
        <w:t>15</w:t>
      </w:r>
    </w:p>
    <w:p>
      <w:pPr>
        <w:tabs>
          <w:tab w:pos="9298" w:val="right" w:leader="dot"/>
        </w:tabs>
        <w:spacing w:after="0"/>
        <w:ind w:left="454"/>
      </w:pPr>
      <w:hyperlink w:anchor="s44">
        <w:r>
          <w:rPr>
            <w:color w:val="D9701C"/>
            <w:u w:val="single"/>
            <w:sz w:val="21"/>
          </w:rPr>
          <w:t xml:space="preserve">4.4 Market evidence: what the market pays for</w:t>
        </w:r>
      </w:hyperlink>
      <w:r>
        <w:rPr>
          <w:sz w:val="21"/>
        </w:rPr>
        <w:tab/>
        <w:t>16</w:t>
      </w:r>
    </w:p>
    <w:p>
      <w:pPr>
        <w:tabs>
          <w:tab w:pos="9298" w:val="right" w:leader="dot"/>
        </w:tabs>
        <w:spacing w:after="0"/>
        <w:ind w:left="454"/>
      </w:pPr>
      <w:hyperlink w:anchor="s45">
        <w:r>
          <w:rPr>
            <w:color w:val="D9701C"/>
            <w:u w:val="single"/>
            <w:sz w:val="21"/>
          </w:rPr>
          <w:t xml:space="preserve">4.5 The Storytelling paradox — resolved</w:t>
        </w:r>
      </w:hyperlink>
      <w:r>
        <w:rPr>
          <w:sz w:val="21"/>
        </w:rPr>
        <w:tab/>
        <w:t>17</w:t>
      </w:r>
    </w:p>
    <w:p>
      <w:pPr>
        <w:tabs>
          <w:tab w:pos="9298" w:val="right" w:leader="dot"/>
        </w:tabs>
        <w:spacing w:after="0"/>
        <w:ind w:left="454"/>
      </w:pPr>
      <w:hyperlink w:anchor="s46">
        <w:r>
          <w:rPr>
            <w:color w:val="D9701C"/>
            <w:u w:val="single"/>
            <w:sz w:val="21"/>
          </w:rPr>
          <w:t xml:space="preserve">4.6 Reading a job description: the T2 scanner</w:t>
        </w:r>
      </w:hyperlink>
      <w:r>
        <w:rPr>
          <w:sz w:val="21"/>
        </w:rPr>
        <w:tab/>
        <w:t>17</w:t>
      </w:r>
    </w:p>
    <w:p>
      <w:pPr>
        <w:tabs>
          <w:tab w:pos="9298" w:val="right" w:leader="dot"/>
        </w:tabs>
        <w:spacing w:after="0"/>
        <w:ind w:left="454"/>
      </w:pPr>
      <w:hyperlink w:anchor="s47">
        <w:r>
          <w:rPr>
            <w:color w:val="D9701C"/>
            <w:u w:val="single"/>
            <w:sz w:val="21"/>
          </w:rPr>
          <w:t xml:space="preserve">4.7 Headroom and modelled gain</w:t>
        </w:r>
      </w:hyperlink>
      <w:r>
        <w:rPr>
          <w:sz w:val="21"/>
        </w:rPr>
        <w:tab/>
        <w:t>18</w:t>
      </w:r>
    </w:p>
    <w:p>
      <w:pPr>
        <w:tabs>
          <w:tab w:pos="9298" w:val="right" w:leader="dot"/>
        </w:tabs>
        <w:spacing w:after="0"/>
        <w:ind w:left="454"/>
      </w:pPr>
      <w:hyperlink w:anchor="h_48Careerladderandsalarycontext">
        <w:r>
          <w:rPr>
            <w:color w:val="D9701C"/>
            <w:u w:val="single"/>
            <w:sz w:val="21"/>
          </w:rPr>
          <w:t xml:space="preserve">4.8 Career ladder and salary context</w:t>
        </w:r>
      </w:hyperlink>
      <w:r>
        <w:rPr>
          <w:sz w:val="21"/>
        </w:rPr>
        <w:tab/>
        <w:t>19</w:t>
      </w:r>
    </w:p>
    <w:p>
      <w:pPr>
        <w:tabs>
          <w:tab w:pos="9298" w:val="right" w:leader="dot"/>
        </w:tabs>
        <w:spacing w:after="0"/>
        <w:ind w:left="454"/>
      </w:pPr>
      <w:hyperlink w:anchor="s49">
        <w:r>
          <w:rPr>
            <w:color w:val="D9701C"/>
            <w:u w:val="single"/>
            <w:sz w:val="21"/>
          </w:rPr>
          <w:t xml:space="preserve">4.9 Evidence convergence: the decision</w:t>
        </w:r>
      </w:hyperlink>
      <w:r>
        <w:rPr>
          <w:sz w:val="21"/>
        </w:rPr>
        <w:tab/>
        <w:t>19</w:t>
      </w:r>
    </w:p>
    <w:p>
      <w:pPr>
        <w:tabs>
          <w:tab w:pos="9298" w:val="right" w:leader="dot"/>
        </w:tabs>
        <w:spacing w:after="40"/>
        <w:ind w:left="0"/>
      </w:pPr>
      <w:hyperlink w:anchor="s5">
        <w:r>
          <w:rPr>
            <w:color w:val="D9701C"/>
            <w:u w:val="single"/>
            <w:sz w:val="23"/>
          </w:rPr>
          <w:t xml:space="preserve">5. Results &amp; Conclusions</w:t>
        </w:r>
      </w:hyperlink>
      <w:r>
        <w:rPr>
          <w:b/>
          <w:sz w:val="23"/>
        </w:rPr>
        <w:tab/>
        <w:t>20</w:t>
      </w:r>
    </w:p>
    <w:p>
      <w:pPr>
        <w:tabs>
          <w:tab w:pos="9298" w:val="right" w:leader="dot"/>
        </w:tabs>
        <w:spacing w:after="0"/>
        <w:ind w:left="454"/>
      </w:pPr>
      <w:hyperlink w:anchor="h_51Thedecision">
        <w:r>
          <w:rPr>
            <w:color w:val="D9701C"/>
            <w:u w:val="single"/>
            <w:sz w:val="21"/>
          </w:rPr>
          <w:t xml:space="preserve">5.1 The decision</w:t>
        </w:r>
      </w:hyperlink>
      <w:r>
        <w:rPr>
          <w:sz w:val="21"/>
        </w:rPr>
        <w:tab/>
        <w:t>20</w:t>
      </w:r>
    </w:p>
    <w:p>
      <w:pPr>
        <w:tabs>
          <w:tab w:pos="9298" w:val="right" w:leader="dot"/>
        </w:tabs>
        <w:spacing w:after="0"/>
        <w:ind w:left="454"/>
      </w:pPr>
      <w:hyperlink w:anchor="h_52Objectivesmet">
        <w:r>
          <w:rPr>
            <w:color w:val="D9701C"/>
            <w:u w:val="single"/>
            <w:sz w:val="21"/>
          </w:rPr>
          <w:t xml:space="preserve">5.2 Objectives met</w:t>
        </w:r>
      </w:hyperlink>
      <w:r>
        <w:rPr>
          <w:sz w:val="21"/>
        </w:rPr>
        <w:tab/>
        <w:t>21</w:t>
      </w:r>
    </w:p>
    <w:p>
      <w:pPr>
        <w:tabs>
          <w:tab w:pos="9298" w:val="right" w:leader="dot"/>
        </w:tabs>
        <w:spacing w:after="0"/>
        <w:ind w:left="454"/>
      </w:pPr>
      <w:hyperlink w:anchor="h_53Hypotheses">
        <w:r>
          <w:rPr>
            <w:color w:val="D9701C"/>
            <w:u w:val="single"/>
            <w:sz w:val="21"/>
          </w:rPr>
          <w:t xml:space="preserve">5.3 Hypotheses</w:t>
        </w:r>
      </w:hyperlink>
      <w:r>
        <w:rPr>
          <w:sz w:val="21"/>
        </w:rPr>
        <w:tab/>
        <w:t>21</w:t>
      </w:r>
    </w:p>
    <w:p>
      <w:pPr>
        <w:tabs>
          <w:tab w:pos="9298" w:val="right" w:leader="dot"/>
        </w:tabs>
        <w:spacing w:after="0"/>
        <w:ind w:left="454"/>
      </w:pPr>
      <w:hyperlink w:anchor="h_54Conclusions">
        <w:r>
          <w:rPr>
            <w:color w:val="D9701C"/>
            <w:u w:val="single"/>
            <w:sz w:val="21"/>
          </w:rPr>
          <w:t xml:space="preserve">5.4 Conclusions</w:t>
        </w:r>
      </w:hyperlink>
      <w:r>
        <w:rPr>
          <w:sz w:val="21"/>
        </w:rPr>
        <w:tab/>
        <w:t>21</w:t>
      </w:r>
    </w:p>
    <w:p>
      <w:pPr>
        <w:tabs>
          <w:tab w:pos="9298" w:val="right" w:leader="dot"/>
        </w:tabs>
        <w:spacing w:after="40"/>
        <w:ind w:left="0"/>
      </w:pPr>
      <w:hyperlink w:anchor="s6">
        <w:r>
          <w:rPr>
            <w:color w:val="D9701C"/>
            <w:u w:val="single"/>
            <w:sz w:val="23"/>
          </w:rPr>
          <w:t xml:space="preserve">6. Implications</w:t>
        </w:r>
      </w:hyperlink>
      <w:r>
        <w:rPr>
          <w:b/>
          <w:sz w:val="23"/>
        </w:rPr>
        <w:tab/>
        <w:t>21</w:t>
      </w:r>
    </w:p>
    <w:p>
      <w:pPr>
        <w:tabs>
          <w:tab w:pos="9298" w:val="right" w:leader="dot"/>
        </w:tabs>
        <w:spacing w:after="0"/>
        <w:ind w:left="454"/>
      </w:pPr>
      <w:hyperlink w:anchor="h_61Foreachstakeholder">
        <w:r>
          <w:rPr>
            <w:color w:val="D9701C"/>
            <w:u w:val="single"/>
            <w:sz w:val="21"/>
          </w:rPr>
          <w:t xml:space="preserve">6.1 For each stakeholder</w:t>
        </w:r>
      </w:hyperlink>
      <w:r>
        <w:rPr>
          <w:sz w:val="21"/>
        </w:rPr>
        <w:tab/>
        <w:t>22</w:t>
      </w:r>
    </w:p>
    <w:p>
      <w:pPr>
        <w:tabs>
          <w:tab w:pos="9298" w:val="right" w:leader="dot"/>
        </w:tabs>
        <w:spacing w:after="0"/>
        <w:ind w:left="454"/>
      </w:pPr>
      <w:hyperlink w:anchor="h_62Fromanalysistoproduct">
        <w:r>
          <w:rPr>
            <w:color w:val="D9701C"/>
            <w:u w:val="single"/>
            <w:sz w:val="21"/>
          </w:rPr>
          <w:t xml:space="preserve">6.2 From analysis to product</w:t>
        </w:r>
      </w:hyperlink>
      <w:r>
        <w:rPr>
          <w:sz w:val="21"/>
        </w:rPr>
        <w:tab/>
        <w:t>22</w:t>
      </w:r>
    </w:p>
    <w:p>
      <w:pPr>
        <w:tabs>
          <w:tab w:pos="9298" w:val="right" w:leader="dot"/>
        </w:tabs>
        <w:spacing w:after="0"/>
        <w:ind w:left="454"/>
      </w:pPr>
      <w:hyperlink w:anchor="h_63Responsibleusebuiltin">
        <w:r>
          <w:rPr>
            <w:color w:val="D9701C"/>
            <w:u w:val="single"/>
            <w:sz w:val="21"/>
          </w:rPr>
          <w:t xml:space="preserve">6.3 Responsible use, built in</w:t>
        </w:r>
      </w:hyperlink>
      <w:r>
        <w:rPr>
          <w:sz w:val="21"/>
        </w:rPr>
        <w:tab/>
        <w:t>23</w:t>
      </w:r>
    </w:p>
    <w:p>
      <w:pPr>
        <w:tabs>
          <w:tab w:pos="9298" w:val="right" w:leader="dot"/>
        </w:tabs>
        <w:spacing w:after="0"/>
        <w:ind w:left="454"/>
      </w:pPr>
      <w:hyperlink w:anchor="h_64Limitationsandnextsteps">
        <w:r>
          <w:rPr>
            <w:color w:val="D9701C"/>
            <w:u w:val="single"/>
            <w:sz w:val="21"/>
          </w:rPr>
          <w:t xml:space="preserve">6.4 Limitations and next steps</w:t>
        </w:r>
      </w:hyperlink>
      <w:r>
        <w:rPr>
          <w:sz w:val="21"/>
        </w:rPr>
        <w:tab/>
        <w:t>23</w:t>
      </w:r>
    </w:p>
    <w:p>
      <w:pPr>
        <w:tabs>
          <w:tab w:pos="9298" w:val="right" w:leader="dot"/>
        </w:tabs>
        <w:spacing w:after="0"/>
        <w:ind w:left="454"/>
      </w:pPr>
      <w:hyperlink w:anchor="h_65Closing">
        <w:r>
          <w:rPr>
            <w:color w:val="D9701C"/>
            <w:u w:val="single"/>
            <w:sz w:val="21"/>
          </w:rPr>
          <w:t xml:space="preserve">6.5 Closing</w:t>
        </w:r>
      </w:hyperlink>
      <w:r>
        <w:rPr>
          <w:sz w:val="21"/>
        </w:rPr>
        <w:tab/>
        <w:t>24</w:t>
      </w:r>
    </w:p>
    <w:p>
      <w:pPr>
        <w:tabs>
          <w:tab w:pos="9298" w:val="right" w:leader="dot"/>
        </w:tabs>
        <w:spacing w:after="40"/>
        <w:ind w:left="0"/>
      </w:pPr>
      <w:hyperlink w:anchor="sA">
        <w:r>
          <w:rPr>
            <w:color w:val="D9701C"/>
            <w:u w:val="single"/>
            <w:sz w:val="23"/>
          </w:rPr>
          <w:t xml:space="preserve">Appendix</w:t>
        </w:r>
      </w:hyperlink>
      <w:r>
        <w:rPr>
          <w:b/>
          <w:sz w:val="23"/>
        </w:rPr>
        <w:tab/>
        <w:t>25</w:t>
      </w:r>
    </w:p>
    <w:p>
      <w:r>
        <w:br w:type="page"/>
      </w:r>
    </w:p>
    <w:p>
      <w:pPr>
        <w:pStyle w:val="Heading1"/>
      </w:pPr>
      <w:bookmarkStart w:id="4" w:name="s1"/>
      <w:r>
        <w:t>1. Problem Definition &amp; Analytics Objective</w:t>
      </w:r>
      <w:bookmarkEnd w:id="4"/>
    </w:p>
    <w:tbl>
      <w:tblPr>
        <w:tblW w:type="auto" w:w="0"/>
        <w:jc w:val="center"/>
        <w:tblLook w:firstColumn="1" w:firstRow="1" w:lastColumn="0" w:lastRow="0" w:noHBand="0" w:noVBand="1" w:val="04A0"/>
      </w:tblPr>
      <w:tblGrid>
        <w:gridCol w:w="9298"/>
      </w:tblGrid>
      <w:tr>
        <w:trPr>
          <w:cantSplit/>
        </w:trPr>
        <w:tc>
          <w:tcPr>
            <w:tcW w:type="dxa" w:w="9298"/>
            <w:tcBorders>
              <w:top w:val="nil"/>
              <w:start w:val="single" w:sz="24" w:color="D9701C"/>
              <w:bottom w:val="nil"/>
              <w:end w:val="nil"/>
            </w:tcBorders>
            <w:shd w:val="clear" w:color="auto" w:fill="FDF3E8"/>
            <w:tcMar>
              <w:top w:w="120" w:type="dxa"/>
              <w:start w:w="200" w:type="dxa"/>
              <w:bottom w:w="120" w:type="dxa"/>
              <w:end w:w="200" w:type="dxa"/>
            </w:tcMar>
          </w:tcPr>
          <w:p>
            <w:pPr>
              <w:spacing w:after="40"/>
            </w:pPr>
            <w:r>
              <w:rPr>
                <w:b/>
                <w:color w:val="D9701C"/>
                <w:sz w:val="19"/>
              </w:rPr>
              <w:t>IN ONE LINE</w:t>
            </w:r>
          </w:p>
          <w:p>
            <w:pPr>
              <w:spacing w:after="40"/>
            </w:pPr>
            <w:r>
              <w:rPr>
                <w:sz w:val="23"/>
              </w:rPr>
              <w:t>Capability investment decisions are usually made on opinion. NEXUS DELTA replaces the opinion with three independent pieces of evidence — and says so when they disagree.</w:t>
            </w:r>
          </w:p>
        </w:tc>
      </w:tr>
    </w:tbl>
    <w:p>
      <w:pPr>
        <w:spacing w:after="0"/>
      </w:pPr>
    </w:p>
    <w:p>
      <w:pPr>
        <w:pStyle w:val="Heading2"/>
      </w:pPr>
      <w:bookmarkStart w:id="5" w:name="h_11Context"/>
      <w:r>
        <w:t>1.1 Context</w:t>
      </w:r>
      <w:bookmarkEnd w:id="5"/>
    </w:p>
    <w:p>
      <w:pPr>
        <w:jc w:val="both"/>
      </w:pPr>
      <w:r>
        <w:t xml:space="preserve">The SAS CU Hackathon brief frames the problem around data-science jobs, the skills of data scientists and their personality traits, with the objective “to bring out the best information out of available data”. Four files were supplied: </w:t>
      </w:r>
      <w:r>
        <w:rPr>
          <w:b/>
        </w:rPr>
        <w:t>Analytics Jobs</w:t>
      </w:r>
      <w:r>
        <w:t xml:space="preserve"> (15,841 postings), </w:t>
      </w:r>
      <w:r>
        <w:rPr>
          <w:b/>
        </w:rPr>
        <w:t>Data Science Jobs</w:t>
      </w:r>
      <w:r>
        <w:t xml:space="preserve"> (1,602 rows of company-level openings and salaries), </w:t>
      </w:r>
      <w:r>
        <w:rPr>
          <w:b/>
        </w:rPr>
        <w:t>JDS Skill Traits</w:t>
      </w:r>
      <w:r>
        <w:t xml:space="preserve"> (139 junior data scientists, skills on a 1–5 scale and a high/low salary-hike outcome) and </w:t>
      </w:r>
      <w:r>
        <w:rPr>
          <w:b/>
        </w:rPr>
        <w:t>SDS Personality Traits</w:t>
      </w:r>
      <w:r>
        <w:t xml:space="preserve"> (161 records, 152 unique IDs, of senior, customer-facing data scientists, with Big-Five traits and a high/low success outcome).</w:t>
      </w:r>
    </w:p>
    <w:p>
      <w:pPr>
        <w:jc w:val="both"/>
      </w:pPr>
      <w:r>
        <w:t>Several groups make expensive decisions from exactly this kind of information, usually by instinct: a learning-and-development head choosing which capability to fund, a student choosing what to learn, a candidate choosing which job to accept, and a university deciding what to teach. A wrong choice costs a training budget, a year of study, a resignation or a curriculum cycle.</w:t>
      </w:r>
    </w:p>
    <w:p>
      <w:pPr>
        <w:pStyle w:val="Heading2"/>
      </w:pPr>
      <w:bookmarkStart w:id="6" w:name="h_12Problemstatement"/>
      <w:r>
        <w:t>1.2 Problem statement</w:t>
      </w:r>
      <w:bookmarkEnd w:id="6"/>
    </w:p>
    <w:tbl>
      <w:tblPr>
        <w:tblW w:type="auto" w:w="0"/>
        <w:jc w:val="center"/>
        <w:tblLook w:firstColumn="1" w:firstRow="1" w:lastColumn="0" w:lastRow="0" w:noHBand="0" w:noVBand="1" w:val="04A0"/>
      </w:tblPr>
      <w:tblGrid>
        <w:gridCol w:w="9298"/>
      </w:tblGrid>
      <w:tr>
        <w:trPr>
          <w:cantSplit/>
        </w:trPr>
        <w:tc>
          <w:tcPr>
            <w:tcW w:type="dxa" w:w="9298"/>
            <w:tcBorders>
              <w:top w:val="nil"/>
              <w:start w:val="single" w:sz="24" w:color="0B1730"/>
              <w:bottom w:val="nil"/>
              <w:end w:val="nil"/>
            </w:tcBorders>
            <w:shd w:val="clear" w:color="auto" w:fill="EEF1F6"/>
            <w:tcMar>
              <w:top w:w="120" w:type="dxa"/>
              <w:start w:w="200" w:type="dxa"/>
              <w:bottom w:w="120" w:type="dxa"/>
              <w:end w:w="200" w:type="dxa"/>
            </w:tcMar>
          </w:tcPr>
          <w:p>
            <w:pPr>
              <w:spacing w:after="40"/>
            </w:pPr>
            <w:r>
              <w:rPr>
                <w:b/>
                <w:color w:val="0B1730"/>
                <w:sz w:val="19"/>
              </w:rPr>
              <w:t>PROBLEM STATEMENT</w:t>
            </w:r>
          </w:p>
          <w:p>
            <w:pPr>
              <w:spacing w:after="40"/>
            </w:pPr>
            <w:r>
              <w:rPr>
                <w:b/>
                <w:sz w:val="23"/>
              </w:rPr>
              <w:t>Which data-science capability should be developed next — and how confident can we be — when internal performance evidence, external market evidence and remaining headroom may point in different directions?</w:t>
            </w:r>
          </w:p>
        </w:tc>
      </w:tr>
    </w:tbl>
    <w:p>
      <w:pPr>
        <w:spacing w:after="0"/>
      </w:pPr>
    </w:p>
    <w:p>
      <w:pPr>
        <w:keepNext/>
        <w:spacing w:after="60"/>
      </w:pPr>
      <w:r>
        <w:rPr>
          <w:b/>
          <w:sz w:val="21"/>
        </w:rPr>
        <w:t>Table 2.</w:t>
      </w:r>
      <w:r>
        <w:rPr>
          <w:sz w:val="21"/>
        </w:rPr>
        <w:t xml:space="preserve"> Who decides, what it costs to be wrong.</w:t>
      </w:r>
    </w:p>
    <w:tbl>
      <w:tblPr>
        <w:tblW w:type="auto" w:w="0"/>
        <w:jc w:val="center"/>
        <w:tblLayout w:type="fixed"/>
        <w:tblLook w:firstColumn="1" w:firstRow="1" w:lastColumn="0" w:lastRow="0" w:noHBand="0" w:noVBand="1" w:val="04A0"/>
      </w:tblPr>
      <w:tblGrid>
        <w:gridCol w:w="1928"/>
        <w:gridCol w:w="2154"/>
        <w:gridCol w:w="2268"/>
        <w:gridCol w:w="2891"/>
      </w:tblGrid>
      <w:tr>
        <w:trPr>
          <w:cantSplit/>
          <w:tblHeader/>
        </w:trPr>
        <w:tc>
          <w:tcPr>
            <w:tcW w:type="dxa" w:w="192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Stakeholder</w:t>
            </w:r>
          </w:p>
        </w:tc>
        <w:tc>
          <w:tcPr>
            <w:tcW w:type="dxa" w:w="215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Decision they face</w:t>
            </w:r>
          </w:p>
        </w:tc>
        <w:tc>
          <w:tcPr>
            <w:tcW w:type="dxa" w:w="226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Cost of a wrong decision</w:t>
            </w:r>
          </w:p>
        </w:tc>
        <w:tc>
          <w:tcPr>
            <w:tcW w:type="dxa" w:w="289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What NEXUS DELTA gives them</w:t>
            </w:r>
          </w:p>
        </w:tc>
      </w:tr>
      <w:tr>
        <w:trPr>
          <w:cantSplit/>
        </w:trPr>
        <w:tc>
          <w:tcPr>
            <w:tcW w:type="dxa" w:w="192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L&amp;D head / analytics leader</w:t>
            </w:r>
          </w:p>
        </w:tc>
        <w:tc>
          <w:tcPr>
            <w:tcW w:type="dxa" w:w="215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Which capability to fund for juniors</w:t>
            </w:r>
          </w:p>
        </w:tc>
        <w:tc>
          <w:tcPr>
            <w:tcW w:type="dxa" w:w="226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Budget spent on skills that do not move outcomes</w:t>
            </w:r>
          </w:p>
        </w:tc>
        <w:tc>
          <w:tcPr>
            <w:tcW w:type="dxa" w:w="289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PRIORITIZE / INVESTIGATE / MAINTAIN with evidence and confidence</w:t>
            </w:r>
          </w:p>
        </w:tc>
      </w:tr>
      <w:tr>
        <w:trPr>
          <w:cantSplit/>
        </w:trPr>
        <w:tc>
          <w:tcPr>
            <w:tcW w:type="dxa" w:w="192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Student / early professional</w:t>
            </w:r>
          </w:p>
        </w:tc>
        <w:tc>
          <w:tcPr>
            <w:tcW w:type="dxa" w:w="215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What to learn next for a target role</w:t>
            </w:r>
          </w:p>
        </w:tc>
        <w:tc>
          <w:tcPr>
            <w:tcW w:type="dxa" w:w="226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A year learning what the market discounts</w:t>
            </w:r>
          </w:p>
        </w:tc>
        <w:tc>
          <w:tcPr>
            <w:tcW w:type="dxa" w:w="289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Ranked development priorities for that role + salary-band distribution</w:t>
            </w:r>
          </w:p>
        </w:tc>
      </w:tr>
      <w:tr>
        <w:trPr>
          <w:cantSplit/>
        </w:trPr>
        <w:tc>
          <w:tcPr>
            <w:tcW w:type="dxa" w:w="192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Candidate / employee</w:t>
            </w:r>
          </w:p>
        </w:tc>
        <w:tc>
          <w:tcPr>
            <w:tcW w:type="dxa" w:w="215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Whether a role will fit how they work</w:t>
            </w:r>
          </w:p>
        </w:tc>
        <w:tc>
          <w:tcPr>
            <w:tcW w:type="dxa" w:w="226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Early attrition, friction, regret</w:t>
            </w:r>
          </w:p>
        </w:tc>
        <w:tc>
          <w:tcPr>
            <w:tcW w:type="dxa" w:w="289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Work-style fit, questions to ask, employee-reported culture</w:t>
            </w:r>
          </w:p>
        </w:tc>
      </w:tr>
      <w:tr>
        <w:trPr>
          <w:cantSplit/>
        </w:trPr>
        <w:tc>
          <w:tcPr>
            <w:tcW w:type="dxa" w:w="192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University placement cell</w:t>
            </w:r>
          </w:p>
        </w:tc>
        <w:tc>
          <w:tcPr>
            <w:tcW w:type="dxa" w:w="215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Which skills to add to the curriculum</w:t>
            </w:r>
          </w:p>
        </w:tc>
        <w:tc>
          <w:tcPr>
            <w:tcW w:type="dxa" w:w="226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Graduates trained for yesterday's roles</w:t>
            </w:r>
          </w:p>
        </w:tc>
        <w:tc>
          <w:tcPr>
            <w:tcW w:type="dxa" w:w="289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Capability demand by role and city tier</w:t>
            </w:r>
          </w:p>
        </w:tc>
      </w:tr>
    </w:tbl>
    <w:p>
      <w:pPr>
        <w:spacing w:after="40"/>
      </w:pPr>
    </w:p>
    <w:p>
      <w:pPr>
        <w:pStyle w:val="Heading2"/>
      </w:pPr>
      <w:bookmarkStart w:id="7" w:name="h_13Theworkforcehierarchy"/>
      <w:r>
        <w:t>1.3 The workforce hierarchy</w:t>
      </w:r>
      <w:bookmarkEnd w:id="7"/>
    </w:p>
    <w:p>
      <w:pPr>
        <w:jc w:val="both"/>
      </w:pPr>
      <w:r>
        <w:t>We organise the evidence as a hierarchy, borrowing the logic of Maslow's hierarchy of needs: a professional must first be employable, then grow, and only then can they choose where to thrive. Each level is answered by a different line of evidence, so the analysis never mixes them.</w:t>
      </w:r>
    </w:p>
    <w:p>
      <w:pPr>
        <w:keepNext/>
        <w:spacing w:after="40"/>
        <w:jc w:val="center"/>
      </w:pPr>
      <w:r>
        <w:drawing>
          <wp:inline xmlns:a="http://schemas.openxmlformats.org/drawingml/2006/main" xmlns:pic="http://schemas.openxmlformats.org/drawingml/2006/picture">
            <wp:extent cx="5220000" cy="2616932"/>
            <wp:docPr id="2" name="Picture 2"/>
            <wp:cNvGraphicFramePr>
              <a:graphicFrameLocks noChangeAspect="1"/>
            </wp:cNvGraphicFramePr>
            <a:graphic>
              <a:graphicData uri="http://schemas.openxmlformats.org/drawingml/2006/picture">
                <pic:pic>
                  <pic:nvPicPr>
                    <pic:cNvPr id="0" name="h_hierarchy.png"/>
                    <pic:cNvPicPr/>
                  </pic:nvPicPr>
                  <pic:blipFill>
                    <a:blip r:embed="rId13"/>
                    <a:stretch>
                      <a:fillRect/>
                    </a:stretch>
                  </pic:blipFill>
                  <pic:spPr>
                    <a:xfrm>
                      <a:off x="0" y="0"/>
                      <a:ext cx="5220000" cy="2616932"/>
                    </a:xfrm>
                    <a:prstGeom prst="rect"/>
                  </pic:spPr>
                </pic:pic>
              </a:graphicData>
            </a:graphic>
          </wp:inline>
        </w:drawing>
      </w:r>
    </w:p>
    <w:p>
      <w:pPr>
        <w:jc w:val="center"/>
      </w:pPr>
      <w:r>
        <w:rPr>
          <w:b/>
          <w:color w:val="5B6780"/>
          <w:sz w:val="21"/>
        </w:rPr>
        <w:t>Figure 1.</w:t>
      </w:r>
      <w:r>
        <w:rPr>
          <w:color w:val="5B6780"/>
          <w:sz w:val="21"/>
        </w:rPr>
        <w:t xml:space="preserve"> The NEXUS DELTA workforce hierarchy — a framing device, not a finding. Each level is answered by its own evidence line.</w:t>
      </w:r>
    </w:p>
    <w:p>
      <w:pPr>
        <w:pStyle w:val="Heading2"/>
      </w:pPr>
      <w:bookmarkStart w:id="8" w:name="h_14Analyticsobjectives"/>
      <w:r>
        <w:t>1.4 Analytics objectives</w:t>
      </w:r>
      <w:bookmarkEnd w:id="8"/>
    </w:p>
    <w:p>
      <w:pPr>
        <w:keepNext/>
        <w:spacing w:after="60"/>
      </w:pPr>
      <w:r>
        <w:rPr>
          <w:b/>
          <w:sz w:val="21"/>
        </w:rPr>
        <w:t>Table 3.</w:t>
      </w:r>
      <w:r>
        <w:rPr>
          <w:sz w:val="21"/>
        </w:rPr>
        <w:t xml:space="preserve"> Analytics objectives and success criteria.</w:t>
      </w:r>
    </w:p>
    <w:tbl>
      <w:tblPr>
        <w:tblW w:type="auto" w:w="0"/>
        <w:jc w:val="center"/>
        <w:tblLayout w:type="fixed"/>
        <w:tblLook w:firstColumn="1" w:firstRow="1" w:lastColumn="0" w:lastRow="0" w:noHBand="0" w:noVBand="1" w:val="04A0"/>
      </w:tblPr>
      <w:tblGrid>
        <w:gridCol w:w="567"/>
        <w:gridCol w:w="3515"/>
        <w:gridCol w:w="3572"/>
        <w:gridCol w:w="1587"/>
      </w:tblGrid>
      <w:tr>
        <w:trPr>
          <w:cantSplit/>
          <w:tblHeader/>
        </w:trPr>
        <w:tc>
          <w:tcPr>
            <w:tcW w:type="dxa" w:w="567"/>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w:t>
            </w:r>
          </w:p>
        </w:tc>
        <w:tc>
          <w:tcPr>
            <w:tcW w:type="dxa" w:w="3515"/>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Objective</w:t>
            </w:r>
          </w:p>
        </w:tc>
        <w:tc>
          <w:tcPr>
            <w:tcW w:type="dxa" w:w="3572"/>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Measurable success criterion</w:t>
            </w:r>
          </w:p>
        </w:tc>
        <w:tc>
          <w:tcPr>
            <w:tcW w:type="dxa" w:w="1587"/>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Answered in</w:t>
            </w:r>
          </w:p>
        </w:tc>
      </w:tr>
      <w:tr>
        <w:trPr>
          <w:cantSplit/>
        </w:trPr>
        <w:tc>
          <w:tcPr>
            <w:tcW w:type="dxa" w:w="56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O1</w:t>
            </w:r>
          </w:p>
        </w:tc>
        <w:tc>
          <w:tcPr>
            <w:tcW w:type="dxa" w:w="351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Measure which capabilities separate high- and low-hike juniors</w:t>
            </w:r>
          </w:p>
        </w:tc>
        <w:tc>
          <w:tcPr>
            <w:tcW w:type="dxa" w:w="3572"/>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Effect size with 95% CI and multiple-testing correction</w:t>
            </w:r>
          </w:p>
        </w:tc>
        <w:tc>
          <w:tcPr>
            <w:tcW w:type="dxa" w:w="158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hyperlink w:anchor="s41">
              <w:r>
                <w:rPr>
                  <w:color w:val="D9701C"/>
                  <w:u w:val="single"/>
                  <w:sz w:val="20"/>
                </w:rPr>
                <w:t xml:space="preserve">§4.1</w:t>
              </w:r>
            </w:hyperlink>
          </w:p>
        </w:tc>
      </w:tr>
      <w:tr>
        <w:trPr>
          <w:cantSplit/>
        </w:trPr>
        <w:tc>
          <w:tcPr>
            <w:tcW w:type="dxa" w:w="56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O2</w:t>
            </w:r>
          </w:p>
        </w:tc>
        <w:tc>
          <w:tcPr>
            <w:tcW w:type="dxa" w:w="351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Measure which capabilities the market pays for</w:t>
            </w:r>
          </w:p>
        </w:tc>
        <w:tc>
          <w:tcPr>
            <w:tcW w:type="dxa" w:w="3572"/>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Odds ratios stable across ≥ 6 model specifications</w:t>
            </w:r>
          </w:p>
        </w:tc>
        <w:tc>
          <w:tcPr>
            <w:tcW w:type="dxa" w:w="158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hyperlink w:anchor="s44">
              <w:r>
                <w:rPr>
                  <w:color w:val="D9701C"/>
                  <w:u w:val="single"/>
                  <w:sz w:val="20"/>
                </w:rPr>
                <w:t xml:space="preserve">§4.4</w:t>
              </w:r>
            </w:hyperlink>
          </w:p>
        </w:tc>
      </w:tr>
      <w:tr>
        <w:trPr>
          <w:cantSplit/>
        </w:trPr>
        <w:tc>
          <w:tcPr>
            <w:tcW w:type="dxa" w:w="56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O3</w:t>
            </w:r>
          </w:p>
        </w:tc>
        <w:tc>
          <w:tcPr>
            <w:tcW w:type="dxa" w:w="351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Quantify remaining development headroom per capability</w:t>
            </w:r>
          </w:p>
        </w:tc>
        <w:tc>
          <w:tcPr>
            <w:tcW w:type="dxa" w:w="3572"/>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Share of juniors below ceiling + modelled gain with CI</w:t>
            </w:r>
          </w:p>
        </w:tc>
        <w:tc>
          <w:tcPr>
            <w:tcW w:type="dxa" w:w="158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hyperlink w:anchor="s47">
              <w:r>
                <w:rPr>
                  <w:color w:val="D9701C"/>
                  <w:u w:val="single"/>
                  <w:sz w:val="20"/>
                </w:rPr>
                <w:t xml:space="preserve">§4.7</w:t>
              </w:r>
            </w:hyperlink>
          </w:p>
        </w:tc>
      </w:tr>
      <w:tr>
        <w:trPr>
          <w:cantSplit/>
        </w:trPr>
        <w:tc>
          <w:tcPr>
            <w:tcW w:type="dxa" w:w="56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O4</w:t>
            </w:r>
          </w:p>
        </w:tc>
        <w:tc>
          <w:tcPr>
            <w:tcW w:type="dxa" w:w="351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Turn three signals into one auditable decision</w:t>
            </w:r>
          </w:p>
        </w:tc>
        <w:tc>
          <w:tcPr>
            <w:tcW w:type="dxa" w:w="3572"/>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Printed rule; winner must beat runner-up in ≥ 80% of bootstraps</w:t>
            </w:r>
          </w:p>
        </w:tc>
        <w:tc>
          <w:tcPr>
            <w:tcW w:type="dxa" w:w="158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hyperlink w:anchor="s47">
              <w:r>
                <w:rPr>
                  <w:color w:val="D9701C"/>
                  <w:u w:val="single"/>
                  <w:sz w:val="20"/>
                </w:rPr>
                <w:t xml:space="preserve">§4.7</w:t>
              </w:r>
            </w:hyperlink>
            <w:r>
              <w:rPr>
                <w:sz w:val="20"/>
              </w:rPr>
              <w:t xml:space="preserve">, </w:t>
            </w:r>
            <w:hyperlink w:anchor="s49">
              <w:r>
                <w:rPr>
                  <w:color w:val="D9701C"/>
                  <w:u w:val="single"/>
                  <w:sz w:val="20"/>
                </w:rPr>
                <w:t xml:space="preserve">§4.9</w:t>
              </w:r>
            </w:hyperlink>
          </w:p>
        </w:tc>
      </w:tr>
      <w:tr>
        <w:trPr>
          <w:cantSplit/>
        </w:trPr>
        <w:tc>
          <w:tcPr>
            <w:tcW w:type="dxa" w:w="56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O5</w:t>
            </w:r>
          </w:p>
        </w:tc>
        <w:tc>
          <w:tcPr>
            <w:tcW w:type="dxa" w:w="351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Help a student read any job description</w:t>
            </w:r>
          </w:p>
        </w:tc>
        <w:tc>
          <w:tcPr>
            <w:tcW w:type="dxa" w:w="3572"/>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Salary-band model beating baselines on grouped CV</w:t>
            </w:r>
          </w:p>
        </w:tc>
        <w:tc>
          <w:tcPr>
            <w:tcW w:type="dxa" w:w="158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hyperlink w:anchor="s46">
              <w:r>
                <w:rPr>
                  <w:color w:val="D9701C"/>
                  <w:u w:val="single"/>
                  <w:sz w:val="20"/>
                </w:rPr>
                <w:t xml:space="preserve">§4.6</w:t>
              </w:r>
            </w:hyperlink>
          </w:p>
        </w:tc>
      </w:tr>
      <w:tr>
        <w:trPr>
          <w:cantSplit/>
        </w:trPr>
        <w:tc>
          <w:tcPr>
            <w:tcW w:type="dxa" w:w="56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O6</w:t>
            </w:r>
          </w:p>
        </w:tc>
        <w:tc>
          <w:tcPr>
            <w:tcW w:type="dxa" w:w="351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Show where Bharat's opportunity gap is</w:t>
            </w:r>
          </w:p>
        </w:tc>
        <w:tc>
          <w:tcPr>
            <w:tcW w:type="dxa" w:w="3572"/>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Capability and pay differences by city tier</w:t>
            </w:r>
          </w:p>
        </w:tc>
        <w:tc>
          <w:tcPr>
            <w:tcW w:type="dxa" w:w="158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hyperlink w:anchor="s37">
              <w:r>
                <w:rPr>
                  <w:color w:val="D9701C"/>
                  <w:u w:val="single"/>
                  <w:sz w:val="20"/>
                </w:rPr>
                <w:t xml:space="preserve">§3.9</w:t>
              </w:r>
            </w:hyperlink>
          </w:p>
        </w:tc>
      </w:tr>
    </w:tbl>
    <w:p>
      <w:pPr>
        <w:spacing w:after="40"/>
      </w:pPr>
    </w:p>
    <w:p>
      <w:pPr>
        <w:pStyle w:val="Heading2"/>
      </w:pPr>
      <w:bookmarkStart w:id="9" w:name="h_15Hypotheses"/>
      <w:r>
        <w:t>1.5 Hypotheses</w:t>
      </w:r>
      <w:bookmarkEnd w:id="9"/>
    </w:p>
    <w:p>
      <w:pPr>
        <w:pStyle w:val="ListBullet"/>
      </w:pPr>
      <w:r>
        <w:rPr>
          <w:b/>
        </w:rPr>
        <w:t>H1</w:t>
      </w:r>
      <w:r>
        <w:t xml:space="preserve"> — A capability that separates high performers internally is also paid a premium by the market.</w:t>
      </w:r>
    </w:p>
    <w:p>
      <w:pPr>
        <w:pStyle w:val="ListBullet"/>
      </w:pPr>
      <w:r>
        <w:rPr>
          <w:b/>
        </w:rPr>
        <w:t>H2</w:t>
      </w:r>
      <w:r>
        <w:t xml:space="preserve"> — Big Data, widely promoted as a core data-science skill, separates high performers.</w:t>
      </w:r>
    </w:p>
    <w:p>
      <w:pPr>
        <w:pStyle w:val="ListBullet"/>
      </w:pPr>
      <w:r>
        <w:rPr>
          <w:b/>
        </w:rPr>
        <w:t>H3</w:t>
      </w:r>
      <w:r>
        <w:t xml:space="preserve"> — The text of a job posting (title and listed skills) predicts its salary band beyond experience alone.</w:t>
      </w:r>
    </w:p>
    <w:p>
      <w:pPr>
        <w:pStyle w:val="ListBullet"/>
      </w:pPr>
      <w:r>
        <w:rPr>
          <w:b/>
        </w:rPr>
        <w:t>H4</w:t>
      </w:r>
      <w:r>
        <w:t xml:space="preserve"> — Seniority carries a consistent pay premium across data roles.</w:t>
      </w:r>
    </w:p>
    <w:p>
      <w:pPr>
        <w:pStyle w:val="ListBullet"/>
      </w:pPr>
      <w:r>
        <w:rPr>
          <w:b/>
        </w:rPr>
        <w:t>H5</w:t>
      </w:r>
      <w:r>
        <w:t xml:space="preserve"> — Personality traits separate successful senior, customer-facing data scientists.</w:t>
      </w:r>
    </w:p>
    <w:tbl>
      <w:tblPr>
        <w:tblW w:type="auto" w:w="0"/>
        <w:jc w:val="center"/>
        <w:tblLook w:firstColumn="1" w:firstRow="1" w:lastColumn="0" w:lastRow="0" w:noHBand="0" w:noVBand="1" w:val="04A0"/>
      </w:tblPr>
      <w:tblGrid>
        <w:gridCol w:w="9298"/>
      </w:tblGrid>
      <w:tr>
        <w:trPr>
          <w:cantSplit/>
        </w:trPr>
        <w:tc>
          <w:tcPr>
            <w:tcW w:type="dxa" w:w="9298"/>
            <w:tcBorders>
              <w:top w:val="nil"/>
              <w:start w:val="single" w:sz="24" w:color="B8963E"/>
              <w:bottom w:val="nil"/>
              <w:end w:val="nil"/>
            </w:tcBorders>
            <w:shd w:val="clear" w:color="auto" w:fill="FBF5E6"/>
            <w:tcMar>
              <w:top w:w="120" w:type="dxa"/>
              <w:start w:w="200" w:type="dxa"/>
              <w:bottom w:w="120" w:type="dxa"/>
              <w:end w:w="200" w:type="dxa"/>
            </w:tcMar>
          </w:tcPr>
          <w:p>
            <w:pPr>
              <w:spacing w:after="40"/>
            </w:pPr>
            <w:r>
              <w:rPr>
                <w:b/>
                <w:color w:val="B8963E"/>
                <w:sz w:val="19"/>
              </w:rPr>
              <w:t>AN OPEN QUESTION, ANSWERED IN §4.5</w:t>
            </w:r>
          </w:p>
          <w:p>
            <w:pPr>
              <w:spacing w:after="40"/>
            </w:pPr>
            <w:r>
              <w:rPr>
                <w:sz w:val="23"/>
              </w:rPr>
              <w:t xml:space="preserve">If H1 is true, every strong internal skill should be a market premium. </w:t>
            </w:r>
            <w:r>
              <w:rPr>
                <w:b/>
                <w:sz w:val="23"/>
              </w:rPr>
              <w:t>One of them is not.</w:t>
            </w:r>
            <w:r>
              <w:rPr>
                <w:sz w:val="23"/>
              </w:rPr>
              <w:t xml:space="preserve"> Which one — and why — turned out to be the most useful finding in this study (</w:t>
            </w:r>
            <w:hyperlink w:anchor="s45">
              <w:r>
                <w:rPr>
                  <w:color w:val="D9701C"/>
                  <w:u w:val="single"/>
                  <w:sz w:val="23"/>
                </w:rPr>
                <w:t xml:space="preserve">§4.5</w:t>
              </w:r>
            </w:hyperlink>
            <w:r>
              <w:rPr>
                <w:sz w:val="23"/>
              </w:rPr>
              <w:t>).</w:t>
            </w:r>
          </w:p>
        </w:tc>
      </w:tr>
    </w:tbl>
    <w:p>
      <w:pPr>
        <w:spacing w:after="0"/>
      </w:pPr>
    </w:p>
    <w:p>
      <w:pPr>
        <w:pStyle w:val="Heading2"/>
      </w:pPr>
      <w:bookmarkStart w:id="10" w:name="h_16Scope"/>
      <w:r>
        <w:t>1.6 Scope</w:t>
      </w:r>
      <w:bookmarkEnd w:id="10"/>
    </w:p>
    <w:p>
      <w:pPr>
        <w:jc w:val="both"/>
      </w:pPr>
      <w:r>
        <w:t>In scope: the five technical capabilities measured in JDS (Big Data, Maths &amp; Statistics, Coding, AI &amp; ML, Dashboards &amp; Storytelling), the Indian analytics job market as described in the brief (postings from 2024–25), and a decision rule an organisation can audit. Out of scope: causal claims (all evidence is associational), individual salary prediction from JDS (one company, n = 139), and any hiring or rejection decision about a person.</w:t>
      </w:r>
    </w:p>
    <w:p>
      <w:pPr>
        <w:pStyle w:val="Heading1"/>
      </w:pPr>
      <w:bookmarkStart w:id="11" w:name="s2"/>
      <w:r>
        <w:t>2. Approach Description</w:t>
      </w:r>
      <w:bookmarkEnd w:id="11"/>
    </w:p>
    <w:tbl>
      <w:tblPr>
        <w:tblW w:type="auto" w:w="0"/>
        <w:jc w:val="center"/>
        <w:tblLook w:firstColumn="1" w:firstRow="1" w:lastColumn="0" w:lastRow="0" w:noHBand="0" w:noVBand="1" w:val="04A0"/>
      </w:tblPr>
      <w:tblGrid>
        <w:gridCol w:w="9298"/>
      </w:tblGrid>
      <w:tr>
        <w:trPr>
          <w:cantSplit/>
        </w:trPr>
        <w:tc>
          <w:tcPr>
            <w:tcW w:type="dxa" w:w="9298"/>
            <w:tcBorders>
              <w:top w:val="nil"/>
              <w:start w:val="single" w:sz="24" w:color="D9701C"/>
              <w:bottom w:val="nil"/>
              <w:end w:val="nil"/>
            </w:tcBorders>
            <w:shd w:val="clear" w:color="auto" w:fill="FDF3E8"/>
            <w:tcMar>
              <w:top w:w="120" w:type="dxa"/>
              <w:start w:w="200" w:type="dxa"/>
              <w:bottom w:w="120" w:type="dxa"/>
              <w:end w:w="200" w:type="dxa"/>
            </w:tcMar>
          </w:tcPr>
          <w:p>
            <w:pPr>
              <w:spacing w:after="40"/>
            </w:pPr>
            <w:r>
              <w:rPr>
                <w:b/>
                <w:color w:val="D9701C"/>
                <w:sz w:val="19"/>
              </w:rPr>
              <w:t>IN ONE LINE</w:t>
            </w:r>
          </w:p>
          <w:p>
            <w:pPr>
              <w:spacing w:after="40"/>
            </w:pPr>
            <w:r>
              <w:rPr>
                <w:sz w:val="23"/>
              </w:rPr>
              <w:t>Three signals, kept apart and combined by written rules. Agreement → PRIORITIZE. Disagreement → INVESTIGATE. A weak internal link → MAINTAIN.</w:t>
            </w:r>
          </w:p>
        </w:tc>
      </w:tr>
    </w:tbl>
    <w:p>
      <w:pPr>
        <w:spacing w:after="0"/>
      </w:pPr>
    </w:p>
    <w:p>
      <w:pPr>
        <w:pStyle w:val="Heading2"/>
      </w:pPr>
      <w:bookmarkStart w:id="12" w:name="h_21TheZeroRulewhywedonotjointhe"/>
      <w:r>
        <w:t>2.1 The Zero Rule: why we do not join the datasets</w:t>
      </w:r>
      <w:bookmarkEnd w:id="12"/>
    </w:p>
    <w:p>
      <w:pPr>
        <w:jc w:val="both"/>
      </w:pPr>
      <w:r>
        <w:t>The obvious first step — merging the four files — is invalid. Our identifier audit (</w:t>
      </w:r>
      <w:hyperlink w:anchor="s33">
        <w:r>
          <w:rPr>
            <w:color w:val="D9701C"/>
            <w:u w:val="single"/>
          </w:rPr>
          <w:t xml:space="preserve">§3.5</w:t>
        </w:r>
      </w:hyperlink>
      <w:r>
        <w:t xml:space="preserve">) found </w:t>
      </w:r>
      <w:r>
        <w:rPr>
          <w:b/>
        </w:rPr>
        <w:t>0 IDs shared between JDS and SDS</w:t>
      </w:r>
      <w:r>
        <w:t>; the overlaps that do exist (for example 1,460 between DS Jobs reference numbers and Analytics Jobs serial numbers, and 137 and 152 between Analytics serial numbers and JDS/SDS IDs) are coincidental number ranges, not shared entities. The files also describe different grains: a posting, a company opening, a junior employee, a senior employee. Joining them would fabricate relationships.</w:t>
      </w:r>
    </w:p>
    <w:p>
      <w:pPr>
        <w:jc w:val="both"/>
      </w:pPr>
      <w:r>
        <w:t xml:space="preserve">Instead, NEXUS DELTA connects the datasets through a </w:t>
      </w:r>
      <w:r>
        <w:rPr>
          <w:b/>
        </w:rPr>
        <w:t>versioned capability taxonomy (cap-tax-v2.0)</w:t>
      </w:r>
      <w:r>
        <w:t>: the same five capabilities are measured as scores in JDS and detected as keyword (regex) flags in posting text. Each dataset answers the question it can actually answer.</w:t>
      </w:r>
    </w:p>
    <w:p>
      <w:pPr>
        <w:keepNext/>
        <w:spacing w:after="40"/>
        <w:jc w:val="center"/>
      </w:pPr>
      <w:r>
        <w:drawing>
          <wp:inline xmlns:a="http://schemas.openxmlformats.org/drawingml/2006/main" xmlns:pic="http://schemas.openxmlformats.org/drawingml/2006/picture">
            <wp:extent cx="5580000" cy="1857024"/>
            <wp:docPr id="3" name="Picture 3"/>
            <wp:cNvGraphicFramePr>
              <a:graphicFrameLocks noChangeAspect="1"/>
            </wp:cNvGraphicFramePr>
            <a:graphic>
              <a:graphicData uri="http://schemas.openxmlformats.org/drawingml/2006/picture">
                <pic:pic>
                  <pic:nvPicPr>
                    <pic:cNvPr id="0" name="fig00_pipeline.png"/>
                    <pic:cNvPicPr/>
                  </pic:nvPicPr>
                  <pic:blipFill>
                    <a:blip r:embed="rId14"/>
                    <a:stretch>
                      <a:fillRect/>
                    </a:stretch>
                  </pic:blipFill>
                  <pic:spPr>
                    <a:xfrm>
                      <a:off x="0" y="0"/>
                      <a:ext cx="5580000" cy="1857024"/>
                    </a:xfrm>
                    <a:prstGeom prst="rect"/>
                  </pic:spPr>
                </pic:pic>
              </a:graphicData>
            </a:graphic>
          </wp:inline>
        </w:drawing>
      </w:r>
    </w:p>
    <w:p>
      <w:pPr>
        <w:jc w:val="center"/>
      </w:pPr>
      <w:r>
        <w:rPr>
          <w:b/>
          <w:color w:val="5B6780"/>
          <w:sz w:val="21"/>
        </w:rPr>
        <w:t>Figure 2.</w:t>
      </w:r>
      <w:r>
        <w:rPr>
          <w:color w:val="5B6780"/>
          <w:sz w:val="21"/>
        </w:rPr>
        <w:t xml:space="preserve"> The NEXUS DELTA pipeline: data → evidence → insight → decision → action. Datasets meet only at the capability level. Notebook verdicts FUND / FUND WITH REFRAME / DEPRIORITISE appear in the product as PRIORITIZE / INVESTIGATE / MAINTAIN.</w:t>
      </w:r>
    </w:p>
    <w:p>
      <w:pPr>
        <w:pStyle w:val="Heading2"/>
      </w:pPr>
      <w:bookmarkStart w:id="13" w:name="h_22Overallflow"/>
      <w:r>
        <w:t>2.2 Overall flow</w:t>
      </w:r>
      <w:bookmarkEnd w:id="13"/>
    </w:p>
    <w:p>
      <w:pPr>
        <w:keepNext/>
        <w:spacing w:after="60"/>
      </w:pPr>
      <w:r>
        <w:rPr>
          <w:b/>
          <w:sz w:val="21"/>
        </w:rPr>
        <w:t>Table 4.</w:t>
      </w:r>
      <w:r>
        <w:rPr>
          <w:sz w:val="21"/>
        </w:rPr>
        <w:t xml:space="preserve"> Pipeline stages. Notebook links open the executed code.</w:t>
      </w:r>
    </w:p>
    <w:tbl>
      <w:tblPr>
        <w:tblW w:type="auto" w:w="0"/>
        <w:jc w:val="center"/>
        <w:tblLayout w:type="fixed"/>
        <w:tblLook w:firstColumn="1" w:firstRow="1" w:lastColumn="0" w:lastRow="0" w:noHBand="0" w:noVBand="1" w:val="04A0"/>
      </w:tblPr>
      <w:tblGrid>
        <w:gridCol w:w="1587"/>
        <w:gridCol w:w="964"/>
        <w:gridCol w:w="1474"/>
        <w:gridCol w:w="2381"/>
        <w:gridCol w:w="2835"/>
      </w:tblGrid>
      <w:tr>
        <w:trPr>
          <w:cantSplit/>
          <w:tblHeader/>
        </w:trPr>
        <w:tc>
          <w:tcPr>
            <w:tcW w:type="dxa" w:w="1587"/>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Stage</w:t>
            </w:r>
          </w:p>
        </w:tc>
        <w:tc>
          <w:tcPr>
            <w:tcW w:type="dxa" w:w="96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Notebook</w:t>
            </w:r>
          </w:p>
        </w:tc>
        <w:tc>
          <w:tcPr>
            <w:tcW w:type="dxa" w:w="147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Input</w:t>
            </w:r>
          </w:p>
        </w:tc>
        <w:tc>
          <w:tcPr>
            <w:tcW w:type="dxa" w:w="238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Output</w:t>
            </w:r>
          </w:p>
        </w:tc>
        <w:tc>
          <w:tcPr>
            <w:tcW w:type="dxa" w:w="2835"/>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Why this stage exists</w:t>
            </w:r>
          </w:p>
        </w:tc>
      </w:tr>
      <w:tr>
        <w:trPr>
          <w:cantSplit/>
        </w:trPr>
        <w:tc>
          <w:tcPr>
            <w:tcW w:type="dxa" w:w="158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1 Explore &amp; clean</w:t>
            </w:r>
          </w:p>
        </w:tc>
        <w:tc>
          <w:tcPr>
            <w:tcW w:type="dxa" w:w="96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hyperlink r:id="rId15">
              <w:r>
                <w:rPr>
                  <w:color w:val="D9701C"/>
                  <w:u w:val="single"/>
                  <w:sz w:val="19"/>
                </w:rPr>
                <w:t xml:space="preserve">NB01</w:t>
              </w:r>
            </w:hyperlink>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4 raw files</w:t>
            </w:r>
          </w:p>
        </w:tc>
        <w:tc>
          <w:tcPr>
            <w:tcW w:type="dxa" w:w="238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analytics_clean.csv, taxonomy.json</w:t>
            </w:r>
          </w:p>
        </w:tc>
        <w:tc>
          <w:tcPr>
            <w:tcW w:type="dxa" w:w="283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Fix duplicates, parse fields, flag bad rows, prove no join</w:t>
            </w:r>
          </w:p>
        </w:tc>
      </w:tr>
      <w:tr>
        <w:trPr>
          <w:cantSplit/>
        </w:trPr>
        <w:tc>
          <w:tcPr>
            <w:tcW w:type="dxa" w:w="158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2 Internal evidence</w:t>
            </w:r>
          </w:p>
        </w:tc>
        <w:tc>
          <w:tcPr>
            <w:tcW w:type="dxa" w:w="96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hyperlink r:id="rId16">
              <w:r>
                <w:rPr>
                  <w:color w:val="D9701C"/>
                  <w:u w:val="single"/>
                  <w:sz w:val="19"/>
                </w:rPr>
                <w:t xml:space="preserve">NB02</w:t>
              </w:r>
            </w:hyperlink>
          </w:p>
        </w:tc>
        <w:tc>
          <w:tcPr>
            <w:tcW w:type="dxa" w:w="147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JDS, SDS</w:t>
            </w:r>
          </w:p>
        </w:tc>
        <w:tc>
          <w:tcPr>
            <w:tcW w:type="dxa" w:w="238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Cliff's δ + CI + Holm</w:t>
            </w:r>
          </w:p>
        </w:tc>
        <w:tc>
          <w:tcPr>
            <w:tcW w:type="dxa" w:w="283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What separates high performers inside one company</w:t>
            </w:r>
          </w:p>
        </w:tc>
      </w:tr>
      <w:tr>
        <w:trPr>
          <w:cantSplit/>
        </w:trPr>
        <w:tc>
          <w:tcPr>
            <w:tcW w:type="dxa" w:w="158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3 Predictive check</w:t>
            </w:r>
          </w:p>
        </w:tc>
        <w:tc>
          <w:tcPr>
            <w:tcW w:type="dxa" w:w="96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hyperlink r:id="rId17">
              <w:r>
                <w:rPr>
                  <w:color w:val="D9701C"/>
                  <w:u w:val="single"/>
                  <w:sz w:val="19"/>
                </w:rPr>
                <w:t xml:space="preserve">NB03</w:t>
              </w:r>
            </w:hyperlink>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JDS</w:t>
            </w:r>
          </w:p>
        </w:tc>
        <w:tc>
          <w:tcPr>
            <w:tcW w:type="dxa" w:w="238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7-model zoo, permutation test</w:t>
            </w:r>
          </w:p>
        </w:tc>
        <w:tc>
          <w:tcPr>
            <w:tcW w:type="dxa" w:w="283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Is the internal signal real or noise?</w:t>
            </w:r>
          </w:p>
        </w:tc>
      </w:tr>
      <w:tr>
        <w:trPr>
          <w:cantSplit/>
        </w:trPr>
        <w:tc>
          <w:tcPr>
            <w:tcW w:type="dxa" w:w="158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4 Market evidence</w:t>
            </w:r>
          </w:p>
        </w:tc>
        <w:tc>
          <w:tcPr>
            <w:tcW w:type="dxa" w:w="96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hyperlink r:id="rId18">
              <w:r>
                <w:rPr>
                  <w:color w:val="D9701C"/>
                  <w:u w:val="single"/>
                  <w:sz w:val="19"/>
                </w:rPr>
                <w:t xml:space="preserve">NB04</w:t>
              </w:r>
            </w:hyperlink>
          </w:p>
        </w:tc>
        <w:tc>
          <w:tcPr>
            <w:tcW w:type="dxa" w:w="147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Analytics Jobs</w:t>
            </w:r>
          </w:p>
        </w:tc>
        <w:tc>
          <w:tcPr>
            <w:tcW w:type="dxa" w:w="238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Ordinal-logit odds ratios × 6 specs</w:t>
            </w:r>
          </w:p>
        </w:tc>
        <w:tc>
          <w:tcPr>
            <w:tcW w:type="dxa" w:w="283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What the market pays for, with controls</w:t>
            </w:r>
          </w:p>
        </w:tc>
      </w:tr>
      <w:tr>
        <w:trPr>
          <w:cantSplit/>
        </w:trPr>
        <w:tc>
          <w:tcPr>
            <w:tcW w:type="dxa" w:w="158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5 JD scanner</w:t>
            </w:r>
          </w:p>
        </w:tc>
        <w:tc>
          <w:tcPr>
            <w:tcW w:type="dxa" w:w="96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hyperlink r:id="rId19">
              <w:r>
                <w:rPr>
                  <w:color w:val="D9701C"/>
                  <w:u w:val="single"/>
                  <w:sz w:val="19"/>
                </w:rPr>
                <w:t xml:space="preserve">NB05</w:t>
              </w:r>
            </w:hyperlink>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Analytics Jobs</w:t>
            </w:r>
          </w:p>
        </w:tc>
        <w:tc>
          <w:tcPr>
            <w:tcW w:type="dxa" w:w="238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T2 model zoo, selected model</w:t>
            </w:r>
          </w:p>
        </w:tc>
        <w:tc>
          <w:tcPr>
            <w:tcW w:type="dxa" w:w="283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Read any job description for a student</w:t>
            </w:r>
          </w:p>
        </w:tc>
      </w:tr>
      <w:tr>
        <w:trPr>
          <w:cantSplit/>
        </w:trPr>
        <w:tc>
          <w:tcPr>
            <w:tcW w:type="dxa" w:w="158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6 Headroom &amp; decision</w:t>
            </w:r>
          </w:p>
        </w:tc>
        <w:tc>
          <w:tcPr>
            <w:tcW w:type="dxa" w:w="96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hyperlink r:id="rId20">
              <w:r>
                <w:rPr>
                  <w:color w:val="D9701C"/>
                  <w:u w:val="single"/>
                  <w:sz w:val="19"/>
                </w:rPr>
                <w:t xml:space="preserve">NB06</w:t>
              </w:r>
            </w:hyperlink>
          </w:p>
        </w:tc>
        <w:tc>
          <w:tcPr>
            <w:tcW w:type="dxa" w:w="147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Outputs of stages 2–5, DS Jobs</w:t>
            </w:r>
          </w:p>
        </w:tc>
        <w:tc>
          <w:tcPr>
            <w:tcW w:type="dxa" w:w="238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E_k what-if, bootstrap ranking, ladder, SQLite database</w:t>
            </w:r>
          </w:p>
        </w:tc>
        <w:tc>
          <w:tcPr>
            <w:tcW w:type="dxa" w:w="283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Combine signals into one auditable decision</w:t>
            </w:r>
          </w:p>
        </w:tc>
      </w:tr>
      <w:tr>
        <w:trPr>
          <w:cantSplit/>
        </w:trPr>
        <w:tc>
          <w:tcPr>
            <w:tcW w:type="dxa" w:w="158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7 Role profiles</w:t>
            </w:r>
          </w:p>
        </w:tc>
        <w:tc>
          <w:tcPr>
            <w:tcW w:type="dxa" w:w="96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hyperlink r:id="rId21">
              <w:r>
                <w:rPr>
                  <w:color w:val="D9701C"/>
                  <w:u w:val="single"/>
                  <w:sz w:val="19"/>
                </w:rPr>
                <w:t xml:space="preserve">NB07</w:t>
              </w:r>
            </w:hyperlink>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Analytics Jobs</w:t>
            </w:r>
          </w:p>
        </w:tc>
        <w:tc>
          <w:tcPr>
            <w:tcW w:type="dxa" w:w="238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Role demand, band shares</w:t>
            </w:r>
          </w:p>
        </w:tc>
        <w:tc>
          <w:tcPr>
            <w:tcW w:type="dxa" w:w="283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Feed the student lens of the app</w:t>
            </w:r>
          </w:p>
        </w:tc>
      </w:tr>
      <w:tr>
        <w:trPr>
          <w:cantSplit/>
        </w:trPr>
        <w:tc>
          <w:tcPr>
            <w:tcW w:type="dxa" w:w="158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8 Supplementary checks</w:t>
            </w:r>
          </w:p>
        </w:tc>
        <w:tc>
          <w:tcPr>
            <w:tcW w:type="dxa" w:w="96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hyperlink r:id="rId22">
              <w:r>
                <w:rPr>
                  <w:color w:val="D9701C"/>
                  <w:u w:val="single"/>
                  <w:sz w:val="19"/>
                </w:rPr>
                <w:t xml:space="preserve">NB08</w:t>
              </w:r>
            </w:hyperlink>
          </w:p>
        </w:tc>
        <w:tc>
          <w:tcPr>
            <w:tcW w:type="dxa" w:w="147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JDS, SDS, Analytics Jobs</w:t>
            </w:r>
          </w:p>
        </w:tc>
        <w:tc>
          <w:tcPr>
            <w:tcW w:type="dxa" w:w="238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Ranking detail, cut-point check, tier ratios, descriptives</w:t>
            </w:r>
          </w:p>
        </w:tc>
        <w:tc>
          <w:tcPr>
            <w:tcW w:type="dxa" w:w="283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Robustness and traceability for every number quoted</w:t>
            </w:r>
          </w:p>
        </w:tc>
      </w:tr>
    </w:tbl>
    <w:p>
      <w:pPr>
        <w:spacing w:after="40"/>
      </w:pPr>
    </w:p>
    <w:p>
      <w:pPr>
        <w:pStyle w:val="Heading2"/>
      </w:pPr>
      <w:bookmarkStart w:id="14" w:name="h_23Whythreesignalsinsteadofones"/>
      <w:r>
        <w:t>2.3 Why three signals instead of one score</w:t>
      </w:r>
      <w:bookmarkEnd w:id="14"/>
    </w:p>
    <w:p>
      <w:pPr>
        <w:jc w:val="both"/>
      </w:pPr>
      <w:r>
        <w:t>A weighted average would hide the most important information: disagreement. Storytelling scores HIGH internally and LOW in the market; averaged, it looks medium — and an organisation could fund report production that the market discounts. NEXUS DELTA therefore keeps the signals separate and makes the conflict visible (</w:t>
      </w:r>
      <w:hyperlink w:anchor="f_conv">
        <w:r>
          <w:rPr>
            <w:color w:val="D9701C"/>
            <w:u w:val="single"/>
          </w:rPr>
          <w:t xml:space="preserve">see the Evidence Convergence figure, §4.9</w:t>
        </w:r>
      </w:hyperlink>
      <w:r>
        <w:t>).</w:t>
      </w:r>
    </w:p>
    <w:p>
      <w:pPr>
        <w:keepNext/>
        <w:spacing w:after="60"/>
      </w:pPr>
      <w:r>
        <w:rPr>
          <w:b/>
          <w:sz w:val="21"/>
        </w:rPr>
        <w:t>Table 5.</w:t>
      </w:r>
      <w:r>
        <w:rPr>
          <w:sz w:val="21"/>
        </w:rPr>
        <w:t xml:space="preserve"> The three signals and how each is graded.</w:t>
      </w:r>
    </w:p>
    <w:tbl>
      <w:tblPr>
        <w:tblW w:type="auto" w:w="0"/>
        <w:jc w:val="center"/>
        <w:tblLayout w:type="fixed"/>
        <w:tblLook w:firstColumn="1" w:firstRow="1" w:lastColumn="0" w:lastRow="0" w:noHBand="0" w:noVBand="1" w:val="04A0"/>
      </w:tblPr>
      <w:tblGrid>
        <w:gridCol w:w="1587"/>
        <w:gridCol w:w="2154"/>
        <w:gridCol w:w="2948"/>
        <w:gridCol w:w="2551"/>
      </w:tblGrid>
      <w:tr>
        <w:trPr>
          <w:cantSplit/>
          <w:tblHeader/>
        </w:trPr>
        <w:tc>
          <w:tcPr>
            <w:tcW w:type="dxa" w:w="1587"/>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Signal</w:t>
            </w:r>
          </w:p>
        </w:tc>
        <w:tc>
          <w:tcPr>
            <w:tcW w:type="dxa" w:w="215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Source</w:t>
            </w:r>
          </w:p>
        </w:tc>
        <w:tc>
          <w:tcPr>
            <w:tcW w:type="dxa" w:w="294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Statistic</w:t>
            </w:r>
          </w:p>
        </w:tc>
        <w:tc>
          <w:tcPr>
            <w:tcW w:type="dxa" w:w="255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HIGH when</w:t>
            </w:r>
          </w:p>
        </w:tc>
      </w:tr>
      <w:tr>
        <w:trPr>
          <w:cantSplit/>
        </w:trPr>
        <w:tc>
          <w:tcPr>
            <w:tcW w:type="dxa" w:w="158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Internal evidence</w:t>
            </w:r>
          </w:p>
        </w:tc>
        <w:tc>
          <w:tcPr>
            <w:tcW w:type="dxa" w:w="215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JDS (n = 139)</w:t>
            </w:r>
          </w:p>
        </w:tc>
        <w:tc>
          <w:tcPr>
            <w:tcW w:type="dxa" w:w="294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Cliff's δ, Mann–Whitney U, 2,000-bootstrap CI, Holm</w:t>
            </w:r>
          </w:p>
        </w:tc>
        <w:tc>
          <w:tcPr>
            <w:tcW w:type="dxa" w:w="255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δ ≥ 0.33 and 95% CI above 0 (LOW: Holm p ≥ 0.05 or δ &lt; 0.147)</w:t>
            </w:r>
          </w:p>
        </w:tc>
      </w:tr>
      <w:tr>
        <w:trPr>
          <w:cantSplit/>
        </w:trPr>
        <w:tc>
          <w:tcPr>
            <w:tcW w:type="dxa" w:w="158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Market evidence</w:t>
            </w:r>
          </w:p>
        </w:tc>
        <w:tc>
          <w:tcPr>
            <w:tcW w:type="dxa" w:w="215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Analytics Jobs: 6,097 data-role postings (10,338 in the wide check)</w:t>
            </w:r>
          </w:p>
        </w:tc>
        <w:tc>
          <w:tcPr>
            <w:tcW w:type="dxa" w:w="294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Proportional-odds ratio for a higher salary band</w:t>
            </w:r>
          </w:p>
        </w:tc>
        <w:tc>
          <w:tcPr>
            <w:tcW w:type="dxa" w:w="255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Premium (CI &gt; 1) in both primary (S5) and wide (S6) models; LOW = discount in both</w:t>
            </w:r>
          </w:p>
        </w:tc>
      </w:tr>
      <w:tr>
        <w:trPr>
          <w:cantSplit/>
        </w:trPr>
        <w:tc>
          <w:tcPr>
            <w:tcW w:type="dxa" w:w="158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Headroom</w:t>
            </w:r>
          </w:p>
        </w:tc>
        <w:tc>
          <w:tcPr>
            <w:tcW w:type="dxa" w:w="215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JDS</w:t>
            </w:r>
          </w:p>
        </w:tc>
        <w:tc>
          <w:tcPr>
            <w:tcW w:type="dxa" w:w="294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 of juniors below 5.0; E_k = modelled gain per +0.5 step</w:t>
            </w:r>
          </w:p>
        </w:tc>
        <w:tc>
          <w:tcPr>
            <w:tcW w:type="dxa" w:w="255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 60% (MEDIUM 45–60%, LOW &lt; 45%); E_k ranks funded capabilities</w:t>
            </w:r>
          </w:p>
        </w:tc>
      </w:tr>
    </w:tbl>
    <w:p>
      <w:pPr>
        <w:spacing w:after="40"/>
      </w:pPr>
    </w:p>
    <w:p>
      <w:pPr>
        <w:pStyle w:val="Heading2"/>
      </w:pPr>
      <w:bookmarkStart w:id="15" w:name="h_24Decisionrules"/>
      <w:r>
        <w:t>2.4 Decision rules</w:t>
      </w:r>
      <w:bookmarkEnd w:id="15"/>
    </w:p>
    <w:p>
      <w:pPr>
        <w:keepNext/>
        <w:spacing w:after="60"/>
      </w:pPr>
      <w:r>
        <w:rPr>
          <w:b/>
          <w:sz w:val="21"/>
        </w:rPr>
        <w:t>Table 6.</w:t>
      </w:r>
      <w:r>
        <w:rPr>
          <w:sz w:val="21"/>
        </w:rPr>
        <w:t xml:space="preserve"> The decision rule (NB06). Thresholds follow Romano et al. for Cliff's δ (0.147 small, 0.33 medium, 0.474 large); ‘strong’ therefore means at least a medium effect with a confidence interval above zero.</w:t>
      </w:r>
    </w:p>
    <w:tbl>
      <w:tblPr>
        <w:tblW w:type="auto" w:w="0"/>
        <w:jc w:val="center"/>
        <w:tblLayout w:type="fixed"/>
        <w:tblLook w:firstColumn="1" w:firstRow="1" w:lastColumn="0" w:lastRow="0" w:noHBand="0" w:noVBand="1" w:val="04A0"/>
      </w:tblPr>
      <w:tblGrid>
        <w:gridCol w:w="5102"/>
        <w:gridCol w:w="1984"/>
        <w:gridCol w:w="2154"/>
      </w:tblGrid>
      <w:tr>
        <w:trPr>
          <w:cantSplit/>
          <w:tblHeader/>
        </w:trPr>
        <w:tc>
          <w:tcPr>
            <w:tcW w:type="dxa" w:w="5102"/>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Condition</w:t>
            </w:r>
          </w:p>
        </w:tc>
        <w:tc>
          <w:tcPr>
            <w:tcW w:type="dxa" w:w="198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Verdict</w:t>
            </w:r>
          </w:p>
        </w:tc>
        <w:tc>
          <w:tcPr>
            <w:tcW w:type="dxa" w:w="215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Product label</w:t>
            </w:r>
          </w:p>
        </w:tc>
      </w:tr>
      <w:tr>
        <w:trPr>
          <w:cantSplit/>
        </w:trPr>
        <w:tc>
          <w:tcPr>
            <w:tcW w:type="dxa" w:w="5102"/>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Strong internal + market premium or neutral</w:t>
            </w:r>
          </w:p>
        </w:tc>
        <w:tc>
          <w:tcPr>
            <w:tcW w:type="dxa" w:w="198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FUND</w:t>
            </w:r>
          </w:p>
        </w:tc>
        <w:tc>
          <w:tcPr>
            <w:tcW w:type="dxa" w:w="215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PRIORITIZE</w:t>
            </w:r>
          </w:p>
        </w:tc>
      </w:tr>
      <w:tr>
        <w:trPr>
          <w:cantSplit/>
        </w:trPr>
        <w:tc>
          <w:tcPr>
            <w:tcW w:type="dxa" w:w="5102"/>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Strong internal + market discount in both taxonomies</w:t>
            </w:r>
          </w:p>
        </w:tc>
        <w:tc>
          <w:tcPr>
            <w:tcW w:type="dxa" w:w="198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FUND WITH REFRAME</w:t>
            </w:r>
          </w:p>
        </w:tc>
        <w:tc>
          <w:tcPr>
            <w:tcW w:type="dxa" w:w="215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INVESTIGATE</w:t>
            </w:r>
          </w:p>
        </w:tc>
      </w:tr>
      <w:tr>
        <w:trPr>
          <w:cantSplit/>
        </w:trPr>
        <w:tc>
          <w:tcPr>
            <w:tcW w:type="dxa" w:w="5102"/>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Moderate internal + robust premium</w:t>
            </w:r>
          </w:p>
        </w:tc>
        <w:tc>
          <w:tcPr>
            <w:tcW w:type="dxa" w:w="198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MONITOR</w:t>
            </w:r>
          </w:p>
        </w:tc>
        <w:tc>
          <w:tcPr>
            <w:tcW w:type="dxa" w:w="215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INVESTIGATE</w:t>
            </w:r>
          </w:p>
        </w:tc>
      </w:tr>
      <w:tr>
        <w:trPr>
          <w:cantSplit/>
        </w:trPr>
        <w:tc>
          <w:tcPr>
            <w:tcW w:type="dxa" w:w="5102"/>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Weak internal (Holm p ≥ 0.05 or δ &lt; 0.147), or moderate without a premium</w:t>
            </w:r>
          </w:p>
        </w:tc>
        <w:tc>
          <w:tcPr>
            <w:tcW w:type="dxa" w:w="198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DEPRIORITISE</w:t>
            </w:r>
          </w:p>
        </w:tc>
        <w:tc>
          <w:tcPr>
            <w:tcW w:type="dxa" w:w="215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MAINTAIN</w:t>
            </w:r>
          </w:p>
        </w:tc>
      </w:tr>
      <w:tr>
        <w:trPr>
          <w:cantSplit/>
        </w:trPr>
        <w:tc>
          <w:tcPr>
            <w:tcW w:type="dxa" w:w="5102"/>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Among funded: winner must beat runner-up in ≥ 80% of 1,000 paired bootstraps</w:t>
            </w:r>
          </w:p>
        </w:tc>
        <w:tc>
          <w:tcPr>
            <w:tcW w:type="dxa" w:w="198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else TIED</w:t>
            </w:r>
          </w:p>
        </w:tc>
        <w:tc>
          <w:tcPr>
            <w:tcW w:type="dxa" w:w="215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INVESTIGATE (human choice logged)</w:t>
            </w:r>
          </w:p>
        </w:tc>
      </w:tr>
    </w:tbl>
    <w:p>
      <w:pPr>
        <w:spacing w:after="40"/>
      </w:pPr>
    </w:p>
    <w:p>
      <w:pPr>
        <w:pStyle w:val="Heading2"/>
      </w:pPr>
      <w:bookmarkStart w:id="16" w:name="h_25Methodchoicesandthereasonfor"/>
      <w:r>
        <w:t>2.5 Method choices and the reason for each</w:t>
      </w:r>
      <w:bookmarkEnd w:id="16"/>
    </w:p>
    <w:p>
      <w:pPr>
        <w:keepNext/>
        <w:spacing w:after="60"/>
      </w:pPr>
      <w:r>
        <w:rPr>
          <w:b/>
          <w:sz w:val="21"/>
        </w:rPr>
        <w:t>Table 7.</w:t>
      </w:r>
      <w:r>
        <w:rPr>
          <w:sz w:val="21"/>
        </w:rPr>
        <w:t xml:space="preserve"> Methods and justification.</w:t>
      </w:r>
    </w:p>
    <w:tbl>
      <w:tblPr>
        <w:tblW w:type="auto" w:w="0"/>
        <w:jc w:val="center"/>
        <w:tblLayout w:type="fixed"/>
        <w:tblLook w:firstColumn="1" w:firstRow="1" w:lastColumn="0" w:lastRow="0" w:noHBand="0" w:noVBand="1" w:val="04A0"/>
      </w:tblPr>
      <w:tblGrid>
        <w:gridCol w:w="2494"/>
        <w:gridCol w:w="1928"/>
        <w:gridCol w:w="4819"/>
      </w:tblGrid>
      <w:tr>
        <w:trPr>
          <w:cantSplit/>
          <w:tblHeader/>
        </w:trPr>
        <w:tc>
          <w:tcPr>
            <w:tcW w:type="dxa" w:w="249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Method</w:t>
            </w:r>
          </w:p>
        </w:tc>
        <w:tc>
          <w:tcPr>
            <w:tcW w:type="dxa" w:w="192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Used for</w:t>
            </w:r>
          </w:p>
        </w:tc>
        <w:tc>
          <w:tcPr>
            <w:tcW w:type="dxa" w:w="4819"/>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Why this, not the alternative</w:t>
            </w:r>
          </w:p>
        </w:tc>
      </w:tr>
      <w:tr>
        <w:trPr>
          <w:cantSplit/>
        </w:trPr>
        <w:tc>
          <w:tcPr>
            <w:tcW w:type="dxa" w:w="249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Mann–Whitney U + Cliff's δ</w:t>
            </w:r>
          </w:p>
        </w:tc>
        <w:tc>
          <w:tcPr>
            <w:tcW w:type="dxa" w:w="192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JDS/SDS group differences</w:t>
            </w:r>
          </w:p>
        </w:tc>
        <w:tc>
          <w:tcPr>
            <w:tcW w:type="dxa" w:w="4819"/>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Scores are bounded 1–5 and ceiling-heavy; δ is distribution-free and interpretable, t-tests assume normality</w:t>
            </w:r>
          </w:p>
        </w:tc>
      </w:tr>
      <w:tr>
        <w:trPr>
          <w:cantSplit/>
        </w:trPr>
        <w:tc>
          <w:tcPr>
            <w:tcW w:type="dxa" w:w="249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Holm correction</w:t>
            </w:r>
          </w:p>
        </w:tc>
        <w:tc>
          <w:tcPr>
            <w:tcW w:type="dxa" w:w="192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5 simultaneous tests per family (JDS, SDS)</w:t>
            </w:r>
          </w:p>
        </w:tc>
        <w:tc>
          <w:tcPr>
            <w:tcW w:type="dxa" w:w="4819"/>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Controls family-wise error and is uniformly more powerful than Bonferroni</w:t>
            </w:r>
          </w:p>
        </w:tc>
      </w:tr>
      <w:tr>
        <w:trPr>
          <w:cantSplit/>
        </w:trPr>
        <w:tc>
          <w:tcPr>
            <w:tcW w:type="dxa" w:w="249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L2 logistic + StratifiedGroupKFold</w:t>
            </w:r>
          </w:p>
        </w:tc>
        <w:tc>
          <w:tcPr>
            <w:tcW w:type="dxa" w:w="192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T1 high-hike model</w:t>
            </w:r>
          </w:p>
        </w:tc>
        <w:tc>
          <w:tcPr>
            <w:tcW w:type="dxa" w:w="4819"/>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Duplicate employee profiles exist; grouping prevents the same profile in train and test</w:t>
            </w:r>
          </w:p>
        </w:tc>
      </w:tr>
      <w:tr>
        <w:trPr>
          <w:cantSplit/>
        </w:trPr>
        <w:tc>
          <w:tcPr>
            <w:tcW w:type="dxa" w:w="249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Permutation test (300 shuffles for T1, 40 for T2)</w:t>
            </w:r>
          </w:p>
        </w:tc>
        <w:tc>
          <w:tcPr>
            <w:tcW w:type="dxa" w:w="192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T1 and T2 validity</w:t>
            </w:r>
          </w:p>
        </w:tc>
        <w:tc>
          <w:tcPr>
            <w:tcW w:type="dxa" w:w="4819"/>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Shows the scores are not achievable by chance</w:t>
            </w:r>
          </w:p>
        </w:tc>
      </w:tr>
      <w:tr>
        <w:trPr>
          <w:cantSplit/>
        </w:trPr>
        <w:tc>
          <w:tcPr>
            <w:tcW w:type="dxa" w:w="249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Ordinal logit (statsmodels OrderedModel)</w:t>
            </w:r>
          </w:p>
        </w:tc>
        <w:tc>
          <w:tcPr>
            <w:tcW w:type="dxa" w:w="192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Market evidence</w:t>
            </w:r>
          </w:p>
        </w:tc>
        <w:tc>
          <w:tcPr>
            <w:tcW w:type="dxa" w:w="4819"/>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Salary bands are ordered; ordinal logit uses the order, multinomial throws it away</w:t>
            </w:r>
          </w:p>
        </w:tc>
      </w:tr>
      <w:tr>
        <w:trPr>
          <w:cantSplit/>
        </w:trPr>
        <w:tc>
          <w:tcPr>
            <w:tcW w:type="dxa" w:w="249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6 nested specifications</w:t>
            </w:r>
          </w:p>
        </w:tc>
        <w:tc>
          <w:tcPr>
            <w:tcW w:type="dxa" w:w="192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Robustness</w:t>
            </w:r>
          </w:p>
        </w:tc>
        <w:tc>
          <w:tcPr>
            <w:tcW w:type="dxa" w:w="4819"/>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A skill only counts as a premium if it survives experience, seniority, location, role and data-quality controls</w:t>
            </w:r>
          </w:p>
        </w:tc>
      </w:tr>
      <w:tr>
        <w:trPr>
          <w:cantSplit/>
        </w:trPr>
        <w:tc>
          <w:tcPr>
            <w:tcW w:type="dxa" w:w="249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TF-IDF (title + listed skills) + structured logistic</w:t>
            </w:r>
          </w:p>
        </w:tc>
        <w:tc>
          <w:tcPr>
            <w:tcW w:type="dxa" w:w="192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T2 JD scanner</w:t>
            </w:r>
          </w:p>
        </w:tc>
        <w:tc>
          <w:tcPr>
            <w:tcW w:type="dxa" w:w="4819"/>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Best of 7 models on grouped CV; linear, fast, explainable, runs offline</w:t>
            </w:r>
          </w:p>
        </w:tc>
      </w:tr>
      <w:tr>
        <w:trPr>
          <w:cantSplit/>
        </w:trPr>
        <w:tc>
          <w:tcPr>
            <w:tcW w:type="dxa" w:w="249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Paired bootstrap ranking</w:t>
            </w:r>
          </w:p>
        </w:tc>
        <w:tc>
          <w:tcPr>
            <w:tcW w:type="dxa" w:w="192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Final decision</w:t>
            </w:r>
          </w:p>
        </w:tc>
        <w:tc>
          <w:tcPr>
            <w:tcW w:type="dxa" w:w="4819"/>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Turns ‘which is first?’ into a probability; declares ties instead of hiding them</w:t>
            </w:r>
          </w:p>
        </w:tc>
      </w:tr>
    </w:tbl>
    <w:p>
      <w:pPr>
        <w:spacing w:after="40"/>
      </w:pPr>
    </w:p>
    <w:p>
      <w:pPr>
        <w:pStyle w:val="Heading3"/>
      </w:pPr>
      <w:r>
        <w:t>Key formulas</w:t>
      </w:r>
    </w:p>
    <w:p>
      <w:pPr>
        <w:jc w:val="both"/>
      </w:pPr>
      <w:r>
        <w:rPr>
          <w:b/>
        </w:rPr>
        <w:t>Cliff's δ</w:t>
      </w:r>
      <w:r>
        <w:t xml:space="preserve"> (internal evidence), for high-hike scores xᵢ and low-hike scores yⱼ:</w:t>
      </w:r>
    </w:p>
    <w:p>
      <w:pPr>
        <w:spacing w:after="160"/>
        <w:jc w:val="center"/>
      </w:pPr>
      <w:r>
        <w:rPr>
          <w:i/>
          <w:sz w:val="23"/>
        </w:rPr>
        <w:t>δ = [ #(xᵢ &gt; yⱼ) − #(xᵢ &lt; yⱼ) ] / (n_high · n_low) = 2U / (n_high · n_low) − 1,   −1 ≤ δ ≤ 1</w:t>
      </w:r>
    </w:p>
    <w:p>
      <w:pPr>
        <w:jc w:val="both"/>
      </w:pPr>
      <w:r>
        <w:rPr>
          <w:b/>
        </w:rPr>
        <w:t>Proportional-odds ordinal logit</w:t>
      </w:r>
      <w:r>
        <w:t xml:space="preserve"> (market evidence), for salary band Y ∈ {0,…,5}, capability flags Sₖ and controls Z:</w:t>
      </w:r>
    </w:p>
    <w:p>
      <w:pPr>
        <w:spacing w:after="160"/>
        <w:jc w:val="center"/>
      </w:pPr>
      <w:r>
        <w:rPr>
          <w:i/>
          <w:sz w:val="23"/>
        </w:rPr>
        <w:t>logit P(Y ≥ j) = αⱼ + Σₖ βₖ·Sₖ + γ·Z,   ORₖ = exp(βₖ) (ORₖ &gt; 1: higher bands more likely)</w:t>
      </w:r>
    </w:p>
    <w:p>
      <w:pPr>
        <w:jc w:val="both"/>
      </w:pPr>
      <w:r>
        <w:rPr>
          <w:b/>
        </w:rPr>
        <w:t>Modelled gain Eₖ</w:t>
      </w:r>
      <w:r>
        <w:t xml:space="preserve"> (headroom), using the fitted T1 logistic model p(·) on all 139 juniors (juniors already at 5.0 contribute zero):</w:t>
      </w:r>
    </w:p>
    <w:p>
      <w:pPr>
        <w:spacing w:after="160"/>
        <w:jc w:val="center"/>
      </w:pPr>
      <w:r>
        <w:rPr>
          <w:i/>
          <w:sz w:val="23"/>
        </w:rPr>
        <w:t>Eₖ = 100 · mean over juniors [ p(x with xₖ → min(xₖ + 0.5, 5)) − p(x) ]   (percentage points)</w:t>
      </w:r>
    </w:p>
    <w:p>
      <w:pPr>
        <w:jc w:val="both"/>
      </w:pPr>
      <w:r>
        <w:rPr>
          <w:b/>
        </w:rPr>
        <w:t>Decision confidence</w:t>
      </w:r>
      <w:r>
        <w:t>, from B = 1,000 paired bootstrap refits:</w:t>
      </w:r>
    </w:p>
    <w:p>
      <w:pPr>
        <w:spacing w:after="160"/>
        <w:jc w:val="center"/>
      </w:pPr>
      <w:r>
        <w:rPr>
          <w:i/>
          <w:sz w:val="23"/>
        </w:rPr>
        <w:t>P(beat) = (1/B) · Σ_b 1[ E_lead^(b) &gt; E_next^(b) ],   TIED if P(beat) &lt; 0.80</w:t>
      </w:r>
    </w:p>
    <w:p>
      <w:pPr>
        <w:pStyle w:val="Heading2"/>
      </w:pPr>
      <w:bookmarkStart w:id="17" w:name="h_26Validationstrategy"/>
      <w:r>
        <w:t>2.6 Validation strategy</w:t>
      </w:r>
      <w:bookmarkEnd w:id="17"/>
    </w:p>
    <w:p>
      <w:pPr>
        <w:pStyle w:val="ListBullet"/>
      </w:pPr>
      <w:r>
        <w:rPr>
          <w:b/>
        </w:rPr>
        <w:t>Leakage control:</w:t>
      </w:r>
      <w:r>
        <w:t xml:space="preserve"> grouped cross-validation on duplicate profiles for T1; normalised job-title groups for T2 (6,741 groups across 10,338 postings).</w:t>
      </w:r>
    </w:p>
    <w:p>
      <w:pPr>
        <w:pStyle w:val="ListBullet"/>
      </w:pPr>
      <w:r>
        <w:rPr>
          <w:b/>
        </w:rPr>
        <w:t>Chance control:</w:t>
      </w:r>
      <w:r>
        <w:t xml:space="preserve"> permutation tests for T1 and T2; Holm correction for multiple tests.</w:t>
      </w:r>
    </w:p>
    <w:p>
      <w:pPr>
        <w:pStyle w:val="ListBullet"/>
      </w:pPr>
      <w:r>
        <w:rPr>
          <w:b/>
        </w:rPr>
        <w:t>Robustness:</w:t>
      </w:r>
      <w:r>
        <w:t xml:space="preserve"> six market specifications, two taxonomies, a subset without lead/manager/head titles, a subset without promotional titles, and a proportional-odds check by cut-point.</w:t>
      </w:r>
    </w:p>
    <w:p>
      <w:pPr>
        <w:pStyle w:val="ListBullet"/>
      </w:pPr>
      <w:r>
        <w:rPr>
          <w:b/>
        </w:rPr>
        <w:t>Calibration:</w:t>
      </w:r>
      <w:r>
        <w:t xml:space="preserve"> predicted vs observed probabilities for T1 and T2.</w:t>
      </w:r>
    </w:p>
    <w:p>
      <w:pPr>
        <w:pStyle w:val="ListBullet"/>
      </w:pPr>
      <w:r>
        <w:rPr>
          <w:b/>
        </w:rPr>
        <w:t>Software:</w:t>
      </w:r>
      <w:r>
        <w:t xml:space="preserve"> 171 automated checks on the app, including edge cases (missing model, corrupt results, empty input).</w:t>
      </w:r>
    </w:p>
    <w:p>
      <w:pPr>
        <w:pStyle w:val="Heading2"/>
      </w:pPr>
      <w:bookmarkStart w:id="18" w:name="h_27Technology"/>
      <w:r>
        <w:t>2.7 Technology</w:t>
      </w:r>
      <w:bookmarkEnd w:id="18"/>
    </w:p>
    <w:p>
      <w:pPr>
        <w:jc w:val="both"/>
      </w:pPr>
      <w:r>
        <w:t xml:space="preserve">Python (pandas, scipy, statsmodels, scikit-learn) in eight Colab-ready notebooks with a fixed random seed (42); SQL queries on a SQLite database of the cleaned tables and the evidence matrix; a SAS mirror of the core steps for SAS VFL (a template, not executed); and a Streamlit application that runs fully offline. Everything is in the </w:t>
      </w:r>
      <w:hyperlink r:id="rId11">
        <w:r>
          <w:rPr>
            <w:color w:val="D9701C"/>
            <w:u w:val="single"/>
          </w:rPr>
          <w:t xml:space="preserve">public repository</w:t>
        </w:r>
      </w:hyperlink>
      <w:r>
        <w:t>.</w:t>
      </w:r>
    </w:p>
    <w:p>
      <w:pPr>
        <w:pStyle w:val="Heading1"/>
      </w:pPr>
      <w:bookmarkStart w:id="19" w:name="s3"/>
      <w:r>
        <w:t>3. Data Exploration</w:t>
      </w:r>
      <w:bookmarkEnd w:id="19"/>
    </w:p>
    <w:tbl>
      <w:tblPr>
        <w:tblW w:type="auto" w:w="0"/>
        <w:jc w:val="center"/>
        <w:tblLook w:firstColumn="1" w:firstRow="1" w:lastColumn="0" w:lastRow="0" w:noHBand="0" w:noVBand="1" w:val="04A0"/>
      </w:tblPr>
      <w:tblGrid>
        <w:gridCol w:w="9298"/>
      </w:tblGrid>
      <w:tr>
        <w:trPr>
          <w:cantSplit/>
        </w:trPr>
        <w:tc>
          <w:tcPr>
            <w:tcW w:type="dxa" w:w="9298"/>
            <w:tcBorders>
              <w:top w:val="nil"/>
              <w:start w:val="single" w:sz="24" w:color="D9701C"/>
              <w:bottom w:val="nil"/>
              <w:end w:val="nil"/>
            </w:tcBorders>
            <w:shd w:val="clear" w:color="auto" w:fill="FDF3E8"/>
            <w:tcMar>
              <w:top w:w="120" w:type="dxa"/>
              <w:start w:w="200" w:type="dxa"/>
              <w:bottom w:w="120" w:type="dxa"/>
              <w:end w:w="200" w:type="dxa"/>
            </w:tcMar>
          </w:tcPr>
          <w:p>
            <w:pPr>
              <w:spacing w:after="40"/>
            </w:pPr>
            <w:r>
              <w:rPr>
                <w:b/>
                <w:color w:val="D9701C"/>
                <w:sz w:val="19"/>
              </w:rPr>
              <w:t>IN ONE LINE</w:t>
            </w:r>
          </w:p>
          <w:p>
            <w:pPr>
              <w:spacing w:after="40"/>
            </w:pPr>
            <w:r>
              <w:rPr>
                <w:sz w:val="23"/>
              </w:rPr>
              <w:t>87% of skill fields were truncated, 1,001 postings were duplicates, and 25 junior profiles contradicted each other. Every problem was measured and treated before modelling.</w:t>
            </w:r>
          </w:p>
        </w:tc>
      </w:tr>
    </w:tbl>
    <w:p>
      <w:pPr>
        <w:spacing w:after="0"/>
      </w:pPr>
    </w:p>
    <w:p>
      <w:pPr>
        <w:pStyle w:val="Heading2"/>
      </w:pPr>
      <w:bookmarkStart w:id="20" w:name="h_31Inventory"/>
      <w:r>
        <w:t>3.1 Inventory</w:t>
      </w:r>
      <w:bookmarkEnd w:id="20"/>
    </w:p>
    <w:p>
      <w:pPr>
        <w:keepNext/>
        <w:spacing w:after="60"/>
      </w:pPr>
      <w:r>
        <w:rPr>
          <w:b/>
          <w:sz w:val="21"/>
        </w:rPr>
        <w:t>Table 8.</w:t>
      </w:r>
      <w:r>
        <w:rPr>
          <w:sz w:val="21"/>
        </w:rPr>
        <w:t xml:space="preserve"> Datasets supplied in the brief.</w:t>
      </w:r>
    </w:p>
    <w:tbl>
      <w:tblPr>
        <w:tblW w:type="auto" w:w="0"/>
        <w:jc w:val="center"/>
        <w:tblLayout w:type="fixed"/>
        <w:tblLook w:firstColumn="1" w:firstRow="1" w:lastColumn="0" w:lastRow="0" w:noHBand="0" w:noVBand="1" w:val="04A0"/>
      </w:tblPr>
      <w:tblGrid>
        <w:gridCol w:w="2041"/>
        <w:gridCol w:w="850"/>
        <w:gridCol w:w="1531"/>
        <w:gridCol w:w="2891"/>
        <w:gridCol w:w="1928"/>
      </w:tblGrid>
      <w:tr>
        <w:trPr>
          <w:cantSplit/>
          <w:tblHeader/>
        </w:trPr>
        <w:tc>
          <w:tcPr>
            <w:tcW w:type="dxa" w:w="204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File</w:t>
            </w:r>
          </w:p>
        </w:tc>
        <w:tc>
          <w:tcPr>
            <w:tcW w:type="dxa" w:w="850"/>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Rows</w:t>
            </w:r>
          </w:p>
        </w:tc>
        <w:tc>
          <w:tcPr>
            <w:tcW w:type="dxa" w:w="153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Grain</w:t>
            </w:r>
          </w:p>
        </w:tc>
        <w:tc>
          <w:tcPr>
            <w:tcW w:type="dxa" w:w="289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Key fields</w:t>
            </w:r>
          </w:p>
        </w:tc>
        <w:tc>
          <w:tcPr>
            <w:tcW w:type="dxa" w:w="192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Role in the study</w:t>
            </w:r>
          </w:p>
        </w:tc>
      </w:tr>
      <w:tr>
        <w:trPr>
          <w:cantSplit/>
        </w:trPr>
        <w:tc>
          <w:tcPr>
            <w:tcW w:type="dxa" w:w="204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Analytics_Jobs.csv</w:t>
            </w:r>
          </w:p>
        </w:tc>
        <w:tc>
          <w:tcPr>
            <w:tcW w:type="dxa" w:w="850"/>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15,841</w:t>
            </w:r>
          </w:p>
        </w:tc>
        <w:tc>
          <w:tcPr>
            <w:tcW w:type="dxa" w:w="153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One posting</w:t>
            </w:r>
          </w:p>
        </w:tc>
        <w:tc>
          <w:tcPr>
            <w:tcW w:type="dxa" w:w="289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designation, key_skills, description, experience, salary band, location</w:t>
            </w:r>
          </w:p>
        </w:tc>
        <w:tc>
          <w:tcPr>
            <w:tcW w:type="dxa" w:w="192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Market evidence; JD scanner</w:t>
            </w:r>
          </w:p>
        </w:tc>
      </w:tr>
      <w:tr>
        <w:trPr>
          <w:cantSplit/>
        </w:trPr>
        <w:tc>
          <w:tcPr>
            <w:tcW w:type="dxa" w:w="204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DataScience_Jobs.csv</w:t>
            </w:r>
          </w:p>
        </w:tc>
        <w:tc>
          <w:tcPr>
            <w:tcW w:type="dxa" w:w="850"/>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1,602</w:t>
            </w:r>
          </w:p>
        </w:tc>
        <w:tc>
          <w:tcPr>
            <w:tcW w:type="dxa" w:w="153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Company × title opening</w:t>
            </w:r>
          </w:p>
        </w:tc>
        <w:tc>
          <w:tcPr>
            <w:tcW w:type="dxa" w:w="289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company, title, min experience, avg/min/max salary, num_of_jobs</w:t>
            </w:r>
          </w:p>
        </w:tc>
        <w:tc>
          <w:tcPr>
            <w:tcW w:type="dxa" w:w="192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Career ladder; salary context</w:t>
            </w:r>
          </w:p>
        </w:tc>
      </w:tr>
      <w:tr>
        <w:trPr>
          <w:cantSplit/>
        </w:trPr>
        <w:tc>
          <w:tcPr>
            <w:tcW w:type="dxa" w:w="204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JDS_Skill_Traits.xlsx</w:t>
            </w:r>
          </w:p>
        </w:tc>
        <w:tc>
          <w:tcPr>
            <w:tcW w:type="dxa" w:w="850"/>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139</w:t>
            </w:r>
          </w:p>
        </w:tc>
        <w:tc>
          <w:tcPr>
            <w:tcW w:type="dxa" w:w="153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Junior employee</w:t>
            </w:r>
          </w:p>
        </w:tc>
        <w:tc>
          <w:tcPr>
            <w:tcW w:type="dxa" w:w="289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5 skill scores (1–5), high/low hike</w:t>
            </w:r>
          </w:p>
        </w:tc>
        <w:tc>
          <w:tcPr>
            <w:tcW w:type="dxa" w:w="192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Internal evidence; headroom</w:t>
            </w:r>
          </w:p>
        </w:tc>
      </w:tr>
      <w:tr>
        <w:trPr>
          <w:cantSplit/>
        </w:trPr>
        <w:tc>
          <w:tcPr>
            <w:tcW w:type="dxa" w:w="204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SDS_Personality_Traits.xlsx</w:t>
            </w:r>
          </w:p>
        </w:tc>
        <w:tc>
          <w:tcPr>
            <w:tcW w:type="dxa" w:w="850"/>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161</w:t>
            </w:r>
          </w:p>
        </w:tc>
        <w:tc>
          <w:tcPr>
            <w:tcW w:type="dxa" w:w="153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Senior employee</w:t>
            </w:r>
          </w:p>
        </w:tc>
        <w:tc>
          <w:tcPr>
            <w:tcW w:type="dxa" w:w="289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Big-Five traits (normalised), high/low success</w:t>
            </w:r>
          </w:p>
        </w:tc>
        <w:tc>
          <w:tcPr>
            <w:tcW w:type="dxa" w:w="192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Personality context</w:t>
            </w:r>
          </w:p>
        </w:tc>
      </w:tr>
    </w:tbl>
    <w:p>
      <w:pPr>
        <w:spacing w:after="40"/>
      </w:pPr>
    </w:p>
    <w:p>
      <w:pPr>
        <w:pStyle w:val="Heading2"/>
      </w:pPr>
      <w:bookmarkStart w:id="21" w:name="h_32Dataqualityaudit"/>
      <w:r>
        <w:t>3.2 Data quality audit</w:t>
      </w:r>
      <w:bookmarkEnd w:id="21"/>
    </w:p>
    <w:p>
      <w:pPr>
        <w:keepNext/>
        <w:spacing w:after="60"/>
      </w:pPr>
      <w:r>
        <w:rPr>
          <w:b/>
          <w:sz w:val="21"/>
        </w:rPr>
        <w:t>Table 9.</w:t>
      </w:r>
      <w:r>
        <w:rPr>
          <w:sz w:val="21"/>
        </w:rPr>
        <w:t xml:space="preserve"> Data-quality issues, their size and the treatment. ‘Raw’ = 15,841 supplied rows; ‘clean’ = 14,840 after de-duplication.</w:t>
      </w:r>
    </w:p>
    <w:tbl>
      <w:tblPr>
        <w:tblW w:type="auto" w:w="0"/>
        <w:jc w:val="center"/>
        <w:tblLayout w:type="fixed"/>
        <w:tblLook w:firstColumn="1" w:firstRow="1" w:lastColumn="0" w:lastRow="0" w:noHBand="0" w:noVBand="1" w:val="04A0"/>
      </w:tblPr>
      <w:tblGrid>
        <w:gridCol w:w="1361"/>
        <w:gridCol w:w="2098"/>
        <w:gridCol w:w="1701"/>
        <w:gridCol w:w="1871"/>
        <w:gridCol w:w="2211"/>
      </w:tblGrid>
      <w:tr>
        <w:trPr>
          <w:cantSplit/>
          <w:tblHeader/>
        </w:trPr>
        <w:tc>
          <w:tcPr>
            <w:tcW w:type="dxa" w:w="136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8"/>
              </w:rPr>
              <w:t>Dataset</w:t>
            </w:r>
          </w:p>
        </w:tc>
        <w:tc>
          <w:tcPr>
            <w:tcW w:type="dxa" w:w="209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8"/>
              </w:rPr>
              <w:t>Issue found</w:t>
            </w:r>
          </w:p>
        </w:tc>
        <w:tc>
          <w:tcPr>
            <w:tcW w:type="dxa" w:w="170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8"/>
              </w:rPr>
              <w:t>Evidence</w:t>
            </w:r>
          </w:p>
        </w:tc>
        <w:tc>
          <w:tcPr>
            <w:tcW w:type="dxa" w:w="187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8"/>
              </w:rPr>
              <w:t>Impact if ignored</w:t>
            </w:r>
          </w:p>
        </w:tc>
        <w:tc>
          <w:tcPr>
            <w:tcW w:type="dxa" w:w="221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8"/>
              </w:rPr>
              <w:t>Treatment</w:t>
            </w:r>
          </w:p>
        </w:tc>
      </w:tr>
      <w:tr>
        <w:trPr>
          <w:cantSplit/>
        </w:trPr>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Analytics Jobs</w:t>
            </w:r>
          </w:p>
        </w:tc>
        <w:tc>
          <w:tcPr>
            <w:tcW w:type="dxa" w:w="209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Exact duplicate postings</w:t>
            </w:r>
          </w:p>
        </w:tc>
        <w:tc>
          <w:tcPr>
            <w:tcW w:type="dxa" w:w="170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1,001 raw rows (6.3%)</w:t>
            </w:r>
          </w:p>
        </w:tc>
        <w:tc>
          <w:tcPr>
            <w:tcW w:type="dxa" w:w="187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Inflated counts, leakage in CV</w:t>
            </w:r>
          </w:p>
        </w:tc>
        <w:tc>
          <w:tcPr>
            <w:tcW w:type="dxa" w:w="221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Dropped; job-title groups in CV</w:t>
            </w:r>
          </w:p>
        </w:tc>
      </w:tr>
      <w:tr>
        <w:trPr>
          <w:cantSplit/>
        </w:trPr>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Analytics Jobs</w:t>
            </w:r>
          </w:p>
        </w:tc>
        <w:tc>
          <w:tcPr>
            <w:tcW w:type="dxa" w:w="209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Skills field truncated (‘…’)</w:t>
            </w:r>
          </w:p>
        </w:tc>
        <w:tc>
          <w:tcPr>
            <w:tcW w:type="dxa" w:w="170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13,806 raw rows (87.2%); 87.0% after de-duplication</w:t>
            </w:r>
          </w:p>
        </w:tc>
        <w:tc>
          <w:tcPr>
            <w:tcW w:type="dxa" w:w="187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Missed skills → biased toward null</w:t>
            </w:r>
          </w:p>
        </w:tc>
        <w:tc>
          <w:tcPr>
            <w:tcW w:type="dxa" w:w="221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Truncation flag as control; description text parsed in the wide taxonomy (S6)</w:t>
            </w:r>
          </w:p>
        </w:tc>
      </w:tr>
      <w:tr>
        <w:trPr>
          <w:cantSplit/>
        </w:trPr>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Analytics Jobs</w:t>
            </w:r>
          </w:p>
        </w:tc>
        <w:tc>
          <w:tcPr>
            <w:tcW w:type="dxa" w:w="209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Job type missing</w:t>
            </w:r>
          </w:p>
        </w:tc>
        <w:tc>
          <w:tcPr>
            <w:tcW w:type="dxa" w:w="170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11,567 clean rows (77.9%)</w:t>
            </w:r>
          </w:p>
        </w:tc>
        <w:tc>
          <w:tcPr>
            <w:tcW w:type="dxa" w:w="187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Unusable as feature</w:t>
            </w:r>
          </w:p>
        </w:tc>
        <w:tc>
          <w:tcPr>
            <w:tcW w:type="dxa" w:w="221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Missingness flag as control only</w:t>
            </w:r>
          </w:p>
        </w:tc>
      </w:tr>
      <w:tr>
        <w:trPr>
          <w:cantSplit/>
        </w:trPr>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Analytics Jobs</w:t>
            </w:r>
          </w:p>
        </w:tc>
        <w:tc>
          <w:tcPr>
            <w:tcW w:type="dxa" w:w="209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Description missing</w:t>
            </w:r>
          </w:p>
        </w:tc>
        <w:tc>
          <w:tcPr>
            <w:tcW w:type="dxa" w:w="170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3,508 raw rows (3,371 clean)</w:t>
            </w:r>
          </w:p>
        </w:tc>
        <w:tc>
          <w:tcPr>
            <w:tcW w:type="dxa" w:w="187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Fewer text cues</w:t>
            </w:r>
          </w:p>
        </w:tc>
        <w:tc>
          <w:tcPr>
            <w:tcW w:type="dxa" w:w="221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Kept; title and skills fields used</w:t>
            </w:r>
          </w:p>
        </w:tc>
      </w:tr>
      <w:tr>
        <w:trPr>
          <w:cantSplit/>
        </w:trPr>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Analytics Jobs</w:t>
            </w:r>
          </w:p>
        </w:tc>
        <w:tc>
          <w:tcPr>
            <w:tcW w:type="dxa" w:w="209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Promotional titles (‘urgent’, ‘walk-in’, ₹)</w:t>
            </w:r>
          </w:p>
        </w:tc>
        <w:tc>
          <w:tcPr>
            <w:tcW w:type="dxa" w:w="170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1,722 clean rows (586 in data roles)</w:t>
            </w:r>
          </w:p>
        </w:tc>
        <w:tc>
          <w:tcPr>
            <w:tcW w:type="dxa" w:w="187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Noise in role mix</w:t>
            </w:r>
          </w:p>
        </w:tc>
        <w:tc>
          <w:tcPr>
            <w:tcW w:type="dxa" w:w="221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Flagged; robustness run without them (max |ΔOR| 0.066)</w:t>
            </w:r>
          </w:p>
        </w:tc>
      </w:tr>
      <w:tr>
        <w:trPr>
          <w:cantSplit/>
        </w:trPr>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Analytics Jobs</w:t>
            </w:r>
          </w:p>
        </w:tc>
        <w:tc>
          <w:tcPr>
            <w:tcW w:type="dxa" w:w="209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Salary given only as 6 bands</w:t>
            </w:r>
          </w:p>
        </w:tc>
        <w:tc>
          <w:tcPr>
            <w:tcW w:type="dxa" w:w="170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all rows</w:t>
            </w:r>
          </w:p>
        </w:tc>
        <w:tc>
          <w:tcPr>
            <w:tcW w:type="dxa" w:w="187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No exact salary exists</w:t>
            </w:r>
          </w:p>
        </w:tc>
        <w:tc>
          <w:tcPr>
            <w:tcW w:type="dxa" w:w="221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Ordinal models; distributions, never exact pay</w:t>
            </w:r>
          </w:p>
        </w:tc>
      </w:tr>
      <w:tr>
        <w:trPr>
          <w:cantSplit/>
        </w:trPr>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Analytics Jobs</w:t>
            </w:r>
          </w:p>
        </w:tc>
        <w:tc>
          <w:tcPr>
            <w:tcW w:type="dxa" w:w="209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Free-text locations</w:t>
            </w:r>
          </w:p>
        </w:tc>
        <w:tc>
          <w:tcPr>
            <w:tcW w:type="dxa" w:w="170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all rows</w:t>
            </w:r>
          </w:p>
        </w:tc>
        <w:tc>
          <w:tcPr>
            <w:tcW w:type="dxa" w:w="187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City inconsistency</w:t>
            </w:r>
          </w:p>
        </w:tc>
        <w:tc>
          <w:tcPr>
            <w:tcW w:type="dxa" w:w="221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Tier-1 / Tier-2-3 / International by regex</w:t>
            </w:r>
          </w:p>
        </w:tc>
      </w:tr>
      <w:tr>
        <w:trPr>
          <w:cantSplit/>
        </w:trPr>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JDS</w:t>
            </w:r>
          </w:p>
        </w:tc>
        <w:tc>
          <w:tcPr>
            <w:tcW w:type="dxa" w:w="209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Duplicate skill profiles</w:t>
            </w:r>
          </w:p>
        </w:tc>
        <w:tc>
          <w:tcPr>
            <w:tcW w:type="dxa" w:w="170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29 groups, 62 rows</w:t>
            </w:r>
          </w:p>
        </w:tc>
        <w:tc>
          <w:tcPr>
            <w:tcW w:type="dxa" w:w="187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Same profile in train and test</w:t>
            </w:r>
          </w:p>
        </w:tc>
        <w:tc>
          <w:tcPr>
            <w:tcW w:type="dxa" w:w="221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StratifiedGroupKFold; de-duplicated re-check</w:t>
            </w:r>
          </w:p>
        </w:tc>
      </w:tr>
      <w:tr>
        <w:trPr>
          <w:cantSplit/>
        </w:trPr>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JDS</w:t>
            </w:r>
          </w:p>
        </w:tc>
        <w:tc>
          <w:tcPr>
            <w:tcW w:type="dxa" w:w="209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Identical profiles, opposite outcomes</w:t>
            </w:r>
          </w:p>
        </w:tc>
        <w:tc>
          <w:tcPr>
            <w:tcW w:type="dxa" w:w="170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12 groups, 25 rows</w:t>
            </w:r>
          </w:p>
        </w:tc>
        <w:tc>
          <w:tcPr>
            <w:tcW w:type="dxa" w:w="187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Ceiling on accuracy</w:t>
            </w:r>
          </w:p>
        </w:tc>
        <w:tc>
          <w:tcPr>
            <w:tcW w:type="dxa" w:w="221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Reported; caps achievable AUC</w:t>
            </w:r>
          </w:p>
        </w:tc>
      </w:tr>
      <w:tr>
        <w:trPr>
          <w:cantSplit/>
        </w:trPr>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JDS</w:t>
            </w:r>
          </w:p>
        </w:tc>
        <w:tc>
          <w:tcPr>
            <w:tcW w:type="dxa" w:w="209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Ceiling at 5.0</w:t>
            </w:r>
          </w:p>
        </w:tc>
        <w:tc>
          <w:tcPr>
            <w:tcW w:type="dxa" w:w="170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58% of juniors at 5.0 in Storytelling</w:t>
            </w:r>
          </w:p>
        </w:tc>
        <w:tc>
          <w:tcPr>
            <w:tcW w:type="dxa" w:w="187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Little room left to grow</w:t>
            </w:r>
          </w:p>
        </w:tc>
        <w:tc>
          <w:tcPr>
            <w:tcW w:type="dxa" w:w="221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Measured as ‘headroom’</w:t>
            </w:r>
          </w:p>
        </w:tc>
      </w:tr>
      <w:tr>
        <w:trPr>
          <w:cantSplit/>
        </w:trPr>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SDS</w:t>
            </w:r>
          </w:p>
        </w:tc>
        <w:tc>
          <w:tcPr>
            <w:tcW w:type="dxa" w:w="209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Repeated IDs</w:t>
            </w:r>
          </w:p>
        </w:tc>
        <w:tc>
          <w:tcPr>
            <w:tcW w:type="dxa" w:w="170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161 rows, 152 unique IDs</w:t>
            </w:r>
          </w:p>
        </w:tc>
        <w:tc>
          <w:tcPr>
            <w:tcW w:type="dxa" w:w="187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Double counting</w:t>
            </w:r>
          </w:p>
        </w:tc>
        <w:tc>
          <w:tcPr>
            <w:tcW w:type="dxa" w:w="221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Grouped CV for the model; rank tests use all rows (9 repeats, 5.6%)</w:t>
            </w:r>
          </w:p>
        </w:tc>
      </w:tr>
      <w:tr>
        <w:trPr>
          <w:cantSplit/>
        </w:trPr>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All</w:t>
            </w:r>
          </w:p>
        </w:tc>
        <w:tc>
          <w:tcPr>
            <w:tcW w:type="dxa" w:w="209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No shared identifiers</w:t>
            </w:r>
          </w:p>
        </w:tc>
        <w:tc>
          <w:tcPr>
            <w:tcW w:type="dxa" w:w="170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JDS ∩ SDS = 0</w:t>
            </w:r>
          </w:p>
        </w:tc>
        <w:tc>
          <w:tcPr>
            <w:tcW w:type="dxa" w:w="187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Invalid joins</w:t>
            </w:r>
          </w:p>
        </w:tc>
        <w:tc>
          <w:tcPr>
            <w:tcW w:type="dxa" w:w="221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Taxonomy bridge (the Zero Rule)</w:t>
            </w:r>
          </w:p>
        </w:tc>
      </w:tr>
    </w:tbl>
    <w:p>
      <w:pPr>
        <w:spacing w:after="40"/>
      </w:pPr>
    </w:p>
    <w:p>
      <w:pPr>
        <w:pStyle w:val="Heading2"/>
      </w:pPr>
      <w:bookmarkStart w:id="22" w:name="h_33Datasetprofilesoutliersandin"/>
      <w:r>
        <w:t>3.3 Dataset profiles, outliers and inconsistencies</w:t>
      </w:r>
      <w:bookmarkEnd w:id="22"/>
    </w:p>
    <w:p>
      <w:pPr>
        <w:keepNext/>
        <w:spacing w:after="60"/>
      </w:pPr>
      <w:r>
        <w:rPr>
          <w:b/>
          <w:sz w:val="21"/>
        </w:rPr>
        <w:t>Table 10.</w:t>
      </w:r>
      <w:r>
        <w:rPr>
          <w:sz w:val="21"/>
        </w:rPr>
        <w:t xml:space="preserve"> Profiling every file: outliers, inconsistencies and what we did.</w:t>
      </w:r>
    </w:p>
    <w:tbl>
      <w:tblPr>
        <w:tblW w:type="auto" w:w="0"/>
        <w:jc w:val="center"/>
        <w:tblLayout w:type="fixed"/>
        <w:tblLook w:firstColumn="1" w:firstRow="1" w:lastColumn="0" w:lastRow="0" w:noHBand="0" w:noVBand="1" w:val="04A0"/>
      </w:tblPr>
      <w:tblGrid>
        <w:gridCol w:w="1361"/>
        <w:gridCol w:w="1587"/>
        <w:gridCol w:w="3572"/>
        <w:gridCol w:w="2721"/>
      </w:tblGrid>
      <w:tr>
        <w:trPr>
          <w:cantSplit/>
          <w:tblHeader/>
        </w:trPr>
        <w:tc>
          <w:tcPr>
            <w:tcW w:type="dxa" w:w="136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8"/>
              </w:rPr>
              <w:t>Dataset</w:t>
            </w:r>
          </w:p>
        </w:tc>
        <w:tc>
          <w:tcPr>
            <w:tcW w:type="dxa" w:w="1587"/>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8"/>
              </w:rPr>
              <w:t>Check</w:t>
            </w:r>
          </w:p>
        </w:tc>
        <w:tc>
          <w:tcPr>
            <w:tcW w:type="dxa" w:w="3572"/>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8"/>
              </w:rPr>
              <w:t>Finding</w:t>
            </w:r>
          </w:p>
        </w:tc>
        <w:tc>
          <w:tcPr>
            <w:tcW w:type="dxa" w:w="272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8"/>
              </w:rPr>
              <w:t>Decision</w:t>
            </w:r>
          </w:p>
        </w:tc>
      </w:tr>
      <w:tr>
        <w:trPr>
          <w:cantSplit/>
        </w:trPr>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Analytics Jobs</w:t>
            </w:r>
          </w:p>
        </w:tc>
        <w:tc>
          <w:tcPr>
            <w:tcW w:type="dxa" w:w="158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Category inconsistency</w:t>
            </w:r>
          </w:p>
        </w:tc>
        <w:tc>
          <w:tcPr>
            <w:tcW w:type="dxa" w:w="3572"/>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job_type has 5 spellings of one value (Analytics 2,971 · analytics 746 · ANALYTICS 64 · analytic 30 · Analytic 19); 12,011 raw rows blank</w:t>
            </w:r>
          </w:p>
        </w:tc>
        <w:tc>
          <w:tcPr>
            <w:tcW w:type="dxa" w:w="272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Normalised to lower-case ‘analytics’; missingness kept as a flag</w:t>
            </w:r>
          </w:p>
        </w:tc>
      </w:tr>
      <w:tr>
        <w:trPr>
          <w:cantSplit/>
        </w:trPr>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Analytics Jobs</w:t>
            </w:r>
          </w:p>
        </w:tc>
        <w:tc>
          <w:tcPr>
            <w:tcW w:type="dxa" w:w="158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Location text</w:t>
            </w:r>
          </w:p>
        </w:tc>
        <w:tc>
          <w:tcPr>
            <w:tcW w:type="dxa" w:w="3572"/>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1,355 distinct location strings; 2,553 postings list several cities; 313 distinct spellings contain Bangalore/Bengaluru</w:t>
            </w:r>
          </w:p>
        </w:tc>
        <w:tc>
          <w:tcPr>
            <w:tcW w:type="dxa" w:w="272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Regex tiering on the full string (Tier-1 if any Tier-1 city appears)</w:t>
            </w:r>
          </w:p>
        </w:tc>
      </w:tr>
      <w:tr>
        <w:trPr>
          <w:cantSplit/>
        </w:trPr>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Analytics Jobs</w:t>
            </w:r>
          </w:p>
        </w:tc>
        <w:tc>
          <w:tcPr>
            <w:tcW w:type="dxa" w:w="158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Experience range</w:t>
            </w:r>
          </w:p>
        </w:tc>
        <w:tc>
          <w:tcPr>
            <w:tcW w:type="dxa" w:w="3572"/>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Ranges up to 30 years; spans up to 10 years; 0 unparseable</w:t>
            </w:r>
          </w:p>
        </w:tc>
        <w:tc>
          <w:tcPr>
            <w:tcW w:type="dxa" w:w="272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Kept; span used as a control</w:t>
            </w:r>
          </w:p>
        </w:tc>
      </w:tr>
      <w:tr>
        <w:trPr>
          <w:cantSplit/>
        </w:trPr>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Analytics Jobs</w:t>
            </w:r>
          </w:p>
        </w:tc>
        <w:tc>
          <w:tcPr>
            <w:tcW w:type="dxa" w:w="158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Salary distribution</w:t>
            </w:r>
          </w:p>
        </w:tc>
        <w:tc>
          <w:tcPr>
            <w:tcW w:type="dxa" w:w="3572"/>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6 bands; after de-duplication the mode is 10–15 LPA (3,503) and 25–50 LPA holds 992 (1,245 raw — a fifth of top-band rows were duplicates)</w:t>
            </w:r>
          </w:p>
        </w:tc>
        <w:tc>
          <w:tcPr>
            <w:tcW w:type="dxa" w:w="272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Ordinal target; no imputation of exact pay</w:t>
            </w:r>
          </w:p>
        </w:tc>
      </w:tr>
      <w:tr>
        <w:trPr>
          <w:cantSplit/>
        </w:trPr>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DS Jobs</w:t>
            </w:r>
          </w:p>
        </w:tc>
        <w:tc>
          <w:tcPr>
            <w:tcW w:type="dxa" w:w="158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Text-typed numbers</w:t>
            </w:r>
          </w:p>
        </w:tc>
        <w:tc>
          <w:tcPr>
            <w:tcW w:type="dxa" w:w="3572"/>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Salaries stored as text (‘7.8L’)</w:t>
            </w:r>
          </w:p>
        </w:tc>
        <w:tc>
          <w:tcPr>
            <w:tcW w:type="dxa" w:w="272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Parsed to numeric LPA</w:t>
            </w:r>
          </w:p>
        </w:tc>
      </w:tr>
      <w:tr>
        <w:trPr>
          <w:cantSplit/>
        </w:trPr>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DS Jobs</w:t>
            </w:r>
          </w:p>
        </w:tc>
        <w:tc>
          <w:tcPr>
            <w:tcW w:type="dxa" w:w="158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Outliers</w:t>
            </w:r>
          </w:p>
        </w:tc>
        <w:tc>
          <w:tcPr>
            <w:tcW w:type="dxa" w:w="3572"/>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39 average salaries above the IQR fence (Q1 7.6, Q3 17.2, max 82 LPA); 10 rows with &gt; 1,000 openings</w:t>
            </w:r>
          </w:p>
        </w:tc>
        <w:tc>
          <w:tcPr>
            <w:tcW w:type="dxa" w:w="272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Kept — real senior roles; ladder uses medians and paired ratios, which are robust</w:t>
            </w:r>
          </w:p>
        </w:tc>
      </w:tr>
      <w:tr>
        <w:trPr>
          <w:cantSplit/>
        </w:trPr>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DS Jobs</w:t>
            </w:r>
          </w:p>
        </w:tc>
        <w:tc>
          <w:tcPr>
            <w:tcW w:type="dxa" w:w="158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Consistency</w:t>
            </w:r>
          </w:p>
        </w:tc>
        <w:tc>
          <w:tcPr>
            <w:tcW w:type="dxa" w:w="3572"/>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min ≤ avg ≤ max holds in all 1,602 rows; 134 reference numbers reused across 276 rows; 10 titles × 642 companies</w:t>
            </w:r>
          </w:p>
        </w:tc>
        <w:tc>
          <w:tcPr>
            <w:tcW w:type="dxa" w:w="272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Company × title pairs used for the ladder</w:t>
            </w:r>
          </w:p>
        </w:tc>
      </w:tr>
      <w:tr>
        <w:trPr>
          <w:cantSplit/>
        </w:trPr>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JDS</w:t>
            </w:r>
          </w:p>
        </w:tc>
        <w:tc>
          <w:tcPr>
            <w:tcW w:type="dxa" w:w="158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Column names</w:t>
            </w:r>
          </w:p>
        </w:tc>
        <w:tc>
          <w:tcPr>
            <w:tcW w:type="dxa" w:w="3572"/>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‘maths-stats_skills’ uses a hyphen; outcome stored as 0/1</w:t>
            </w:r>
          </w:p>
        </w:tc>
        <w:tc>
          <w:tcPr>
            <w:tcW w:type="dxa" w:w="272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Renamed to snake_case keys</w:t>
            </w:r>
          </w:p>
        </w:tc>
      </w:tr>
      <w:tr>
        <w:trPr>
          <w:cantSplit/>
        </w:trPr>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JDS</w:t>
            </w:r>
          </w:p>
        </w:tc>
        <w:tc>
          <w:tcPr>
            <w:tcW w:type="dxa" w:w="158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Range &amp; ceiling</w:t>
            </w:r>
          </w:p>
        </w:tc>
        <w:tc>
          <w:tcPr>
            <w:tcW w:type="dxa" w:w="3572"/>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All scores within 1–5; 18–58% of juniors already at 5.0 per capability; 2 repeated IDs</w:t>
            </w:r>
          </w:p>
        </w:tc>
        <w:tc>
          <w:tcPr>
            <w:tcW w:type="dxa" w:w="272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Ceiling measured as headroom; grouped CV</w:t>
            </w:r>
          </w:p>
        </w:tc>
      </w:tr>
      <w:tr>
        <w:trPr>
          <w:cantSplit/>
        </w:trPr>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SDS</w:t>
            </w:r>
          </w:p>
        </w:tc>
        <w:tc>
          <w:tcPr>
            <w:tcW w:type="dxa" w:w="158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Column names</w:t>
            </w:r>
          </w:p>
        </w:tc>
        <w:tc>
          <w:tcPr>
            <w:tcW w:type="dxa" w:w="3572"/>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Leading space in ‘ extraversion’; ‘success_ classification_ high_low’ has embedded spaces</w:t>
            </w:r>
          </w:p>
        </w:tc>
        <w:tc>
          <w:tcPr>
            <w:tcW w:type="dxa" w:w="272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8"/>
              </w:rPr>
              <w:t>Stripped and renamed</w:t>
            </w:r>
          </w:p>
        </w:tc>
      </w:tr>
      <w:tr>
        <w:trPr>
          <w:cantSplit/>
        </w:trPr>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SDS</w:t>
            </w:r>
          </w:p>
        </w:tc>
        <w:tc>
          <w:tcPr>
            <w:tcW w:type="dxa" w:w="158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Repeated IDs</w:t>
            </w:r>
          </w:p>
        </w:tc>
        <w:tc>
          <w:tcPr>
            <w:tcW w:type="dxa" w:w="3572"/>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9 repeated IDs (161 rows, 152 unique)</w:t>
            </w:r>
          </w:p>
        </w:tc>
        <w:tc>
          <w:tcPr>
            <w:tcW w:type="dxa" w:w="272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8"/>
              </w:rPr>
              <w:t>Grouped analysis</w:t>
            </w:r>
          </w:p>
        </w:tc>
      </w:tr>
    </w:tbl>
    <w:p>
      <w:pPr>
        <w:spacing w:after="40"/>
      </w:pPr>
    </w:p>
    <w:p>
      <w:pPr>
        <w:keepNext/>
        <w:spacing w:after="40"/>
        <w:jc w:val="center"/>
      </w:pPr>
      <w:r>
        <w:drawing>
          <wp:inline xmlns:a="http://schemas.openxmlformats.org/drawingml/2006/main" xmlns:pic="http://schemas.openxmlformats.org/drawingml/2006/picture">
            <wp:extent cx="5580000" cy="1985012"/>
            <wp:docPr id="4" name="Picture 4"/>
            <wp:cNvGraphicFramePr>
              <a:graphicFrameLocks noChangeAspect="1"/>
            </wp:cNvGraphicFramePr>
            <a:graphic>
              <a:graphicData uri="http://schemas.openxmlformats.org/drawingml/2006/picture">
                <pic:pic>
                  <pic:nvPicPr>
                    <pic:cNvPr id="0" name="h_explore2.png"/>
                    <pic:cNvPicPr/>
                  </pic:nvPicPr>
                  <pic:blipFill>
                    <a:blip r:embed="rId23"/>
                    <a:stretch>
                      <a:fillRect/>
                    </a:stretch>
                  </pic:blipFill>
                  <pic:spPr>
                    <a:xfrm>
                      <a:off x="0" y="0"/>
                      <a:ext cx="5580000" cy="1985012"/>
                    </a:xfrm>
                    <a:prstGeom prst="rect"/>
                  </pic:spPr>
                </pic:pic>
              </a:graphicData>
            </a:graphic>
          </wp:inline>
        </w:drawing>
      </w:r>
    </w:p>
    <w:p>
      <w:pPr>
        <w:jc w:val="center"/>
      </w:pPr>
      <w:r>
        <w:rPr>
          <w:b/>
          <w:color w:val="5B6780"/>
          <w:sz w:val="21"/>
        </w:rPr>
        <w:t>Figure 3.</w:t>
      </w:r>
      <w:r>
        <w:rPr>
          <w:color w:val="5B6780"/>
          <w:sz w:val="21"/>
        </w:rPr>
        <w:t xml:space="preserve"> Two exploration findings that shaped the analysis: the JDS ceiling effect (left) and salary outliers by title in DS Jobs (right).</w:t>
      </w:r>
    </w:p>
    <w:p>
      <w:pPr>
        <w:pStyle w:val="Heading2"/>
      </w:pPr>
      <w:bookmarkStart w:id="23" w:name="h_34Descriptivestatistics"/>
      <w:r>
        <w:t>3.4 Descriptive statistics</w:t>
      </w:r>
      <w:bookmarkEnd w:id="23"/>
    </w:p>
    <w:p>
      <w:pPr>
        <w:keepNext/>
        <w:spacing w:after="60"/>
      </w:pPr>
      <w:r>
        <w:rPr>
          <w:b/>
          <w:sz w:val="21"/>
        </w:rPr>
        <w:t>Table 11.</w:t>
      </w:r>
      <w:r>
        <w:rPr>
          <w:sz w:val="21"/>
        </w:rPr>
        <w:t xml:space="preserve"> JDS skill scores, n = 139. High-hike share 52.5% (balanced outcome).</w:t>
      </w:r>
    </w:p>
    <w:tbl>
      <w:tblPr>
        <w:tblW w:type="auto" w:w="0"/>
        <w:jc w:val="center"/>
        <w:tblLayout w:type="fixed"/>
        <w:tblLook w:firstColumn="1" w:firstRow="1" w:lastColumn="0" w:lastRow="0" w:noHBand="0" w:noVBand="1" w:val="04A0"/>
      </w:tblPr>
      <w:tblGrid>
        <w:gridCol w:w="2608"/>
        <w:gridCol w:w="850"/>
        <w:gridCol w:w="794"/>
        <w:gridCol w:w="737"/>
        <w:gridCol w:w="964"/>
        <w:gridCol w:w="737"/>
        <w:gridCol w:w="850"/>
        <w:gridCol w:w="1077"/>
      </w:tblGrid>
      <w:tr>
        <w:trPr>
          <w:cantSplit/>
          <w:tblHeader/>
        </w:trPr>
        <w:tc>
          <w:tcPr>
            <w:tcW w:type="dxa" w:w="260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JDS capability (1–5)</w:t>
            </w:r>
          </w:p>
        </w:tc>
        <w:tc>
          <w:tcPr>
            <w:tcW w:type="dxa" w:w="850"/>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Mean</w:t>
            </w:r>
          </w:p>
        </w:tc>
        <w:tc>
          <w:tcPr>
            <w:tcW w:type="dxa" w:w="79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SD</w:t>
            </w:r>
          </w:p>
        </w:tc>
        <w:tc>
          <w:tcPr>
            <w:tcW w:type="dxa" w:w="737"/>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Min</w:t>
            </w:r>
          </w:p>
        </w:tc>
        <w:tc>
          <w:tcPr>
            <w:tcW w:type="dxa" w:w="96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Median</w:t>
            </w:r>
          </w:p>
        </w:tc>
        <w:tc>
          <w:tcPr>
            <w:tcW w:type="dxa" w:w="737"/>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Max</w:t>
            </w:r>
          </w:p>
        </w:tc>
        <w:tc>
          <w:tcPr>
            <w:tcW w:type="dxa" w:w="850"/>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Skew</w:t>
            </w:r>
          </w:p>
        </w:tc>
        <w:tc>
          <w:tcPr>
            <w:tcW w:type="dxa" w:w="1077"/>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 at 5.0</w:t>
            </w:r>
          </w:p>
        </w:tc>
      </w:tr>
      <w:tr>
        <w:trPr>
          <w:cantSplit/>
        </w:trPr>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Big Data</w:t>
            </w:r>
          </w:p>
        </w:tc>
        <w:tc>
          <w:tcPr>
            <w:tcW w:type="dxa" w:w="850"/>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3.85</w:t>
            </w:r>
          </w:p>
        </w:tc>
        <w:tc>
          <w:tcPr>
            <w:tcW w:type="dxa" w:w="79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0.85</w:t>
            </w:r>
          </w:p>
        </w:tc>
        <w:tc>
          <w:tcPr>
            <w:tcW w:type="dxa" w:w="73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2.3</w:t>
            </w:r>
          </w:p>
        </w:tc>
        <w:tc>
          <w:tcPr>
            <w:tcW w:type="dxa" w:w="96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3.8</w:t>
            </w:r>
          </w:p>
        </w:tc>
        <w:tc>
          <w:tcPr>
            <w:tcW w:type="dxa" w:w="73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5.0</w:t>
            </w:r>
          </w:p>
        </w:tc>
        <w:tc>
          <w:tcPr>
            <w:tcW w:type="dxa" w:w="850"/>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−0.08</w:t>
            </w:r>
          </w:p>
        </w:tc>
        <w:tc>
          <w:tcPr>
            <w:tcW w:type="dxa" w:w="107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18.0%</w:t>
            </w:r>
          </w:p>
        </w:tc>
      </w:tr>
      <w:tr>
        <w:trPr>
          <w:cantSplit/>
        </w:trPr>
        <w:tc>
          <w:tcPr>
            <w:tcW w:type="dxa" w:w="260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Maths &amp; Statistics</w:t>
            </w:r>
          </w:p>
        </w:tc>
        <w:tc>
          <w:tcPr>
            <w:tcW w:type="dxa" w:w="850"/>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4.29</w:t>
            </w:r>
          </w:p>
        </w:tc>
        <w:tc>
          <w:tcPr>
            <w:tcW w:type="dxa" w:w="79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0.84</w:t>
            </w:r>
          </w:p>
        </w:tc>
        <w:tc>
          <w:tcPr>
            <w:tcW w:type="dxa" w:w="73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2.2</w:t>
            </w:r>
          </w:p>
        </w:tc>
        <w:tc>
          <w:tcPr>
            <w:tcW w:type="dxa" w:w="96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4.6</w:t>
            </w:r>
          </w:p>
        </w:tc>
        <w:tc>
          <w:tcPr>
            <w:tcW w:type="dxa" w:w="73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5.0</w:t>
            </w:r>
          </w:p>
        </w:tc>
        <w:tc>
          <w:tcPr>
            <w:tcW w:type="dxa" w:w="850"/>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−0.97</w:t>
            </w:r>
          </w:p>
        </w:tc>
        <w:tc>
          <w:tcPr>
            <w:tcW w:type="dxa" w:w="107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41.0%</w:t>
            </w:r>
          </w:p>
        </w:tc>
      </w:tr>
      <w:tr>
        <w:trPr>
          <w:cantSplit/>
        </w:trPr>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Coding</w:t>
            </w:r>
          </w:p>
        </w:tc>
        <w:tc>
          <w:tcPr>
            <w:tcW w:type="dxa" w:w="850"/>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4.27</w:t>
            </w:r>
          </w:p>
        </w:tc>
        <w:tc>
          <w:tcPr>
            <w:tcW w:type="dxa" w:w="79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0.89</w:t>
            </w:r>
          </w:p>
        </w:tc>
        <w:tc>
          <w:tcPr>
            <w:tcW w:type="dxa" w:w="73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2.2</w:t>
            </w:r>
          </w:p>
        </w:tc>
        <w:tc>
          <w:tcPr>
            <w:tcW w:type="dxa" w:w="96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4.6</w:t>
            </w:r>
          </w:p>
        </w:tc>
        <w:tc>
          <w:tcPr>
            <w:tcW w:type="dxa" w:w="73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5.0</w:t>
            </w:r>
          </w:p>
        </w:tc>
        <w:tc>
          <w:tcPr>
            <w:tcW w:type="dxa" w:w="850"/>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−0.89</w:t>
            </w:r>
          </w:p>
        </w:tc>
        <w:tc>
          <w:tcPr>
            <w:tcW w:type="dxa" w:w="107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44.6%</w:t>
            </w:r>
          </w:p>
        </w:tc>
      </w:tr>
      <w:tr>
        <w:trPr>
          <w:cantSplit/>
        </w:trPr>
        <w:tc>
          <w:tcPr>
            <w:tcW w:type="dxa" w:w="260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AI &amp; ML</w:t>
            </w:r>
          </w:p>
        </w:tc>
        <w:tc>
          <w:tcPr>
            <w:tcW w:type="dxa" w:w="850"/>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4.57</w:t>
            </w:r>
          </w:p>
        </w:tc>
        <w:tc>
          <w:tcPr>
            <w:tcW w:type="dxa" w:w="79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0.67</w:t>
            </w:r>
          </w:p>
        </w:tc>
        <w:tc>
          <w:tcPr>
            <w:tcW w:type="dxa" w:w="73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2.2</w:t>
            </w:r>
          </w:p>
        </w:tc>
        <w:tc>
          <w:tcPr>
            <w:tcW w:type="dxa" w:w="96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4.9</w:t>
            </w:r>
          </w:p>
        </w:tc>
        <w:tc>
          <w:tcPr>
            <w:tcW w:type="dxa" w:w="73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5.0</w:t>
            </w:r>
          </w:p>
        </w:tc>
        <w:tc>
          <w:tcPr>
            <w:tcW w:type="dxa" w:w="850"/>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−1.70</w:t>
            </w:r>
          </w:p>
        </w:tc>
        <w:tc>
          <w:tcPr>
            <w:tcW w:type="dxa" w:w="107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48.9%</w:t>
            </w:r>
          </w:p>
        </w:tc>
      </w:tr>
      <w:tr>
        <w:trPr>
          <w:cantSplit/>
        </w:trPr>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Dashboards &amp; Storytelling</w:t>
            </w:r>
          </w:p>
        </w:tc>
        <w:tc>
          <w:tcPr>
            <w:tcW w:type="dxa" w:w="850"/>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4.36</w:t>
            </w:r>
          </w:p>
        </w:tc>
        <w:tc>
          <w:tcPr>
            <w:tcW w:type="dxa" w:w="79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0.93</w:t>
            </w:r>
          </w:p>
        </w:tc>
        <w:tc>
          <w:tcPr>
            <w:tcW w:type="dxa" w:w="73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2.3</w:t>
            </w:r>
          </w:p>
        </w:tc>
        <w:tc>
          <w:tcPr>
            <w:tcW w:type="dxa" w:w="96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5.0</w:t>
            </w:r>
          </w:p>
        </w:tc>
        <w:tc>
          <w:tcPr>
            <w:tcW w:type="dxa" w:w="73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5.0</w:t>
            </w:r>
          </w:p>
        </w:tc>
        <w:tc>
          <w:tcPr>
            <w:tcW w:type="dxa" w:w="850"/>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−1.08</w:t>
            </w:r>
          </w:p>
        </w:tc>
        <w:tc>
          <w:tcPr>
            <w:tcW w:type="dxa" w:w="107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58.3%</w:t>
            </w:r>
          </w:p>
        </w:tc>
      </w:tr>
    </w:tbl>
    <w:p>
      <w:pPr>
        <w:spacing w:after="40"/>
      </w:pPr>
    </w:p>
    <w:p>
      <w:pPr>
        <w:jc w:val="both"/>
      </w:pPr>
      <w:r>
        <w:t>Four of the five skills are strongly left-skewed with medians at or near the 5.0 ceiling; only Big Data is symmetric. This has three consequences for the analysis: (1) mean-based tests would be distorted, so we use rank-based Mann–Whitney U and Cliff's δ; (2) the 18 AI &amp; ML scores flagged by the IQR rule are low scorers in a ceiling-compressed distribution, not errors, so they are kept; (3) the share already at 5.0 is itself a finding — it limits how much a capability can still improve, which we measure as headroom.</w:t>
      </w:r>
    </w:p>
    <w:p>
      <w:pPr>
        <w:keepNext/>
        <w:spacing w:after="60"/>
      </w:pPr>
      <w:r>
        <w:rPr>
          <w:b/>
          <w:sz w:val="21"/>
        </w:rPr>
        <w:t>Table 12.</w:t>
      </w:r>
      <w:r>
        <w:rPr>
          <w:sz w:val="21"/>
        </w:rPr>
        <w:t xml:space="preserve"> SDS trait scores, n = 161. Success share 52.8%. Five agreeableness values fall outside the IQR fence and are kept (plausible range).</w:t>
      </w:r>
    </w:p>
    <w:tbl>
      <w:tblPr>
        <w:tblW w:type="auto" w:w="0"/>
        <w:jc w:val="center"/>
        <w:tblLayout w:type="fixed"/>
        <w:tblLook w:firstColumn="1" w:firstRow="1" w:lastColumn="0" w:lastRow="0" w:noHBand="0" w:noVBand="1" w:val="04A0"/>
      </w:tblPr>
      <w:tblGrid>
        <w:gridCol w:w="2948"/>
        <w:gridCol w:w="1134"/>
        <w:gridCol w:w="1134"/>
        <w:gridCol w:w="1134"/>
        <w:gridCol w:w="1134"/>
        <w:gridCol w:w="1134"/>
      </w:tblGrid>
      <w:tr>
        <w:trPr>
          <w:cantSplit/>
          <w:tblHeader/>
        </w:trPr>
        <w:tc>
          <w:tcPr>
            <w:tcW w:type="dxa" w:w="294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SDS trait (normalised)</w:t>
            </w:r>
          </w:p>
        </w:tc>
        <w:tc>
          <w:tcPr>
            <w:tcW w:type="dxa" w:w="113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Mean</w:t>
            </w:r>
          </w:p>
        </w:tc>
        <w:tc>
          <w:tcPr>
            <w:tcW w:type="dxa" w:w="113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SD</w:t>
            </w:r>
          </w:p>
        </w:tc>
        <w:tc>
          <w:tcPr>
            <w:tcW w:type="dxa" w:w="113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Min</w:t>
            </w:r>
          </w:p>
        </w:tc>
        <w:tc>
          <w:tcPr>
            <w:tcW w:type="dxa" w:w="113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Median</w:t>
            </w:r>
          </w:p>
        </w:tc>
        <w:tc>
          <w:tcPr>
            <w:tcW w:type="dxa" w:w="113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Max</w:t>
            </w:r>
          </w:p>
        </w:tc>
      </w:tr>
      <w:tr>
        <w:trPr>
          <w:cantSplit/>
        </w:trPr>
        <w:tc>
          <w:tcPr>
            <w:tcW w:type="dxa" w:w="294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Neuroticism</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36.2</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11.3</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17</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34</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68</w:t>
            </w:r>
          </w:p>
        </w:tc>
      </w:tr>
      <w:tr>
        <w:trPr>
          <w:cantSplit/>
        </w:trPr>
        <w:tc>
          <w:tcPr>
            <w:tcW w:type="dxa" w:w="294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Extraversion</w:t>
            </w:r>
          </w:p>
        </w:tc>
        <w:tc>
          <w:tcPr>
            <w:tcW w:type="dxa" w:w="113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43.2</w:t>
            </w:r>
          </w:p>
        </w:tc>
        <w:tc>
          <w:tcPr>
            <w:tcW w:type="dxa" w:w="113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12.1</w:t>
            </w:r>
          </w:p>
        </w:tc>
        <w:tc>
          <w:tcPr>
            <w:tcW w:type="dxa" w:w="113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17</w:t>
            </w:r>
          </w:p>
        </w:tc>
        <w:tc>
          <w:tcPr>
            <w:tcW w:type="dxa" w:w="113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45</w:t>
            </w:r>
          </w:p>
        </w:tc>
        <w:tc>
          <w:tcPr>
            <w:tcW w:type="dxa" w:w="113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67</w:t>
            </w:r>
          </w:p>
        </w:tc>
      </w:tr>
      <w:tr>
        <w:trPr>
          <w:cantSplit/>
        </w:trPr>
        <w:tc>
          <w:tcPr>
            <w:tcW w:type="dxa" w:w="294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Openness</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41.3</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11.3</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18</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44</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65</w:t>
            </w:r>
          </w:p>
        </w:tc>
      </w:tr>
      <w:tr>
        <w:trPr>
          <w:cantSplit/>
        </w:trPr>
        <w:tc>
          <w:tcPr>
            <w:tcW w:type="dxa" w:w="294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Agreeableness</w:t>
            </w:r>
          </w:p>
        </w:tc>
        <w:tc>
          <w:tcPr>
            <w:tcW w:type="dxa" w:w="113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44.6</w:t>
            </w:r>
          </w:p>
        </w:tc>
        <w:tc>
          <w:tcPr>
            <w:tcW w:type="dxa" w:w="113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11.3</w:t>
            </w:r>
          </w:p>
        </w:tc>
        <w:tc>
          <w:tcPr>
            <w:tcW w:type="dxa" w:w="113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17</w:t>
            </w:r>
          </w:p>
        </w:tc>
        <w:tc>
          <w:tcPr>
            <w:tcW w:type="dxa" w:w="113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46</w:t>
            </w:r>
          </w:p>
        </w:tc>
        <w:tc>
          <w:tcPr>
            <w:tcW w:type="dxa" w:w="113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68</w:t>
            </w:r>
          </w:p>
        </w:tc>
      </w:tr>
      <w:tr>
        <w:trPr>
          <w:cantSplit/>
        </w:trPr>
        <w:tc>
          <w:tcPr>
            <w:tcW w:type="dxa" w:w="294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Conscientiousness</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45.2</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13.2</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18</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49</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66</w:t>
            </w:r>
          </w:p>
        </w:tc>
      </w:tr>
    </w:tbl>
    <w:p>
      <w:pPr>
        <w:spacing w:after="40"/>
      </w:pPr>
    </w:p>
    <w:p>
      <w:pPr>
        <w:pStyle w:val="Heading3"/>
      </w:pPr>
      <w:r>
        <w:t>Correlation between skills</w:t>
      </w:r>
    </w:p>
    <w:p>
      <w:pPr>
        <w:keepNext/>
        <w:spacing w:after="60"/>
      </w:pPr>
      <w:r>
        <w:rPr>
          <w:b/>
          <w:sz w:val="21"/>
        </w:rPr>
        <w:t>Table 13.</w:t>
      </w:r>
      <w:r>
        <w:rPr>
          <w:sz w:val="21"/>
        </w:rPr>
        <w:t xml:space="preserve"> Rank correlations between JDS skills. Variance inflation factors are 1.04–1.45.</w:t>
      </w:r>
    </w:p>
    <w:tbl>
      <w:tblPr>
        <w:tblW w:type="auto" w:w="0"/>
        <w:jc w:val="center"/>
        <w:tblLayout w:type="fixed"/>
        <w:tblLook w:firstColumn="1" w:firstRow="1" w:lastColumn="0" w:lastRow="0" w:noHBand="0" w:noVBand="1" w:val="04A0"/>
      </w:tblPr>
      <w:tblGrid>
        <w:gridCol w:w="2608"/>
        <w:gridCol w:w="1247"/>
        <w:gridCol w:w="1361"/>
        <w:gridCol w:w="1134"/>
        <w:gridCol w:w="1134"/>
        <w:gridCol w:w="1361"/>
      </w:tblGrid>
      <w:tr>
        <w:trPr>
          <w:cantSplit/>
          <w:tblHeader/>
        </w:trPr>
        <w:tc>
          <w:tcPr>
            <w:tcW w:type="dxa" w:w="260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Spearman ρ</w:t>
            </w:r>
          </w:p>
        </w:tc>
        <w:tc>
          <w:tcPr>
            <w:tcW w:type="dxa" w:w="1247"/>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Big Data</w:t>
            </w:r>
          </w:p>
        </w:tc>
        <w:tc>
          <w:tcPr>
            <w:tcW w:type="dxa" w:w="136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Maths &amp; Stats</w:t>
            </w:r>
          </w:p>
        </w:tc>
        <w:tc>
          <w:tcPr>
            <w:tcW w:type="dxa" w:w="113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Coding</w:t>
            </w:r>
          </w:p>
        </w:tc>
        <w:tc>
          <w:tcPr>
            <w:tcW w:type="dxa" w:w="113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AI &amp; ML</w:t>
            </w:r>
          </w:p>
        </w:tc>
        <w:tc>
          <w:tcPr>
            <w:tcW w:type="dxa" w:w="136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Storytelling</w:t>
            </w:r>
          </w:p>
        </w:tc>
      </w:tr>
      <w:tr>
        <w:trPr>
          <w:cantSplit/>
        </w:trPr>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Big Data</w:t>
            </w:r>
          </w:p>
        </w:tc>
        <w:tc>
          <w:tcPr>
            <w:tcW w:type="dxa" w:w="124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1.00</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−0.18</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0.05</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−0.17</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0.05</w:t>
            </w:r>
          </w:p>
        </w:tc>
      </w:tr>
      <w:tr>
        <w:trPr>
          <w:cantSplit/>
        </w:trPr>
        <w:tc>
          <w:tcPr>
            <w:tcW w:type="dxa" w:w="260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Maths &amp; Statistics</w:t>
            </w:r>
          </w:p>
        </w:tc>
        <w:tc>
          <w:tcPr>
            <w:tcW w:type="dxa" w:w="124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−0.18</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1.00</w:t>
            </w:r>
          </w:p>
        </w:tc>
        <w:tc>
          <w:tcPr>
            <w:tcW w:type="dxa" w:w="113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0.40</w:t>
            </w:r>
          </w:p>
        </w:tc>
        <w:tc>
          <w:tcPr>
            <w:tcW w:type="dxa" w:w="113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0.44</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0.36</w:t>
            </w:r>
          </w:p>
        </w:tc>
      </w:tr>
      <w:tr>
        <w:trPr>
          <w:cantSplit/>
        </w:trPr>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Coding</w:t>
            </w:r>
          </w:p>
        </w:tc>
        <w:tc>
          <w:tcPr>
            <w:tcW w:type="dxa" w:w="124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0.05</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0.40</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1.00</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0.16</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0.47</w:t>
            </w:r>
          </w:p>
        </w:tc>
      </w:tr>
      <w:tr>
        <w:trPr>
          <w:cantSplit/>
        </w:trPr>
        <w:tc>
          <w:tcPr>
            <w:tcW w:type="dxa" w:w="260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AI &amp; ML</w:t>
            </w:r>
          </w:p>
        </w:tc>
        <w:tc>
          <w:tcPr>
            <w:tcW w:type="dxa" w:w="124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−0.17</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0.44</w:t>
            </w:r>
          </w:p>
        </w:tc>
        <w:tc>
          <w:tcPr>
            <w:tcW w:type="dxa" w:w="113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0.16</w:t>
            </w:r>
          </w:p>
        </w:tc>
        <w:tc>
          <w:tcPr>
            <w:tcW w:type="dxa" w:w="113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1.00</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0.27</w:t>
            </w:r>
          </w:p>
        </w:tc>
      </w:tr>
      <w:tr>
        <w:trPr>
          <w:cantSplit/>
        </w:trPr>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Dashboards &amp; Storytelling</w:t>
            </w:r>
          </w:p>
        </w:tc>
        <w:tc>
          <w:tcPr>
            <w:tcW w:type="dxa" w:w="124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0.05</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0.36</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0.47</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0.27</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1.00</w:t>
            </w:r>
          </w:p>
        </w:tc>
      </w:tr>
    </w:tbl>
    <w:p>
      <w:pPr>
        <w:spacing w:after="40"/>
      </w:pPr>
    </w:p>
    <w:p>
      <w:pPr>
        <w:jc w:val="both"/>
      </w:pPr>
      <w:r>
        <w:t>The skills are moderately correlated at most (largest ρ = 0.47, Coding with Storytelling) and every variance inflation factor is below 1.5, so the multivariable T1 model can separate their contributions without collinearity problems. Big Data is nearly uncorrelated with everything else — consistent with it behaving as a separate, weakly related skill rather than part of the analytical core.</w:t>
      </w:r>
    </w:p>
    <w:p>
      <w:pPr>
        <w:pStyle w:val="Heading2"/>
      </w:pPr>
      <w:bookmarkStart w:id="24" w:name="s33"/>
      <w:r>
        <w:t>3.5 Identifier audit</w:t>
      </w:r>
      <w:bookmarkEnd w:id="24"/>
    </w:p>
    <w:p>
      <w:pPr>
        <w:keepNext/>
        <w:spacing w:after="60"/>
      </w:pPr>
      <w:r>
        <w:rPr>
          <w:b/>
          <w:sz w:val="21"/>
        </w:rPr>
        <w:t>Table 14.</w:t>
      </w:r>
      <w:r>
        <w:rPr>
          <w:sz w:val="21"/>
        </w:rPr>
        <w:t xml:space="preserve"> Identifier overlap across files (NB01).</w:t>
      </w:r>
    </w:p>
    <w:tbl>
      <w:tblPr>
        <w:tblW w:type="auto" w:w="0"/>
        <w:jc w:val="center"/>
        <w:tblLayout w:type="fixed"/>
        <w:tblLook w:firstColumn="1" w:firstRow="1" w:lastColumn="0" w:lastRow="0" w:noHBand="0" w:noVBand="1" w:val="04A0"/>
      </w:tblPr>
      <w:tblGrid>
        <w:gridCol w:w="3402"/>
        <w:gridCol w:w="1247"/>
        <w:gridCol w:w="4535"/>
      </w:tblGrid>
      <w:tr>
        <w:trPr>
          <w:cantSplit/>
          <w:tblHeader/>
        </w:trPr>
        <w:tc>
          <w:tcPr>
            <w:tcW w:type="dxa" w:w="3402"/>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ID comparison</w:t>
            </w:r>
          </w:p>
        </w:tc>
        <w:tc>
          <w:tcPr>
            <w:tcW w:type="dxa" w:w="1247"/>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Overlap</w:t>
            </w:r>
          </w:p>
        </w:tc>
        <w:tc>
          <w:tcPr>
            <w:tcW w:type="dxa" w:w="4535"/>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Interpretation</w:t>
            </w:r>
          </w:p>
        </w:tc>
      </w:tr>
      <w:tr>
        <w:trPr>
          <w:cantSplit/>
        </w:trPr>
        <w:tc>
          <w:tcPr>
            <w:tcW w:type="dxa" w:w="3402"/>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DS.reference_no ∩ A.s_no</w:t>
            </w:r>
          </w:p>
        </w:tc>
        <w:tc>
          <w:tcPr>
            <w:tcW w:type="dxa" w:w="124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1,460</w:t>
            </w:r>
          </w:p>
        </w:tc>
        <w:tc>
          <w:tcPr>
            <w:tcW w:type="dxa" w:w="453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coincidental row numbers — different grains</w:t>
            </w:r>
          </w:p>
        </w:tc>
      </w:tr>
      <w:tr>
        <w:trPr>
          <w:cantSplit/>
        </w:trPr>
        <w:tc>
          <w:tcPr>
            <w:tcW w:type="dxa" w:w="3402"/>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DS.reference_no ∩ JDS.id</w:t>
            </w:r>
          </w:p>
        </w:tc>
        <w:tc>
          <w:tcPr>
            <w:tcW w:type="dxa" w:w="124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21</w:t>
            </w:r>
          </w:p>
        </w:tc>
        <w:tc>
          <w:tcPr>
            <w:tcW w:type="dxa" w:w="453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coincidental row numbers — different grains</w:t>
            </w:r>
          </w:p>
        </w:tc>
      </w:tr>
      <w:tr>
        <w:trPr>
          <w:cantSplit/>
        </w:trPr>
        <w:tc>
          <w:tcPr>
            <w:tcW w:type="dxa" w:w="3402"/>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DS.reference_no ∩ SDS.id</w:t>
            </w:r>
          </w:p>
        </w:tc>
        <w:tc>
          <w:tcPr>
            <w:tcW w:type="dxa" w:w="124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33</w:t>
            </w:r>
          </w:p>
        </w:tc>
        <w:tc>
          <w:tcPr>
            <w:tcW w:type="dxa" w:w="453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coincidental row numbers — different grains</w:t>
            </w:r>
          </w:p>
        </w:tc>
      </w:tr>
      <w:tr>
        <w:trPr>
          <w:cantSplit/>
        </w:trPr>
        <w:tc>
          <w:tcPr>
            <w:tcW w:type="dxa" w:w="3402"/>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A.s_no ∩ JDS.id</w:t>
            </w:r>
          </w:p>
        </w:tc>
        <w:tc>
          <w:tcPr>
            <w:tcW w:type="dxa" w:w="124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137</w:t>
            </w:r>
          </w:p>
        </w:tc>
        <w:tc>
          <w:tcPr>
            <w:tcW w:type="dxa" w:w="453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coincidental row numbers — different grains</w:t>
            </w:r>
          </w:p>
        </w:tc>
      </w:tr>
      <w:tr>
        <w:trPr>
          <w:cantSplit/>
        </w:trPr>
        <w:tc>
          <w:tcPr>
            <w:tcW w:type="dxa" w:w="3402"/>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A.s_no ∩ SDS.id</w:t>
            </w:r>
          </w:p>
        </w:tc>
        <w:tc>
          <w:tcPr>
            <w:tcW w:type="dxa" w:w="124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152</w:t>
            </w:r>
          </w:p>
        </w:tc>
        <w:tc>
          <w:tcPr>
            <w:tcW w:type="dxa" w:w="453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coincidental row numbers — different grains</w:t>
            </w:r>
          </w:p>
        </w:tc>
      </w:tr>
      <w:tr>
        <w:trPr>
          <w:cantSplit/>
        </w:trPr>
        <w:tc>
          <w:tcPr>
            <w:tcW w:type="dxa" w:w="3402"/>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JDS.id ∩ SDS.id</w:t>
            </w:r>
          </w:p>
        </w:tc>
        <w:tc>
          <w:tcPr>
            <w:tcW w:type="dxa" w:w="124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w:t>
            </w:r>
          </w:p>
        </w:tc>
        <w:tc>
          <w:tcPr>
            <w:tcW w:type="dxa" w:w="453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b/>
                <w:sz w:val="20"/>
              </w:rPr>
              <w:t>no shared entities</w:t>
            </w:r>
          </w:p>
        </w:tc>
      </w:tr>
    </w:tbl>
    <w:p>
      <w:pPr>
        <w:spacing w:after="40"/>
      </w:pPr>
    </w:p>
    <w:p>
      <w:pPr>
        <w:pStyle w:val="Heading2"/>
      </w:pPr>
      <w:bookmarkStart w:id="25" w:name="h_36Derivedvariables"/>
      <w:r>
        <w:t>3.6 Derived variables</w:t>
      </w:r>
      <w:bookmarkEnd w:id="25"/>
    </w:p>
    <w:p>
      <w:pPr>
        <w:keepNext/>
        <w:spacing w:after="60"/>
      </w:pPr>
      <w:r>
        <w:rPr>
          <w:b/>
          <w:sz w:val="21"/>
        </w:rPr>
        <w:t>Table 15.</w:t>
      </w:r>
      <w:r>
        <w:rPr>
          <w:sz w:val="21"/>
        </w:rPr>
        <w:t xml:space="preserve"> Derivations (NB01, NB06).</w:t>
      </w:r>
    </w:p>
    <w:tbl>
      <w:tblPr>
        <w:tblW w:type="auto" w:w="0"/>
        <w:jc w:val="center"/>
        <w:tblLayout w:type="fixed"/>
        <w:tblLook w:firstColumn="1" w:firstRow="1" w:lastColumn="0" w:lastRow="0" w:noHBand="0" w:noVBand="1" w:val="04A0"/>
      </w:tblPr>
      <w:tblGrid>
        <w:gridCol w:w="2154"/>
        <w:gridCol w:w="3515"/>
        <w:gridCol w:w="1928"/>
        <w:gridCol w:w="1644"/>
      </w:tblGrid>
      <w:tr>
        <w:trPr>
          <w:cantSplit/>
          <w:tblHeader/>
        </w:trPr>
        <w:tc>
          <w:tcPr>
            <w:tcW w:type="dxa" w:w="215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Derived field</w:t>
            </w:r>
          </w:p>
        </w:tc>
        <w:tc>
          <w:tcPr>
            <w:tcW w:type="dxa" w:w="3515"/>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Rule</w:t>
            </w:r>
          </w:p>
        </w:tc>
        <w:tc>
          <w:tcPr>
            <w:tcW w:type="dxa" w:w="192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Example</w:t>
            </w:r>
          </w:p>
        </w:tc>
        <w:tc>
          <w:tcPr>
            <w:tcW w:type="dxa" w:w="164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Used in</w:t>
            </w:r>
          </w:p>
        </w:tc>
      </w:tr>
      <w:tr>
        <w:trPr>
          <w:cantSplit/>
        </w:trPr>
        <w:tc>
          <w:tcPr>
            <w:tcW w:type="dxa" w:w="215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salary_ord</w:t>
            </w:r>
          </w:p>
        </w:tc>
        <w:tc>
          <w:tcPr>
            <w:tcW w:type="dxa" w:w="351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6 ordered bands: 0–3, 3–6, 6–10, 10–15, 15–25, 25–50 LPA</w:t>
            </w:r>
          </w:p>
        </w:tc>
        <w:tc>
          <w:tcPr>
            <w:tcW w:type="dxa" w:w="192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‘10to15’ → 3</w:t>
            </w:r>
          </w:p>
        </w:tc>
        <w:tc>
          <w:tcPr>
            <w:tcW w:type="dxa" w:w="164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Market model, JD scanner</w:t>
            </w:r>
          </w:p>
        </w:tc>
      </w:tr>
      <w:tr>
        <w:trPr>
          <w:cantSplit/>
        </w:trPr>
        <w:tc>
          <w:tcPr>
            <w:tcW w:type="dxa" w:w="215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exp_min / exp_max / exp_span</w:t>
            </w:r>
          </w:p>
        </w:tc>
        <w:tc>
          <w:tcPr>
            <w:tcW w:type="dxa" w:w="351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Regex on ‘x–y yrs’ (0 parse failures)</w:t>
            </w:r>
          </w:p>
        </w:tc>
        <w:tc>
          <w:tcPr>
            <w:tcW w:type="dxa" w:w="192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‘5-10 yrs’ → 5, 10, 5</w:t>
            </w:r>
          </w:p>
        </w:tc>
        <w:tc>
          <w:tcPr>
            <w:tcW w:type="dxa" w:w="164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Controls, scanner</w:t>
            </w:r>
          </w:p>
        </w:tc>
      </w:tr>
      <w:tr>
        <w:trPr>
          <w:cantSplit/>
        </w:trPr>
        <w:tc>
          <w:tcPr>
            <w:tcW w:type="dxa" w:w="215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seniority</w:t>
            </w:r>
          </w:p>
        </w:tc>
        <w:tc>
          <w:tcPr>
            <w:tcW w:type="dxa" w:w="351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First match: head &gt; lead/manager &gt; senior &gt; junior &gt; mid</w:t>
            </w:r>
          </w:p>
        </w:tc>
        <w:tc>
          <w:tcPr>
            <w:tcW w:type="dxa" w:w="192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‘Sr Data Scientist’ → senior</w:t>
            </w:r>
          </w:p>
        </w:tc>
        <w:tc>
          <w:tcPr>
            <w:tcW w:type="dxa" w:w="164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Controls, ladder</w:t>
            </w:r>
          </w:p>
        </w:tc>
      </w:tr>
      <w:tr>
        <w:trPr>
          <w:cantSplit/>
        </w:trPr>
        <w:tc>
          <w:tcPr>
            <w:tcW w:type="dxa" w:w="215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role_family</w:t>
            </w:r>
          </w:p>
        </w:tc>
        <w:tc>
          <w:tcPr>
            <w:tcW w:type="dxa" w:w="351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DS/ML, DE, BA, DA/BI, other</w:t>
            </w:r>
          </w:p>
        </w:tc>
        <w:tc>
          <w:tcPr>
            <w:tcW w:type="dxa" w:w="192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‘Big Data Engineer’ → DE</w:t>
            </w:r>
          </w:p>
        </w:tc>
        <w:tc>
          <w:tcPr>
            <w:tcW w:type="dxa" w:w="164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Controls, role profiles</w:t>
            </w:r>
          </w:p>
        </w:tc>
      </w:tr>
      <w:tr>
        <w:trPr>
          <w:cantSplit/>
        </w:trPr>
        <w:tc>
          <w:tcPr>
            <w:tcW w:type="dxa" w:w="215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loc_tier</w:t>
            </w:r>
          </w:p>
        </w:tc>
        <w:tc>
          <w:tcPr>
            <w:tcW w:type="dxa" w:w="351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Tier-1 city list / foreign list / else Tier-2-3</w:t>
            </w:r>
          </w:p>
        </w:tc>
        <w:tc>
          <w:tcPr>
            <w:tcW w:type="dxa" w:w="192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‘Indore’ → Tier2_3</w:t>
            </w:r>
          </w:p>
        </w:tc>
        <w:tc>
          <w:tcPr>
            <w:tcW w:type="dxa" w:w="164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Bharat analysis</w:t>
            </w:r>
          </w:p>
        </w:tc>
      </w:tr>
      <w:tr>
        <w:trPr>
          <w:cantSplit/>
        </w:trPr>
        <w:tc>
          <w:tcPr>
            <w:tcW w:type="dxa" w:w="215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Capability flags × 7</w:t>
            </w:r>
          </w:p>
        </w:tc>
        <w:tc>
          <w:tcPr>
            <w:tcW w:type="dxa" w:w="351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cap-tax-v2.0 regex: primary = title + listed skills; wide = also the description</w:t>
            </w:r>
          </w:p>
        </w:tc>
        <w:tc>
          <w:tcPr>
            <w:tcW w:type="dxa" w:w="192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‘python, scikit-learn’ → coding, ai_ml</w:t>
            </w:r>
          </w:p>
        </w:tc>
        <w:tc>
          <w:tcPr>
            <w:tcW w:type="dxa" w:w="164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Market model</w:t>
            </w:r>
          </w:p>
        </w:tc>
      </w:tr>
      <w:tr>
        <w:trPr>
          <w:cantSplit/>
        </w:trPr>
        <w:tc>
          <w:tcPr>
            <w:tcW w:type="dxa" w:w="215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trunc_skills, jobtype_missing, spam_title</w:t>
            </w:r>
          </w:p>
        </w:tc>
        <w:tc>
          <w:tcPr>
            <w:tcW w:type="dxa" w:w="351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Data-quality flags</w:t>
            </w:r>
          </w:p>
        </w:tc>
        <w:tc>
          <w:tcPr>
            <w:tcW w:type="dxa" w:w="192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w:t>
            </w:r>
          </w:p>
        </w:tc>
        <w:tc>
          <w:tcPr>
            <w:tcW w:type="dxa" w:w="164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Controls, robustness</w:t>
            </w:r>
          </w:p>
        </w:tc>
      </w:tr>
      <w:tr>
        <w:trPr>
          <w:cantSplit/>
        </w:trPr>
        <w:tc>
          <w:tcPr>
            <w:tcW w:type="dxa" w:w="215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headroom_k</w:t>
            </w:r>
          </w:p>
        </w:tc>
        <w:tc>
          <w:tcPr>
            <w:tcW w:type="dxa" w:w="351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Share of juniors with score &lt; 5.0 for capability k</w:t>
            </w:r>
          </w:p>
        </w:tc>
        <w:tc>
          <w:tcPr>
            <w:tcW w:type="dxa" w:w="192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Big Data 82%</w:t>
            </w:r>
          </w:p>
        </w:tc>
        <w:tc>
          <w:tcPr>
            <w:tcW w:type="dxa" w:w="164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Decision</w:t>
            </w:r>
          </w:p>
        </w:tc>
      </w:tr>
    </w:tbl>
    <w:p>
      <w:pPr>
        <w:spacing w:after="40"/>
      </w:pPr>
    </w:p>
    <w:p>
      <w:pPr>
        <w:pStyle w:val="Heading2"/>
      </w:pPr>
      <w:bookmarkStart w:id="26" w:name="h_37Consolidationanddatareductio"/>
      <w:r>
        <w:t>3.7 Consolidation and data reduction</w:t>
      </w:r>
      <w:bookmarkEnd w:id="26"/>
    </w:p>
    <w:p>
      <w:pPr>
        <w:keepNext/>
        <w:spacing w:after="60"/>
      </w:pPr>
      <w:r>
        <w:rPr>
          <w:b/>
          <w:sz w:val="21"/>
        </w:rPr>
        <w:t>Table 16.</w:t>
      </w:r>
      <w:r>
        <w:rPr>
          <w:sz w:val="21"/>
        </w:rPr>
        <w:t xml:space="preserve"> Cleaning log, Analytics Jobs.</w:t>
      </w:r>
    </w:p>
    <w:tbl>
      <w:tblPr>
        <w:tblW w:type="auto" w:w="0"/>
        <w:jc w:val="center"/>
        <w:tblLayout w:type="fixed"/>
        <w:tblLook w:firstColumn="1" w:firstRow="1" w:lastColumn="0" w:lastRow="0" w:noHBand="0" w:noVBand="1" w:val="04A0"/>
      </w:tblPr>
      <w:tblGrid>
        <w:gridCol w:w="5953"/>
        <w:gridCol w:w="1701"/>
      </w:tblGrid>
      <w:tr>
        <w:trPr>
          <w:cantSplit/>
          <w:tblHeader/>
        </w:trPr>
        <w:tc>
          <w:tcPr>
            <w:tcW w:type="dxa" w:w="5953"/>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Step</w:t>
            </w:r>
          </w:p>
        </w:tc>
        <w:tc>
          <w:tcPr>
            <w:tcW w:type="dxa" w:w="170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Rows</w:t>
            </w:r>
          </w:p>
        </w:tc>
      </w:tr>
      <w:tr>
        <w:trPr>
          <w:cantSplit/>
        </w:trPr>
        <w:tc>
          <w:tcPr>
            <w:tcW w:type="dxa" w:w="5953"/>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raw rows</w:t>
            </w:r>
          </w:p>
        </w:tc>
        <w:tc>
          <w:tcPr>
            <w:tcW w:type="dxa" w:w="170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15,841</w:t>
            </w:r>
          </w:p>
        </w:tc>
      </w:tr>
      <w:tr>
        <w:trPr>
          <w:cantSplit/>
        </w:trPr>
        <w:tc>
          <w:tcPr>
            <w:tcW w:type="dxa" w:w="5953"/>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after exact-duplicate drop</w:t>
            </w:r>
          </w:p>
        </w:tc>
        <w:tc>
          <w:tcPr>
            <w:tcW w:type="dxa" w:w="170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14,840</w:t>
            </w:r>
          </w:p>
        </w:tc>
      </w:tr>
      <w:tr>
        <w:trPr>
          <w:cantSplit/>
        </w:trPr>
        <w:tc>
          <w:tcPr>
            <w:tcW w:type="dxa" w:w="5953"/>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experience parse failures</w:t>
            </w:r>
          </w:p>
        </w:tc>
        <w:tc>
          <w:tcPr>
            <w:tcW w:type="dxa" w:w="170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w:t>
            </w:r>
          </w:p>
        </w:tc>
      </w:tr>
      <w:tr>
        <w:trPr>
          <w:cantSplit/>
        </w:trPr>
        <w:tc>
          <w:tcPr>
            <w:tcW w:type="dxa" w:w="5953"/>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after dropping unparseable experience</w:t>
            </w:r>
          </w:p>
        </w:tc>
        <w:tc>
          <w:tcPr>
            <w:tcW w:type="dxa" w:w="170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14,840</w:t>
            </w:r>
          </w:p>
        </w:tc>
      </w:tr>
      <w:tr>
        <w:trPr>
          <w:cantSplit/>
        </w:trPr>
        <w:tc>
          <w:tcPr>
            <w:tcW w:type="dxa" w:w="5953"/>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Primary data-role population (is_ds_p)</w:t>
            </w:r>
          </w:p>
        </w:tc>
        <w:tc>
          <w:tcPr>
            <w:tcW w:type="dxa" w:w="170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6,097</w:t>
            </w:r>
          </w:p>
        </w:tc>
      </w:tr>
      <w:tr>
        <w:trPr>
          <w:cantSplit/>
        </w:trPr>
        <w:tc>
          <w:tcPr>
            <w:tcW w:type="dxa" w:w="5953"/>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Wide population (is_ds_w)</w:t>
            </w:r>
          </w:p>
        </w:tc>
        <w:tc>
          <w:tcPr>
            <w:tcW w:type="dxa" w:w="170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10,338</w:t>
            </w:r>
          </w:p>
        </w:tc>
      </w:tr>
    </w:tbl>
    <w:p>
      <w:pPr>
        <w:spacing w:after="40"/>
      </w:pPr>
    </w:p>
    <w:p>
      <w:pPr>
        <w:jc w:val="both"/>
      </w:pPr>
      <w:r>
        <w:rPr>
          <w:b/>
        </w:rPr>
        <w:t>Data reduction.</w:t>
      </w:r>
      <w:r>
        <w:t xml:space="preserve"> Rows: 15,841 → 14,840 after duplicates → 6,097 primary data roles for the main market model, with the 10,338-posting wide population kept as a robustness check. Features: free-text skills and descriptions are reduced to 7 capability flags; free-text locations to 3 tiers; designations to 5 seniority levels and 5 role families; salary to 6 ordered bands. Each reduction is a published rule in taxonomy.json, so it can be audited and re-run.</w:t>
      </w:r>
    </w:p>
    <w:p>
      <w:pPr>
        <w:jc w:val="both"/>
      </w:pPr>
      <w:r>
        <w:t>The cleaned postings, JDS, DS Jobs and the capability evidence matrix are written to one SQLite database (out/nexus_delta.db) and queried with standard SQL; the same tables can be loaded into SAS VFL. The capability prevalence in primary data roles is: Coding 29.4%, Maths &amp; Statistics 17.2%, Storytelling 16.5%, AI &amp; ML 14.4%, MIS 13.0%, Big Data 9.5%, Visualisation 5.4%.</w:t>
      </w:r>
    </w:p>
    <w:tbl>
      <w:tblPr>
        <w:tblW w:type="auto" w:w="0"/>
        <w:tblLook w:firstColumn="1" w:firstRow="1" w:lastColumn="0" w:lastRow="0" w:noHBand="0" w:noVBand="1" w:val="04A0"/>
      </w:tblPr>
      <w:tblGrid>
        <w:gridCol w:w="9298"/>
      </w:tblGrid>
      <w:tr>
        <w:trPr>
          <w:cantSplit/>
        </w:trPr>
        <w:tc>
          <w:tcPr>
            <w:tcW w:type="dxa" w:w="9298"/>
            <w:tcBorders>
              <w:top w:val="single" w:sz="4" w:color="DAD6CB"/>
              <w:start w:val="single" w:sz="4" w:color="DAD6CB"/>
              <w:bottom w:val="single" w:sz="4" w:color="DAD6CB"/>
              <w:end w:val="single" w:sz="4" w:color="DAD6CB"/>
            </w:tcBorders>
            <w:shd w:val="clear" w:color="auto" w:fill="F4F1EA"/>
            <w:tcMar>
              <w:top w:w="80" w:type="dxa"/>
              <w:start w:w="140" w:type="dxa"/>
              <w:bottom w:w="80" w:type="dxa"/>
              <w:end w:w="140" w:type="dxa"/>
            </w:tcMar>
          </w:tcPr>
          <w:p>
            <w:r>
              <w:rPr>
                <w:b/>
                <w:color w:val="D9701C"/>
                <w:sz w:val="18"/>
              </w:rPr>
              <w:t>Excerpt — NB01 cleaning</w:t>
            </w:r>
          </w:p>
          <w:p>
            <w:pPr>
              <w:spacing w:after="0"/>
            </w:pPr>
            <w:r>
              <w:rPr>
                <w:rFonts w:ascii="Consolas" w:hAnsi="Consolas" w:eastAsia="Consolas"/>
                <w:sz w:val="16"/>
              </w:rPr>
              <w:t>a = A_RAW.drop_duplicates(subset=key_cols, keep="first").copy()   # -1,001 rows</w:t>
            </w:r>
          </w:p>
          <w:p>
            <w:pPr>
              <w:spacing w:after="0"/>
            </w:pPr>
            <w:r>
              <w:rPr>
                <w:rFonts w:ascii="Consolas" w:hAnsi="Consolas" w:eastAsia="Consolas"/>
                <w:sz w:val="16"/>
              </w:rPr>
              <w:t>a["trunc_skills"] = a.key_skills.fillna("").str.rstrip().str.endswith("...")  # ~87%</w:t>
            </w:r>
          </w:p>
          <w:p>
            <w:pPr>
              <w:spacing w:after="0"/>
            </w:pPr>
            <w:r>
              <w:rPr>
                <w:rFonts w:ascii="Consolas" w:hAnsi="Consolas" w:eastAsia="Consolas"/>
                <w:sz w:val="16"/>
              </w:rPr>
              <w:t>m = a.experience.str.extract(r"(\d+)\s*-\s*(\d+)").astype(float)  # '5-10 yrs' -&gt; 5, 10</w:t>
            </w:r>
          </w:p>
          <w:p>
            <w:pPr>
              <w:spacing w:after="0"/>
            </w:pPr>
            <w:r>
              <w:rPr>
                <w:rFonts w:ascii="Consolas" w:hAnsi="Consolas" w:eastAsia="Consolas"/>
                <w:sz w:val="16"/>
              </w:rPr>
              <w:t>a["salary_ord"] = a.salary.map({b: i for i, b in enumerate(BANDS)}).astype(int)</w:t>
            </w:r>
          </w:p>
          <w:p>
            <w:pPr>
              <w:spacing w:after="0"/>
            </w:pPr>
            <w:r>
              <w:rPr>
                <w:rFonts w:ascii="Consolas" w:hAnsi="Consolas" w:eastAsia="Consolas"/>
                <w:sz w:val="16"/>
              </w:rPr>
              <w:t>a["loc_tier"] = np.where(loc.str.contains(T1), "Tier1",</w:t>
            </w:r>
          </w:p>
          <w:p>
            <w:pPr>
              <w:spacing w:after="0"/>
            </w:pPr>
            <w:r>
              <w:rPr>
                <w:rFonts w:ascii="Consolas" w:hAnsi="Consolas" w:eastAsia="Consolas"/>
                <w:sz w:val="16"/>
              </w:rPr>
              <w:t xml:space="preserve">                np.where(loc.str.contains(FOREIGN), "International", "Tier2_3"))</w:t>
            </w:r>
          </w:p>
        </w:tc>
      </w:tr>
    </w:tbl>
    <w:p>
      <w:pPr>
        <w:spacing w:after="0"/>
      </w:pPr>
    </w:p>
    <w:p>
      <w:pPr>
        <w:pStyle w:val="Heading2"/>
      </w:pPr>
      <w:bookmarkStart w:id="27" w:name="h_38Whatexplorationshowed"/>
      <w:r>
        <w:t>3.8 What exploration showed</w:t>
      </w:r>
      <w:bookmarkEnd w:id="27"/>
    </w:p>
    <w:p>
      <w:pPr>
        <w:keepNext/>
        <w:spacing w:after="40"/>
        <w:jc w:val="center"/>
      </w:pPr>
      <w:r>
        <w:drawing>
          <wp:inline xmlns:a="http://schemas.openxmlformats.org/drawingml/2006/main" xmlns:pic="http://schemas.openxmlformats.org/drawingml/2006/picture">
            <wp:extent cx="5580000" cy="1595408"/>
            <wp:docPr id="5" name="Picture 5"/>
            <wp:cNvGraphicFramePr>
              <a:graphicFrameLocks noChangeAspect="1"/>
            </wp:cNvGraphicFramePr>
            <a:graphic>
              <a:graphicData uri="http://schemas.openxmlformats.org/drawingml/2006/picture">
                <pic:pic>
                  <pic:nvPicPr>
                    <pic:cNvPr id="0" name="fig01_explore.png"/>
                    <pic:cNvPicPr/>
                  </pic:nvPicPr>
                  <pic:blipFill>
                    <a:blip r:embed="rId24"/>
                    <a:stretch>
                      <a:fillRect/>
                    </a:stretch>
                  </pic:blipFill>
                  <pic:spPr>
                    <a:xfrm>
                      <a:off x="0" y="0"/>
                      <a:ext cx="5580000" cy="1595408"/>
                    </a:xfrm>
                    <a:prstGeom prst="rect"/>
                  </pic:spPr>
                </pic:pic>
              </a:graphicData>
            </a:graphic>
          </wp:inline>
        </w:drawing>
      </w:r>
    </w:p>
    <w:p>
      <w:pPr>
        <w:jc w:val="center"/>
      </w:pPr>
      <w:r>
        <w:rPr>
          <w:b/>
          <w:color w:val="5B6780"/>
          <w:sz w:val="21"/>
        </w:rPr>
        <w:t>Figure 4.</w:t>
      </w:r>
      <w:r>
        <w:rPr>
          <w:color w:val="5B6780"/>
          <w:sz w:val="21"/>
        </w:rPr>
        <w:t xml:space="preserve"> Exploration overview (NB01): missing-value rate by column, salary-band distribution, and mean salary band by seniority.</w:t>
      </w:r>
    </w:p>
    <w:p>
      <w:pPr>
        <w:pStyle w:val="Heading2"/>
      </w:pPr>
      <w:bookmarkStart w:id="28" w:name="s37"/>
      <w:r>
        <w:t>3.9 Bharat lens: the tier gap</w:t>
      </w:r>
      <w:bookmarkEnd w:id="28"/>
    </w:p>
    <w:p>
      <w:pPr>
        <w:keepNext/>
        <w:spacing w:after="60"/>
      </w:pPr>
      <w:r>
        <w:rPr>
          <w:b/>
          <w:sz w:val="21"/>
        </w:rPr>
        <w:t>Table 17.</w:t>
      </w:r>
      <w:r>
        <w:rPr>
          <w:sz w:val="21"/>
        </w:rPr>
        <w:t xml:space="preserve"> Opportunity by city tier, primary data-role postings (n = 6,097).</w:t>
      </w:r>
    </w:p>
    <w:tbl>
      <w:tblPr>
        <w:tblW w:type="auto" w:w="0"/>
        <w:jc w:val="center"/>
        <w:tblLayout w:type="fixed"/>
        <w:tblLook w:firstColumn="1" w:firstRow="1" w:lastColumn="0" w:lastRow="0" w:noHBand="0" w:noVBand="1" w:val="04A0"/>
      </w:tblPr>
      <w:tblGrid>
        <w:gridCol w:w="1928"/>
        <w:gridCol w:w="1361"/>
        <w:gridCol w:w="1587"/>
        <w:gridCol w:w="1361"/>
        <w:gridCol w:w="1361"/>
        <w:gridCol w:w="1361"/>
      </w:tblGrid>
      <w:tr>
        <w:trPr>
          <w:cantSplit/>
          <w:tblHeader/>
        </w:trPr>
        <w:tc>
          <w:tcPr>
            <w:tcW w:type="dxa" w:w="192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City tier</w:t>
            </w:r>
          </w:p>
        </w:tc>
        <w:tc>
          <w:tcPr>
            <w:tcW w:type="dxa" w:w="136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Postings</w:t>
            </w:r>
          </w:p>
        </w:tc>
        <w:tc>
          <w:tcPr>
            <w:tcW w:type="dxa" w:w="1587"/>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 at ≥ 10 LPA</w:t>
            </w:r>
          </w:p>
        </w:tc>
        <w:tc>
          <w:tcPr>
            <w:tcW w:type="dxa" w:w="136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AI &amp; ML %</w:t>
            </w:r>
          </w:p>
        </w:tc>
        <w:tc>
          <w:tcPr>
            <w:tcW w:type="dxa" w:w="136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Coding %</w:t>
            </w:r>
          </w:p>
        </w:tc>
        <w:tc>
          <w:tcPr>
            <w:tcW w:type="dxa" w:w="136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Maths %</w:t>
            </w:r>
          </w:p>
        </w:tc>
      </w:tr>
      <w:tr>
        <w:trPr>
          <w:cantSplit/>
        </w:trPr>
        <w:tc>
          <w:tcPr>
            <w:tcW w:type="dxa" w:w="192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Tier1</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5,627</w:t>
            </w:r>
          </w:p>
        </w:tc>
        <w:tc>
          <w:tcPr>
            <w:tcW w:type="dxa" w:w="158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51.0%</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15.0</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30.6</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17.8</w:t>
            </w:r>
          </w:p>
        </w:tc>
      </w:tr>
      <w:tr>
        <w:trPr>
          <w:cantSplit/>
        </w:trPr>
        <w:tc>
          <w:tcPr>
            <w:tcW w:type="dxa" w:w="192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Tier2_3</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407</w:t>
            </w:r>
          </w:p>
        </w:tc>
        <w:tc>
          <w:tcPr>
            <w:tcW w:type="dxa" w:w="158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29.0%</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6.9</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16.0</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9.8</w:t>
            </w:r>
          </w:p>
        </w:tc>
      </w:tr>
      <w:tr>
        <w:trPr>
          <w:cantSplit/>
        </w:trPr>
        <w:tc>
          <w:tcPr>
            <w:tcW w:type="dxa" w:w="192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International</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63</w:t>
            </w:r>
          </w:p>
        </w:tc>
        <w:tc>
          <w:tcPr>
            <w:tcW w:type="dxa" w:w="158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79.4%</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4.8</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7.9</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9.5</w:t>
            </w:r>
          </w:p>
        </w:tc>
      </w:tr>
    </w:tbl>
    <w:p>
      <w:pPr>
        <w:spacing w:after="40"/>
      </w:pPr>
    </w:p>
    <w:p>
      <w:pPr>
        <w:keepNext/>
        <w:spacing w:after="40"/>
        <w:jc w:val="center"/>
      </w:pPr>
      <w:r>
        <w:drawing>
          <wp:inline xmlns:a="http://schemas.openxmlformats.org/drawingml/2006/main" xmlns:pic="http://schemas.openxmlformats.org/drawingml/2006/picture">
            <wp:extent cx="5220000" cy="1827000"/>
            <wp:docPr id="6" name="Picture 6"/>
            <wp:cNvGraphicFramePr>
              <a:graphicFrameLocks noChangeAspect="1"/>
            </wp:cNvGraphicFramePr>
            <a:graphic>
              <a:graphicData uri="http://schemas.openxmlformats.org/drawingml/2006/picture">
                <pic:pic>
                  <pic:nvPicPr>
                    <pic:cNvPr id="0" name="fig07_bharat.png"/>
                    <pic:cNvPicPr/>
                  </pic:nvPicPr>
                  <pic:blipFill>
                    <a:blip r:embed="rId25"/>
                    <a:stretch>
                      <a:fillRect/>
                    </a:stretch>
                  </pic:blipFill>
                  <pic:spPr>
                    <a:xfrm>
                      <a:off x="0" y="0"/>
                      <a:ext cx="5220000" cy="1827000"/>
                    </a:xfrm>
                    <a:prstGeom prst="rect"/>
                  </pic:spPr>
                </pic:pic>
              </a:graphicData>
            </a:graphic>
          </wp:inline>
        </w:drawing>
      </w:r>
    </w:p>
    <w:p>
      <w:pPr>
        <w:jc w:val="center"/>
      </w:pPr>
      <w:r>
        <w:rPr>
          <w:b/>
          <w:color w:val="5B6780"/>
          <w:sz w:val="21"/>
        </w:rPr>
        <w:t>Figure 5.</w:t>
      </w:r>
      <w:r>
        <w:rPr>
          <w:color w:val="5B6780"/>
          <w:sz w:val="21"/>
        </w:rPr>
        <w:t xml:space="preserve"> Share of postings by city tier (left) and capability prevalence by tier (right). In Tier-2/3 cities, 29% of data-role postings reach 10 LPA, about half the Tier-1 rate.</w:t>
      </w:r>
    </w:p>
    <w:p>
      <w:pPr>
        <w:keepNext/>
        <w:spacing w:after="60"/>
      </w:pPr>
      <w:r>
        <w:rPr>
          <w:b/>
          <w:sz w:val="21"/>
        </w:rPr>
        <w:t>Table 18.</w:t>
      </w:r>
      <w:r>
        <w:rPr>
          <w:sz w:val="21"/>
        </w:rPr>
        <w:t xml:space="preserve"> Capability prevalence by tier, primary data-role postings (NB08).</w:t>
      </w:r>
    </w:p>
    <w:tbl>
      <w:tblPr>
        <w:tblW w:type="auto" w:w="0"/>
        <w:jc w:val="center"/>
        <w:tblLayout w:type="fixed"/>
        <w:tblLook w:firstColumn="1" w:firstRow="1" w:lastColumn="0" w:lastRow="0" w:noHBand="0" w:noVBand="1" w:val="04A0"/>
      </w:tblPr>
      <w:tblGrid>
        <w:gridCol w:w="3175"/>
        <w:gridCol w:w="1474"/>
        <w:gridCol w:w="1474"/>
        <w:gridCol w:w="1814"/>
      </w:tblGrid>
      <w:tr>
        <w:trPr>
          <w:cantSplit/>
          <w:tblHeader/>
        </w:trPr>
        <w:tc>
          <w:tcPr>
            <w:tcW w:type="dxa" w:w="3175"/>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Capability keywords</w:t>
            </w:r>
          </w:p>
        </w:tc>
        <w:tc>
          <w:tcPr>
            <w:tcW w:type="dxa" w:w="147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Tier-1 %</w:t>
            </w:r>
          </w:p>
        </w:tc>
        <w:tc>
          <w:tcPr>
            <w:tcW w:type="dxa" w:w="147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Tier-2/3 %</w:t>
            </w:r>
          </w:p>
        </w:tc>
        <w:tc>
          <w:tcPr>
            <w:tcW w:type="dxa" w:w="181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Tier-2/3 ÷ Tier-1</w:t>
            </w:r>
          </w:p>
        </w:tc>
      </w:tr>
      <w:tr>
        <w:trPr>
          <w:cantSplit/>
        </w:trPr>
        <w:tc>
          <w:tcPr>
            <w:tcW w:type="dxa" w:w="317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Big Data</w:t>
            </w:r>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9.8</w:t>
            </w:r>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6.1</w:t>
            </w:r>
          </w:p>
        </w:tc>
        <w:tc>
          <w:tcPr>
            <w:tcW w:type="dxa" w:w="181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0.63×</w:t>
            </w:r>
          </w:p>
        </w:tc>
      </w:tr>
      <w:tr>
        <w:trPr>
          <w:cantSplit/>
        </w:trPr>
        <w:tc>
          <w:tcPr>
            <w:tcW w:type="dxa" w:w="317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Maths &amp; Statistics</w:t>
            </w:r>
          </w:p>
        </w:tc>
        <w:tc>
          <w:tcPr>
            <w:tcW w:type="dxa" w:w="147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17.8</w:t>
            </w:r>
          </w:p>
        </w:tc>
        <w:tc>
          <w:tcPr>
            <w:tcW w:type="dxa" w:w="147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9.8</w:t>
            </w:r>
          </w:p>
        </w:tc>
        <w:tc>
          <w:tcPr>
            <w:tcW w:type="dxa" w:w="181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0.55×</w:t>
            </w:r>
          </w:p>
        </w:tc>
      </w:tr>
      <w:tr>
        <w:trPr>
          <w:cantSplit/>
        </w:trPr>
        <w:tc>
          <w:tcPr>
            <w:tcW w:type="dxa" w:w="317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Coding</w:t>
            </w:r>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30.6</w:t>
            </w:r>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16.0</w:t>
            </w:r>
          </w:p>
        </w:tc>
        <w:tc>
          <w:tcPr>
            <w:tcW w:type="dxa" w:w="181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0.52×</w:t>
            </w:r>
          </w:p>
        </w:tc>
      </w:tr>
      <w:tr>
        <w:trPr>
          <w:cantSplit/>
        </w:trPr>
        <w:tc>
          <w:tcPr>
            <w:tcW w:type="dxa" w:w="317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AI &amp; ML</w:t>
            </w:r>
          </w:p>
        </w:tc>
        <w:tc>
          <w:tcPr>
            <w:tcW w:type="dxa" w:w="147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15.0</w:t>
            </w:r>
          </w:p>
        </w:tc>
        <w:tc>
          <w:tcPr>
            <w:tcW w:type="dxa" w:w="147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6.9</w:t>
            </w:r>
          </w:p>
        </w:tc>
        <w:tc>
          <w:tcPr>
            <w:tcW w:type="dxa" w:w="181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0.46×</w:t>
            </w:r>
          </w:p>
        </w:tc>
      </w:tr>
      <w:tr>
        <w:trPr>
          <w:cantSplit/>
        </w:trPr>
        <w:tc>
          <w:tcPr>
            <w:tcW w:type="dxa" w:w="317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Storytelling (family)</w:t>
            </w:r>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16.7</w:t>
            </w:r>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14.7</w:t>
            </w:r>
          </w:p>
        </w:tc>
        <w:tc>
          <w:tcPr>
            <w:tcW w:type="dxa" w:w="181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0.88×</w:t>
            </w:r>
          </w:p>
        </w:tc>
      </w:tr>
      <w:tr>
        <w:trPr>
          <w:cantSplit/>
        </w:trPr>
        <w:tc>
          <w:tcPr>
            <w:tcW w:type="dxa" w:w="317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Visualisation</w:t>
            </w:r>
          </w:p>
        </w:tc>
        <w:tc>
          <w:tcPr>
            <w:tcW w:type="dxa" w:w="147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5.6</w:t>
            </w:r>
          </w:p>
        </w:tc>
        <w:tc>
          <w:tcPr>
            <w:tcW w:type="dxa" w:w="147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3.7</w:t>
            </w:r>
          </w:p>
        </w:tc>
        <w:tc>
          <w:tcPr>
            <w:tcW w:type="dxa" w:w="181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0.66×</w:t>
            </w:r>
          </w:p>
        </w:tc>
      </w:tr>
      <w:tr>
        <w:trPr>
          <w:cantSplit/>
        </w:trPr>
        <w:tc>
          <w:tcPr>
            <w:tcW w:type="dxa" w:w="317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MIS / reporting</w:t>
            </w:r>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13.1</w:t>
            </w:r>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11.3</w:t>
            </w:r>
          </w:p>
        </w:tc>
        <w:tc>
          <w:tcPr>
            <w:tcW w:type="dxa" w:w="181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0.86×</w:t>
            </w:r>
          </w:p>
        </w:tc>
      </w:tr>
      <w:tr>
        <w:trPr>
          <w:cantSplit/>
        </w:trPr>
        <w:tc>
          <w:tcPr>
            <w:tcW w:type="dxa" w:w="317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MIS only</w:t>
            </w:r>
          </w:p>
        </w:tc>
        <w:tc>
          <w:tcPr>
            <w:tcW w:type="dxa" w:w="147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11.2</w:t>
            </w:r>
          </w:p>
        </w:tc>
        <w:tc>
          <w:tcPr>
            <w:tcW w:type="dxa" w:w="147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11.1</w:t>
            </w:r>
          </w:p>
        </w:tc>
        <w:tc>
          <w:tcPr>
            <w:tcW w:type="dxa" w:w="181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0.99×</w:t>
            </w:r>
          </w:p>
        </w:tc>
      </w:tr>
    </w:tbl>
    <w:p>
      <w:pPr>
        <w:spacing w:after="40"/>
      </w:pPr>
    </w:p>
    <w:p>
      <w:pPr>
        <w:jc w:val="both"/>
      </w:pPr>
      <w:r>
        <w:t>The skill mix differs by tier. Tier-2/3 postings mention Maths &amp; Statistics, Coding and AI &amp; ML only about half as often as Tier-1 postings (0.55×, 0.52×, 0.46×), while MIS/reporting keywords are almost as common (0.86×; MIS-only 0.99×). Tier-2/3 data roles therefore lean toward the reporting work that the market prices lower (§4.5) — part of why only 29% of them reach 10 LPA.</w:t>
      </w:r>
    </w:p>
    <w:p>
      <w:pPr>
        <w:pStyle w:val="Heading1"/>
      </w:pPr>
      <w:bookmarkStart w:id="29" w:name="s4"/>
      <w:r>
        <w:t>4. Data Analysis</w:t>
      </w:r>
      <w:bookmarkEnd w:id="29"/>
    </w:p>
    <w:tbl>
      <w:tblPr>
        <w:tblW w:type="auto" w:w="0"/>
        <w:jc w:val="center"/>
        <w:tblLook w:firstColumn="1" w:firstRow="1" w:lastColumn="0" w:lastRow="0" w:noHBand="0" w:noVBand="1" w:val="04A0"/>
      </w:tblPr>
      <w:tblGrid>
        <w:gridCol w:w="9298"/>
      </w:tblGrid>
      <w:tr>
        <w:trPr>
          <w:cantSplit/>
        </w:trPr>
        <w:tc>
          <w:tcPr>
            <w:tcW w:type="dxa" w:w="9298"/>
            <w:tcBorders>
              <w:top w:val="nil"/>
              <w:start w:val="single" w:sz="24" w:color="D9701C"/>
              <w:bottom w:val="nil"/>
              <w:end w:val="nil"/>
            </w:tcBorders>
            <w:shd w:val="clear" w:color="auto" w:fill="FDF3E8"/>
            <w:tcMar>
              <w:top w:w="120" w:type="dxa"/>
              <w:start w:w="200" w:type="dxa"/>
              <w:bottom w:w="120" w:type="dxa"/>
              <w:end w:w="200" w:type="dxa"/>
            </w:tcMar>
          </w:tcPr>
          <w:p>
            <w:pPr>
              <w:spacing w:after="40"/>
            </w:pPr>
            <w:r>
              <w:rPr>
                <w:b/>
                <w:color w:val="D9701C"/>
                <w:sz w:val="19"/>
              </w:rPr>
              <w:t>IN ONE LINE</w:t>
            </w:r>
          </w:p>
          <w:p>
            <w:pPr>
              <w:spacing w:after="40"/>
            </w:pPr>
            <w:r>
              <w:rPr>
                <w:sz w:val="23"/>
              </w:rPr>
              <w:t>Maths &amp; Statistics clears all three tests and has the largest modelled gain. Storytelling is strongest inside the company but discounted outside — and the analysis shows where the discount comes from.</w:t>
            </w:r>
          </w:p>
        </w:tc>
      </w:tr>
    </w:tbl>
    <w:p>
      <w:pPr>
        <w:spacing w:after="0"/>
      </w:pPr>
    </w:p>
    <w:p>
      <w:pPr>
        <w:pStyle w:val="Heading2"/>
      </w:pPr>
      <w:bookmarkStart w:id="30" w:name="s41"/>
      <w:r>
        <w:t>4.1 Internal evidence: what separates high-hike juniors</w:t>
      </w:r>
      <w:bookmarkEnd w:id="30"/>
    </w:p>
    <w:p>
      <w:pPr>
        <w:keepNext/>
        <w:spacing w:after="60"/>
      </w:pPr>
      <w:r>
        <w:rPr>
          <w:b/>
          <w:sz w:val="21"/>
        </w:rPr>
        <w:t>Table 19.</w:t>
      </w:r>
      <w:r>
        <w:rPr>
          <w:sz w:val="21"/>
        </w:rPr>
        <w:t xml:space="preserve"> JDS, n = 139, 52.5% high hike. Mann–Whitney U, 2,000-bootstrap CI, Holm-corrected.</w:t>
      </w:r>
    </w:p>
    <w:tbl>
      <w:tblPr>
        <w:tblW w:type="auto" w:w="0"/>
        <w:jc w:val="center"/>
        <w:tblLayout w:type="fixed"/>
        <w:tblLook w:firstColumn="1" w:firstRow="1" w:lastColumn="0" w:lastRow="0" w:noHBand="0" w:noVBand="1" w:val="04A0"/>
      </w:tblPr>
      <w:tblGrid>
        <w:gridCol w:w="2608"/>
        <w:gridCol w:w="1361"/>
        <w:gridCol w:w="1361"/>
        <w:gridCol w:w="1134"/>
        <w:gridCol w:w="1587"/>
        <w:gridCol w:w="1191"/>
      </w:tblGrid>
      <w:tr>
        <w:trPr>
          <w:cantSplit/>
          <w:tblHeader/>
        </w:trPr>
        <w:tc>
          <w:tcPr>
            <w:tcW w:type="dxa" w:w="260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Capability</w:t>
            </w:r>
          </w:p>
        </w:tc>
        <w:tc>
          <w:tcPr>
            <w:tcW w:type="dxa" w:w="136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Mean (low hike)</w:t>
            </w:r>
          </w:p>
        </w:tc>
        <w:tc>
          <w:tcPr>
            <w:tcW w:type="dxa" w:w="136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Mean (high hike)</w:t>
            </w:r>
          </w:p>
        </w:tc>
        <w:tc>
          <w:tcPr>
            <w:tcW w:type="dxa" w:w="113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Cliff's δ</w:t>
            </w:r>
          </w:p>
        </w:tc>
        <w:tc>
          <w:tcPr>
            <w:tcW w:type="dxa" w:w="1587"/>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95% CI</w:t>
            </w:r>
          </w:p>
        </w:tc>
        <w:tc>
          <w:tcPr>
            <w:tcW w:type="dxa" w:w="119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Holm p</w:t>
            </w:r>
          </w:p>
        </w:tc>
      </w:tr>
      <w:tr>
        <w:trPr>
          <w:cantSplit/>
        </w:trPr>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Dashboards &amp; Storytelling</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3.81</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4.85</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b/>
                <w:sz w:val="20"/>
              </w:rPr>
              <w:t>0.59</w:t>
            </w:r>
          </w:p>
        </w:tc>
        <w:tc>
          <w:tcPr>
            <w:tcW w:type="dxa" w:w="158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[0.44, 0.72]</w:t>
            </w:r>
          </w:p>
        </w:tc>
        <w:tc>
          <w:tcPr>
            <w:tcW w:type="dxa" w:w="119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1.2e-10</w:t>
            </w:r>
          </w:p>
        </w:tc>
      </w:tr>
      <w:tr>
        <w:trPr>
          <w:cantSplit/>
        </w:trPr>
        <w:tc>
          <w:tcPr>
            <w:tcW w:type="dxa" w:w="260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Maths &amp; Statistics</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3.83</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4.71</w:t>
            </w:r>
          </w:p>
        </w:tc>
        <w:tc>
          <w:tcPr>
            <w:tcW w:type="dxa" w:w="113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b/>
                <w:sz w:val="20"/>
              </w:rPr>
              <w:t>0.55</w:t>
            </w:r>
          </w:p>
        </w:tc>
        <w:tc>
          <w:tcPr>
            <w:tcW w:type="dxa" w:w="158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[0.40, 0.70]</w:t>
            </w:r>
          </w:p>
        </w:tc>
        <w:tc>
          <w:tcPr>
            <w:tcW w:type="dxa" w:w="119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2.7e-08</w:t>
            </w:r>
          </w:p>
        </w:tc>
      </w:tr>
      <w:tr>
        <w:trPr>
          <w:cantSplit/>
        </w:trPr>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Coding</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3.85</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4.64</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b/>
                <w:sz w:val="20"/>
              </w:rPr>
              <w:t>0.49</w:t>
            </w:r>
          </w:p>
        </w:tc>
        <w:tc>
          <w:tcPr>
            <w:tcW w:type="dxa" w:w="158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[0.31, 0.64]</w:t>
            </w:r>
          </w:p>
        </w:tc>
        <w:tc>
          <w:tcPr>
            <w:tcW w:type="dxa" w:w="119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6.1e-07</w:t>
            </w:r>
          </w:p>
        </w:tc>
      </w:tr>
      <w:tr>
        <w:trPr>
          <w:cantSplit/>
        </w:trPr>
        <w:tc>
          <w:tcPr>
            <w:tcW w:type="dxa" w:w="260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AI &amp; ML</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4.28</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4.82</w:t>
            </w:r>
          </w:p>
        </w:tc>
        <w:tc>
          <w:tcPr>
            <w:tcW w:type="dxa" w:w="113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b/>
                <w:sz w:val="20"/>
              </w:rPr>
              <w:t>0.36</w:t>
            </w:r>
          </w:p>
        </w:tc>
        <w:tc>
          <w:tcPr>
            <w:tcW w:type="dxa" w:w="158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[0.19, 0.52]</w:t>
            </w:r>
          </w:p>
        </w:tc>
        <w:tc>
          <w:tcPr>
            <w:tcW w:type="dxa" w:w="119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1.7e-04</w:t>
            </w:r>
          </w:p>
        </w:tc>
      </w:tr>
      <w:tr>
        <w:trPr>
          <w:cantSplit/>
        </w:trPr>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Big Data</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3.75</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3.94</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b/>
                <w:sz w:val="20"/>
              </w:rPr>
              <w:t>0.12</w:t>
            </w:r>
          </w:p>
        </w:tc>
        <w:tc>
          <w:tcPr>
            <w:tcW w:type="dxa" w:w="158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[-0.09, 0.32]</w:t>
            </w:r>
          </w:p>
        </w:tc>
        <w:tc>
          <w:tcPr>
            <w:tcW w:type="dxa" w:w="119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0.22</w:t>
            </w:r>
          </w:p>
        </w:tc>
      </w:tr>
    </w:tbl>
    <w:p>
      <w:pPr>
        <w:spacing w:after="40"/>
      </w:pPr>
    </w:p>
    <w:p>
      <w:pPr>
        <w:keepNext/>
        <w:spacing w:after="40"/>
        <w:jc w:val="center"/>
      </w:pPr>
      <w:r>
        <w:drawing>
          <wp:inline xmlns:a="http://schemas.openxmlformats.org/drawingml/2006/main" xmlns:pic="http://schemas.openxmlformats.org/drawingml/2006/picture">
            <wp:extent cx="5040000" cy="1703557"/>
            <wp:docPr id="7" name="Picture 7"/>
            <wp:cNvGraphicFramePr>
              <a:graphicFrameLocks noChangeAspect="1"/>
            </wp:cNvGraphicFramePr>
            <a:graphic>
              <a:graphicData uri="http://schemas.openxmlformats.org/drawingml/2006/picture">
                <pic:pic>
                  <pic:nvPicPr>
                    <pic:cNvPr id="0" name="fig02_jds_effects.png"/>
                    <pic:cNvPicPr/>
                  </pic:nvPicPr>
                  <pic:blipFill>
                    <a:blip r:embed="rId26"/>
                    <a:stretch>
                      <a:fillRect/>
                    </a:stretch>
                  </pic:blipFill>
                  <pic:spPr>
                    <a:xfrm>
                      <a:off x="0" y="0"/>
                      <a:ext cx="5040000" cy="1703557"/>
                    </a:xfrm>
                    <a:prstGeom prst="rect"/>
                  </pic:spPr>
                </pic:pic>
              </a:graphicData>
            </a:graphic>
          </wp:inline>
        </w:drawing>
      </w:r>
    </w:p>
    <w:p>
      <w:pPr>
        <w:jc w:val="center"/>
      </w:pPr>
      <w:r>
        <w:rPr>
          <w:b/>
          <w:color w:val="5B6780"/>
          <w:sz w:val="21"/>
        </w:rPr>
        <w:t>Figure 6.</w:t>
      </w:r>
      <w:r>
        <w:rPr>
          <w:color w:val="5B6780"/>
          <w:sz w:val="21"/>
        </w:rPr>
        <w:t xml:space="preserve"> Internal effect sizes with 95% bootstrap intervals. Big Data's interval crosses zero.</w:t>
      </w:r>
    </w:p>
    <w:p>
      <w:pPr>
        <w:jc w:val="both"/>
      </w:pPr>
      <w:r>
        <w:t xml:space="preserve">Four of five capabilities separate high- and low-hike juniors with medium-to-large effects. </w:t>
      </w:r>
      <w:r>
        <w:rPr>
          <w:b/>
        </w:rPr>
        <w:t>H2 is not supported:</w:t>
      </w:r>
      <w:r>
        <w:t xml:space="preserve"> Big Data does not separate them on its own (δ = 0.12, CI −0.09 to 0.32, Holm p = 0.22). Note that in the multivariable T1 model (</w:t>
      </w:r>
      <w:hyperlink w:anchor="h_42Istheinternalsignalreal">
        <w:r>
          <w:rPr>
            <w:color w:val="D9701C"/>
            <w:u w:val="single"/>
          </w:rPr>
          <w:t xml:space="preserve">§4.2</w:t>
        </w:r>
      </w:hyperlink>
      <w:r>
        <w:t>) Big Data does carry a positive coefficient once the other four skills are held fixed: it is slightly negatively correlated with Maths &amp; Statistics and AI &amp; ML (ρ ≈ −0.18), which masks its effect in the univariate test (a suppression effect). Its univariate null result should be revisited with more data.</w:t>
      </w:r>
    </w:p>
    <w:p>
      <w:pPr>
        <w:pStyle w:val="Heading2"/>
      </w:pPr>
      <w:bookmarkStart w:id="31" w:name="h_42IstheinternalsignalrealT1mod"/>
      <w:r>
        <w:t>4.2 Is the internal signal real? (T1 model zoo)</w:t>
      </w:r>
      <w:bookmarkEnd w:id="31"/>
    </w:p>
    <w:p>
      <w:pPr>
        <w:keepNext/>
        <w:spacing w:after="60"/>
      </w:pPr>
      <w:r>
        <w:rPr>
          <w:b/>
          <w:sz w:val="21"/>
        </w:rPr>
        <w:t>Table 20.</w:t>
      </w:r>
      <w:r>
        <w:rPr>
          <w:sz w:val="21"/>
        </w:rPr>
        <w:t xml:space="preserve"> T1: predicting high hike from the five skills (NB03).</w:t>
      </w:r>
    </w:p>
    <w:tbl>
      <w:tblPr>
        <w:tblW w:type="auto" w:w="0"/>
        <w:jc w:val="center"/>
        <w:tblLayout w:type="fixed"/>
        <w:tblLook w:firstColumn="1" w:firstRow="1" w:lastColumn="0" w:lastRow="0" w:noHBand="0" w:noVBand="1" w:val="04A0"/>
      </w:tblPr>
      <w:tblGrid>
        <w:gridCol w:w="3515"/>
        <w:gridCol w:w="2041"/>
        <w:gridCol w:w="1361"/>
        <w:gridCol w:w="1361"/>
      </w:tblGrid>
      <w:tr>
        <w:trPr>
          <w:cantSplit/>
          <w:tblHeader/>
        </w:trPr>
        <w:tc>
          <w:tcPr>
            <w:tcW w:type="dxa" w:w="3515"/>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Model</w:t>
            </w:r>
          </w:p>
        </w:tc>
        <w:tc>
          <w:tcPr>
            <w:tcW w:type="dxa" w:w="204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AUC (grouped CV)</w:t>
            </w:r>
          </w:p>
        </w:tc>
        <w:tc>
          <w:tcPr>
            <w:tcW w:type="dxa" w:w="136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Brier</w:t>
            </w:r>
          </w:p>
        </w:tc>
        <w:tc>
          <w:tcPr>
            <w:tcW w:type="dxa" w:w="136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Accuracy</w:t>
            </w:r>
          </w:p>
        </w:tc>
      </w:tr>
      <w:tr>
        <w:trPr>
          <w:cantSplit/>
        </w:trPr>
        <w:tc>
          <w:tcPr>
            <w:tcW w:type="dxa" w:w="351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Prevalence baseline</w:t>
            </w:r>
          </w:p>
        </w:tc>
        <w:tc>
          <w:tcPr>
            <w:tcW w:type="dxa" w:w="204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0.491 ± 0.000</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0.249</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0.525</w:t>
            </w:r>
          </w:p>
        </w:tc>
      </w:tr>
      <w:tr>
        <w:trPr>
          <w:cantSplit/>
        </w:trPr>
        <w:tc>
          <w:tcPr>
            <w:tcW w:type="dxa" w:w="351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Storytelling-only LR</w:t>
            </w:r>
          </w:p>
        </w:tc>
        <w:tc>
          <w:tcPr>
            <w:tcW w:type="dxa" w:w="204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0.772 ± 0.008</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0.169</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0.763</w:t>
            </w:r>
          </w:p>
        </w:tc>
      </w:tr>
      <w:tr>
        <w:trPr>
          <w:cantSplit/>
        </w:trPr>
        <w:tc>
          <w:tcPr>
            <w:tcW w:type="dxa" w:w="351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kNN (k=15)</w:t>
            </w:r>
          </w:p>
        </w:tc>
        <w:tc>
          <w:tcPr>
            <w:tcW w:type="dxa" w:w="204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0.875 ± 0.006</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0.147</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0.800</w:t>
            </w:r>
          </w:p>
        </w:tc>
      </w:tr>
      <w:tr>
        <w:trPr>
          <w:cantSplit/>
        </w:trPr>
        <w:tc>
          <w:tcPr>
            <w:tcW w:type="dxa" w:w="351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Random forest</w:t>
            </w:r>
          </w:p>
        </w:tc>
        <w:tc>
          <w:tcPr>
            <w:tcW w:type="dxa" w:w="204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0.893 ± 0.006</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0.127</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0.847</w:t>
            </w:r>
          </w:p>
        </w:tc>
      </w:tr>
      <w:tr>
        <w:trPr>
          <w:cantSplit/>
        </w:trPr>
        <w:tc>
          <w:tcPr>
            <w:tcW w:type="dxa" w:w="351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Gradient boosting</w:t>
            </w:r>
          </w:p>
        </w:tc>
        <w:tc>
          <w:tcPr>
            <w:tcW w:type="dxa" w:w="204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0.880 ± 0.009</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0.130</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0.829</w:t>
            </w:r>
          </w:p>
        </w:tc>
      </w:tr>
      <w:tr>
        <w:trPr>
          <w:cantSplit/>
        </w:trPr>
        <w:tc>
          <w:tcPr>
            <w:tcW w:type="dxa" w:w="351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RBF-SVM</w:t>
            </w:r>
          </w:p>
        </w:tc>
        <w:tc>
          <w:tcPr>
            <w:tcW w:type="dxa" w:w="204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0.886 ± 0.011</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0.119</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0.853</w:t>
            </w:r>
          </w:p>
        </w:tc>
      </w:tr>
      <w:tr>
        <w:trPr>
          <w:cantSplit/>
        </w:trPr>
        <w:tc>
          <w:tcPr>
            <w:tcW w:type="dxa" w:w="351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NEXUS L2 logistic (C=1)</w:t>
            </w:r>
          </w:p>
        </w:tc>
        <w:tc>
          <w:tcPr>
            <w:tcW w:type="dxa" w:w="204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0.902 ± 0.005</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0.116</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0.863</w:t>
            </w:r>
          </w:p>
        </w:tc>
      </w:tr>
    </w:tbl>
    <w:p>
      <w:pPr>
        <w:spacing w:after="40"/>
      </w:pPr>
    </w:p>
    <w:p>
      <w:pPr>
        <w:jc w:val="both"/>
      </w:pPr>
      <w:r>
        <w:t xml:space="preserve">The regularised logistic model (AUC 0.90) beats random forest, boosting, SVM and kNN, and is the most interpretable. After removing duplicate profiles the AUC is still </w:t>
      </w:r>
      <w:r>
        <w:rPr>
          <w:b/>
        </w:rPr>
        <w:t>0.88</w:t>
      </w:r>
      <w:r>
        <w:t xml:space="preserve"> (n = 118). A permutation test gives </w:t>
      </w:r>
      <w:r>
        <w:rPr>
          <w:b/>
        </w:rPr>
        <w:t>p ≤ 0.0033</w:t>
      </w:r>
      <w:r>
        <w:t xml:space="preserve"> (the smallest attainable with 300 shuffles): the best shuffled run reached only 0.66. The learning curve rises from 0.876 at n = 40 to 0.901 at n = 100 and only 0.904 at n = 139, so more data from the same company would add little.</w:t>
      </w:r>
    </w:p>
    <w:p>
      <w:pPr>
        <w:keepNext/>
        <w:spacing w:after="60"/>
      </w:pPr>
      <w:r>
        <w:rPr>
          <w:b/>
          <w:sz w:val="21"/>
        </w:rPr>
        <w:t>Table 21.</w:t>
      </w:r>
      <w:r>
        <w:rPr>
          <w:sz w:val="21"/>
        </w:rPr>
        <w:t xml:space="preserve"> What drives the T1 model.</w:t>
      </w:r>
    </w:p>
    <w:tbl>
      <w:tblPr>
        <w:tblW w:type="auto" w:w="0"/>
        <w:jc w:val="center"/>
        <w:tblLayout w:type="fixed"/>
        <w:tblLook w:firstColumn="1" w:firstRow="1" w:lastColumn="0" w:lastRow="0" w:noHBand="0" w:noVBand="1" w:val="04A0"/>
      </w:tblPr>
      <w:tblGrid>
        <w:gridCol w:w="3118"/>
        <w:gridCol w:w="2268"/>
        <w:gridCol w:w="3118"/>
      </w:tblGrid>
      <w:tr>
        <w:trPr>
          <w:cantSplit/>
          <w:tblHeader/>
        </w:trPr>
        <w:tc>
          <w:tcPr>
            <w:tcW w:type="dxa" w:w="311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Capability</w:t>
            </w:r>
          </w:p>
        </w:tc>
        <w:tc>
          <w:tcPr>
            <w:tcW w:type="dxa" w:w="226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Coefficient (std.)</w:t>
            </w:r>
          </w:p>
        </w:tc>
        <w:tc>
          <w:tcPr>
            <w:tcW w:type="dxa" w:w="311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Permutation importance (AUC drop)</w:t>
            </w:r>
          </w:p>
        </w:tc>
      </w:tr>
      <w:tr>
        <w:trPr>
          <w:cantSplit/>
        </w:trPr>
        <w:tc>
          <w:tcPr>
            <w:tcW w:type="dxa" w:w="311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Maths &amp; Statistics</w:t>
            </w:r>
          </w:p>
        </w:tc>
        <w:tc>
          <w:tcPr>
            <w:tcW w:type="dxa" w:w="226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1.28</w:t>
            </w:r>
          </w:p>
        </w:tc>
        <w:tc>
          <w:tcPr>
            <w:tcW w:type="dxa" w:w="311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0.110</w:t>
            </w:r>
          </w:p>
        </w:tc>
      </w:tr>
      <w:tr>
        <w:trPr>
          <w:cantSplit/>
        </w:trPr>
        <w:tc>
          <w:tcPr>
            <w:tcW w:type="dxa" w:w="311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Dashboards &amp; Storytelling</w:t>
            </w:r>
          </w:p>
        </w:tc>
        <w:tc>
          <w:tcPr>
            <w:tcW w:type="dxa" w:w="226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1.12</w:t>
            </w:r>
          </w:p>
        </w:tc>
        <w:tc>
          <w:tcPr>
            <w:tcW w:type="dxa" w:w="311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0.095</w:t>
            </w:r>
          </w:p>
        </w:tc>
      </w:tr>
      <w:tr>
        <w:trPr>
          <w:cantSplit/>
        </w:trPr>
        <w:tc>
          <w:tcPr>
            <w:tcW w:type="dxa" w:w="311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AI &amp; ML</w:t>
            </w:r>
          </w:p>
        </w:tc>
        <w:tc>
          <w:tcPr>
            <w:tcW w:type="dxa" w:w="226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0.76</w:t>
            </w:r>
          </w:p>
        </w:tc>
        <w:tc>
          <w:tcPr>
            <w:tcW w:type="dxa" w:w="311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0.037</w:t>
            </w:r>
          </w:p>
        </w:tc>
      </w:tr>
      <w:tr>
        <w:trPr>
          <w:cantSplit/>
        </w:trPr>
        <w:tc>
          <w:tcPr>
            <w:tcW w:type="dxa" w:w="311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Big Data</w:t>
            </w:r>
          </w:p>
        </w:tc>
        <w:tc>
          <w:tcPr>
            <w:tcW w:type="dxa" w:w="226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0.68</w:t>
            </w:r>
          </w:p>
        </w:tc>
        <w:tc>
          <w:tcPr>
            <w:tcW w:type="dxa" w:w="311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0.028</w:t>
            </w:r>
          </w:p>
        </w:tc>
      </w:tr>
      <w:tr>
        <w:trPr>
          <w:cantSplit/>
        </w:trPr>
        <w:tc>
          <w:tcPr>
            <w:tcW w:type="dxa" w:w="311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Coding</w:t>
            </w:r>
          </w:p>
        </w:tc>
        <w:tc>
          <w:tcPr>
            <w:tcW w:type="dxa" w:w="226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0.53</w:t>
            </w:r>
          </w:p>
        </w:tc>
        <w:tc>
          <w:tcPr>
            <w:tcW w:type="dxa" w:w="311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0.015</w:t>
            </w:r>
          </w:p>
        </w:tc>
      </w:tr>
    </w:tbl>
    <w:p>
      <w:pPr>
        <w:spacing w:after="40"/>
      </w:pPr>
    </w:p>
    <w:p>
      <w:pPr>
        <w:keepNext/>
        <w:spacing w:after="40"/>
        <w:jc w:val="center"/>
      </w:pPr>
      <w:r>
        <w:drawing>
          <wp:inline xmlns:a="http://schemas.openxmlformats.org/drawingml/2006/main" xmlns:pic="http://schemas.openxmlformats.org/drawingml/2006/picture">
            <wp:extent cx="5220000" cy="1518545"/>
            <wp:docPr id="8" name="Picture 8"/>
            <wp:cNvGraphicFramePr>
              <a:graphicFrameLocks noChangeAspect="1"/>
            </wp:cNvGraphicFramePr>
            <a:graphic>
              <a:graphicData uri="http://schemas.openxmlformats.org/drawingml/2006/picture">
                <pic:pic>
                  <pic:nvPicPr>
                    <pic:cNvPr id="0" name="fig03_t1_model.png"/>
                    <pic:cNvPicPr/>
                  </pic:nvPicPr>
                  <pic:blipFill>
                    <a:blip r:embed="rId27"/>
                    <a:stretch>
                      <a:fillRect/>
                    </a:stretch>
                  </pic:blipFill>
                  <pic:spPr>
                    <a:xfrm>
                      <a:off x="0" y="0"/>
                      <a:ext cx="5220000" cy="1518545"/>
                    </a:xfrm>
                    <a:prstGeom prst="rect"/>
                  </pic:spPr>
                </pic:pic>
              </a:graphicData>
            </a:graphic>
          </wp:inline>
        </w:drawing>
      </w:r>
    </w:p>
    <w:p>
      <w:pPr>
        <w:jc w:val="center"/>
      </w:pPr>
      <w:r>
        <w:rPr>
          <w:b/>
          <w:color w:val="5B6780"/>
          <w:sz w:val="21"/>
        </w:rPr>
        <w:t>Figure 7.</w:t>
      </w:r>
      <w:r>
        <w:rPr>
          <w:color w:val="5B6780"/>
          <w:sz w:val="21"/>
        </w:rPr>
        <w:t xml:space="preserve"> T1 model comparison, calibration and drivers.</w:t>
      </w:r>
    </w:p>
    <w:p>
      <w:pPr>
        <w:pStyle w:val="Heading2"/>
      </w:pPr>
      <w:bookmarkStart w:id="32" w:name="h_43PersonalitycontextSDS"/>
      <w:r>
        <w:t>4.3 Personality context (SDS)</w:t>
      </w:r>
      <w:bookmarkEnd w:id="32"/>
    </w:p>
    <w:p>
      <w:pPr>
        <w:keepNext/>
        <w:spacing w:after="60"/>
      </w:pPr>
      <w:r>
        <w:rPr>
          <w:b/>
          <w:sz w:val="21"/>
        </w:rPr>
        <w:t>Table 22.</w:t>
      </w:r>
      <w:r>
        <w:rPr>
          <w:sz w:val="21"/>
        </w:rPr>
        <w:t xml:space="preserve"> SDS, n = 161 rows (152 unique IDs). Cross-validated AUC 0.96.</w:t>
      </w:r>
    </w:p>
    <w:tbl>
      <w:tblPr>
        <w:tblW w:type="auto" w:w="0"/>
        <w:jc w:val="center"/>
        <w:tblLayout w:type="fixed"/>
        <w:tblLook w:firstColumn="1" w:firstRow="1" w:lastColumn="0" w:lastRow="0" w:noHBand="0" w:noVBand="1" w:val="04A0"/>
      </w:tblPr>
      <w:tblGrid>
        <w:gridCol w:w="2381"/>
        <w:gridCol w:w="1814"/>
        <w:gridCol w:w="1814"/>
        <w:gridCol w:w="1361"/>
        <w:gridCol w:w="1361"/>
      </w:tblGrid>
      <w:tr>
        <w:trPr>
          <w:cantSplit/>
          <w:tblHeader/>
        </w:trPr>
        <w:tc>
          <w:tcPr>
            <w:tcW w:type="dxa" w:w="238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Trait</w:t>
            </w:r>
          </w:p>
        </w:tc>
        <w:tc>
          <w:tcPr>
            <w:tcW w:type="dxa" w:w="181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Mean (low success)</w:t>
            </w:r>
          </w:p>
        </w:tc>
        <w:tc>
          <w:tcPr>
            <w:tcW w:type="dxa" w:w="181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Mean (high success)</w:t>
            </w:r>
          </w:p>
        </w:tc>
        <w:tc>
          <w:tcPr>
            <w:tcW w:type="dxa" w:w="136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Cliff's δ</w:t>
            </w:r>
          </w:p>
        </w:tc>
        <w:tc>
          <w:tcPr>
            <w:tcW w:type="dxa" w:w="136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Holm p</w:t>
            </w:r>
          </w:p>
        </w:tc>
      </w:tr>
      <w:tr>
        <w:trPr>
          <w:cantSplit/>
        </w:trPr>
        <w:tc>
          <w:tcPr>
            <w:tcW w:type="dxa" w:w="238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Openness</w:t>
            </w:r>
          </w:p>
        </w:tc>
        <w:tc>
          <w:tcPr>
            <w:tcW w:type="dxa" w:w="181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33.3</w:t>
            </w:r>
          </w:p>
        </w:tc>
        <w:tc>
          <w:tcPr>
            <w:tcW w:type="dxa" w:w="181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48.5</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0.77</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&lt;0.001</w:t>
            </w:r>
          </w:p>
        </w:tc>
      </w:tr>
      <w:tr>
        <w:trPr>
          <w:cantSplit/>
        </w:trPr>
        <w:tc>
          <w:tcPr>
            <w:tcW w:type="dxa" w:w="238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Conscientiousness</w:t>
            </w:r>
          </w:p>
        </w:tc>
        <w:tc>
          <w:tcPr>
            <w:tcW w:type="dxa" w:w="181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35.7</w:t>
            </w:r>
          </w:p>
        </w:tc>
        <w:tc>
          <w:tcPr>
            <w:tcW w:type="dxa" w:w="181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53.7</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0.76</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&lt;0.001</w:t>
            </w:r>
          </w:p>
        </w:tc>
      </w:tr>
      <w:tr>
        <w:trPr>
          <w:cantSplit/>
        </w:trPr>
        <w:tc>
          <w:tcPr>
            <w:tcW w:type="dxa" w:w="238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Extraversion</w:t>
            </w:r>
          </w:p>
        </w:tc>
        <w:tc>
          <w:tcPr>
            <w:tcW w:type="dxa" w:w="181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36.9</w:t>
            </w:r>
          </w:p>
        </w:tc>
        <w:tc>
          <w:tcPr>
            <w:tcW w:type="dxa" w:w="181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48.9</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0.57</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&lt;0.001</w:t>
            </w:r>
          </w:p>
        </w:tc>
      </w:tr>
      <w:tr>
        <w:trPr>
          <w:cantSplit/>
        </w:trPr>
        <w:tc>
          <w:tcPr>
            <w:tcW w:type="dxa" w:w="238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Agreeableness</w:t>
            </w:r>
          </w:p>
        </w:tc>
        <w:tc>
          <w:tcPr>
            <w:tcW w:type="dxa" w:w="181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41.1</w:t>
            </w:r>
          </w:p>
        </w:tc>
        <w:tc>
          <w:tcPr>
            <w:tcW w:type="dxa" w:w="181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47.7</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0.30</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0.002</w:t>
            </w:r>
          </w:p>
        </w:tc>
      </w:tr>
      <w:tr>
        <w:trPr>
          <w:cantSplit/>
        </w:trPr>
        <w:tc>
          <w:tcPr>
            <w:tcW w:type="dxa" w:w="238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Neuroticism</w:t>
            </w:r>
          </w:p>
        </w:tc>
        <w:tc>
          <w:tcPr>
            <w:tcW w:type="dxa" w:w="181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36.3</w:t>
            </w:r>
          </w:p>
        </w:tc>
        <w:tc>
          <w:tcPr>
            <w:tcW w:type="dxa" w:w="181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36.1</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0.07</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0.454</w:t>
            </w:r>
          </w:p>
        </w:tc>
      </w:tr>
    </w:tbl>
    <w:p>
      <w:pPr>
        <w:spacing w:after="40"/>
      </w:pPr>
    </w:p>
    <w:p>
      <w:pPr>
        <w:jc w:val="both"/>
      </w:pPr>
      <w:r>
        <w:rPr>
          <w:b/>
        </w:rPr>
        <w:t>H5 is supported:</w:t>
      </w:r>
      <w:r>
        <w:t xml:space="preserve"> openness (δ 0.77), conscientiousness (0.76) and extraversion (0.57) separate successful senior, customer-facing data scientists; neuroticism does not. Rank tests use all 161 rows; the 9 repeated IDs (5.6%) are handled by grouping in the cross-validated model. We use this only as context. SDS has no link to JDS (the Zero Rule), and normalised trait scores are not an emotional-intelligence measure, so NEXUS DELTA never scores individuals on personality.</w:t>
      </w:r>
    </w:p>
    <w:p>
      <w:pPr>
        <w:pStyle w:val="Heading2"/>
      </w:pPr>
      <w:bookmarkStart w:id="33" w:name="s44"/>
      <w:r>
        <w:t>4.4 Market evidence: what the market pays for</w:t>
      </w:r>
      <w:bookmarkEnd w:id="33"/>
    </w:p>
    <w:p>
      <w:pPr>
        <w:keepNext/>
        <w:spacing w:after="60"/>
      </w:pPr>
      <w:r>
        <w:rPr>
          <w:b/>
          <w:sz w:val="21"/>
        </w:rPr>
        <w:t>Table 23.</w:t>
      </w:r>
      <w:r>
        <w:rPr>
          <w:sz w:val="21"/>
        </w:rPr>
        <w:t xml:space="preserve"> Proportional-odds ratio for a higher salary band, six ordinal-logit specifications on 6,097 data-role postings (S6: 10,338) (NB04). S1 flags only · S2 +experience · S3 +seniority · S4 +location · S5 all controls · S6 wide taxonomy &amp; population.</w:t>
      </w:r>
    </w:p>
    <w:tbl>
      <w:tblPr>
        <w:tblW w:type="auto" w:w="0"/>
        <w:jc w:val="center"/>
        <w:tblLayout w:type="fixed"/>
        <w:tblLook w:firstColumn="1" w:firstRow="1" w:lastColumn="0" w:lastRow="0" w:noHBand="0" w:noVBand="1" w:val="04A0"/>
      </w:tblPr>
      <w:tblGrid>
        <w:gridCol w:w="2608"/>
        <w:gridCol w:w="1106"/>
        <w:gridCol w:w="1106"/>
        <w:gridCol w:w="1106"/>
        <w:gridCol w:w="1106"/>
        <w:gridCol w:w="1106"/>
        <w:gridCol w:w="1106"/>
      </w:tblGrid>
      <w:tr>
        <w:trPr>
          <w:cantSplit/>
          <w:tblHeader/>
        </w:trPr>
        <w:tc>
          <w:tcPr>
            <w:tcW w:type="dxa" w:w="260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Capability</w:t>
            </w:r>
          </w:p>
        </w:tc>
        <w:tc>
          <w:tcPr>
            <w:tcW w:type="dxa" w:w="1106"/>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S1</w:t>
            </w:r>
          </w:p>
        </w:tc>
        <w:tc>
          <w:tcPr>
            <w:tcW w:type="dxa" w:w="1106"/>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S2</w:t>
            </w:r>
          </w:p>
        </w:tc>
        <w:tc>
          <w:tcPr>
            <w:tcW w:type="dxa" w:w="1106"/>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S3</w:t>
            </w:r>
          </w:p>
        </w:tc>
        <w:tc>
          <w:tcPr>
            <w:tcW w:type="dxa" w:w="1106"/>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S4</w:t>
            </w:r>
          </w:p>
        </w:tc>
        <w:tc>
          <w:tcPr>
            <w:tcW w:type="dxa" w:w="1106"/>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S5</w:t>
            </w:r>
          </w:p>
        </w:tc>
        <w:tc>
          <w:tcPr>
            <w:tcW w:type="dxa" w:w="1106"/>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S6</w:t>
            </w:r>
          </w:p>
        </w:tc>
      </w:tr>
      <w:tr>
        <w:trPr>
          <w:cantSplit/>
        </w:trPr>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Maths &amp; Statistics</w:t>
            </w:r>
          </w:p>
        </w:tc>
        <w:tc>
          <w:tcPr>
            <w:tcW w:type="dxa" w:w="11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1.60</w:t>
            </w:r>
          </w:p>
        </w:tc>
        <w:tc>
          <w:tcPr>
            <w:tcW w:type="dxa" w:w="11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1.41</w:t>
            </w:r>
          </w:p>
        </w:tc>
        <w:tc>
          <w:tcPr>
            <w:tcW w:type="dxa" w:w="11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1.31</w:t>
            </w:r>
          </w:p>
        </w:tc>
        <w:tc>
          <w:tcPr>
            <w:tcW w:type="dxa" w:w="11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1.30</w:t>
            </w:r>
          </w:p>
        </w:tc>
        <w:tc>
          <w:tcPr>
            <w:tcW w:type="dxa" w:w="11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1.27</w:t>
            </w:r>
          </w:p>
        </w:tc>
        <w:tc>
          <w:tcPr>
            <w:tcW w:type="dxa" w:w="11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1.42</w:t>
            </w:r>
          </w:p>
        </w:tc>
      </w:tr>
      <w:tr>
        <w:trPr>
          <w:cantSplit/>
        </w:trPr>
        <w:tc>
          <w:tcPr>
            <w:tcW w:type="dxa" w:w="260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AI &amp; ML</w:t>
            </w:r>
          </w:p>
        </w:tc>
        <w:tc>
          <w:tcPr>
            <w:tcW w:type="dxa" w:w="1106"/>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1.93</w:t>
            </w:r>
          </w:p>
        </w:tc>
        <w:tc>
          <w:tcPr>
            <w:tcW w:type="dxa" w:w="1106"/>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2.08</w:t>
            </w:r>
          </w:p>
        </w:tc>
        <w:tc>
          <w:tcPr>
            <w:tcW w:type="dxa" w:w="1106"/>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2.13</w:t>
            </w:r>
          </w:p>
        </w:tc>
        <w:tc>
          <w:tcPr>
            <w:tcW w:type="dxa" w:w="1106"/>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2.13</w:t>
            </w:r>
          </w:p>
        </w:tc>
        <w:tc>
          <w:tcPr>
            <w:tcW w:type="dxa" w:w="1106"/>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1.38</w:t>
            </w:r>
          </w:p>
        </w:tc>
        <w:tc>
          <w:tcPr>
            <w:tcW w:type="dxa" w:w="1106"/>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1.25</w:t>
            </w:r>
          </w:p>
        </w:tc>
      </w:tr>
      <w:tr>
        <w:trPr>
          <w:cantSplit/>
        </w:trPr>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Coding</w:t>
            </w:r>
          </w:p>
        </w:tc>
        <w:tc>
          <w:tcPr>
            <w:tcW w:type="dxa" w:w="11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1.54</w:t>
            </w:r>
          </w:p>
        </w:tc>
        <w:tc>
          <w:tcPr>
            <w:tcW w:type="dxa" w:w="11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1.52</w:t>
            </w:r>
          </w:p>
        </w:tc>
        <w:tc>
          <w:tcPr>
            <w:tcW w:type="dxa" w:w="11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1.53</w:t>
            </w:r>
          </w:p>
        </w:tc>
        <w:tc>
          <w:tcPr>
            <w:tcW w:type="dxa" w:w="11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1.53</w:t>
            </w:r>
          </w:p>
        </w:tc>
        <w:tc>
          <w:tcPr>
            <w:tcW w:type="dxa" w:w="11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1.52</w:t>
            </w:r>
          </w:p>
        </w:tc>
        <w:tc>
          <w:tcPr>
            <w:tcW w:type="dxa" w:w="11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1.55</w:t>
            </w:r>
          </w:p>
        </w:tc>
      </w:tr>
      <w:tr>
        <w:trPr>
          <w:cantSplit/>
        </w:trPr>
        <w:tc>
          <w:tcPr>
            <w:tcW w:type="dxa" w:w="260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Dashboards &amp; Storytelling</w:t>
            </w:r>
          </w:p>
        </w:tc>
        <w:tc>
          <w:tcPr>
            <w:tcW w:type="dxa" w:w="1106"/>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0.69</w:t>
            </w:r>
          </w:p>
        </w:tc>
        <w:tc>
          <w:tcPr>
            <w:tcW w:type="dxa" w:w="1106"/>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0.75</w:t>
            </w:r>
          </w:p>
        </w:tc>
        <w:tc>
          <w:tcPr>
            <w:tcW w:type="dxa" w:w="1106"/>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0.74</w:t>
            </w:r>
          </w:p>
        </w:tc>
        <w:tc>
          <w:tcPr>
            <w:tcW w:type="dxa" w:w="1106"/>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0.74</w:t>
            </w:r>
          </w:p>
        </w:tc>
        <w:tc>
          <w:tcPr>
            <w:tcW w:type="dxa" w:w="1106"/>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0.75</w:t>
            </w:r>
          </w:p>
        </w:tc>
        <w:tc>
          <w:tcPr>
            <w:tcW w:type="dxa" w:w="1106"/>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0.80</w:t>
            </w:r>
          </w:p>
        </w:tc>
      </w:tr>
      <w:tr>
        <w:trPr>
          <w:cantSplit/>
        </w:trPr>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Big Data</w:t>
            </w:r>
          </w:p>
        </w:tc>
        <w:tc>
          <w:tcPr>
            <w:tcW w:type="dxa" w:w="11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1.77</w:t>
            </w:r>
          </w:p>
        </w:tc>
        <w:tc>
          <w:tcPr>
            <w:tcW w:type="dxa" w:w="11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1.16</w:t>
            </w:r>
          </w:p>
        </w:tc>
        <w:tc>
          <w:tcPr>
            <w:tcW w:type="dxa" w:w="11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1.16</w:t>
            </w:r>
          </w:p>
        </w:tc>
        <w:tc>
          <w:tcPr>
            <w:tcW w:type="dxa" w:w="11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1.16</w:t>
            </w:r>
          </w:p>
        </w:tc>
        <w:tc>
          <w:tcPr>
            <w:tcW w:type="dxa" w:w="11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1.09</w:t>
            </w:r>
          </w:p>
        </w:tc>
        <w:tc>
          <w:tcPr>
            <w:tcW w:type="dxa" w:w="11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1.15</w:t>
            </w:r>
          </w:p>
        </w:tc>
      </w:tr>
    </w:tbl>
    <w:p>
      <w:pPr>
        <w:spacing w:after="40"/>
      </w:pPr>
    </w:p>
    <w:p>
      <w:pPr>
        <w:jc w:val="both"/>
      </w:pPr>
      <w:r>
        <w:t xml:space="preserve">Maths &amp; Statistics, Coding and AI &amp; ML are significant premiums in </w:t>
      </w:r>
      <w:r>
        <w:rPr>
          <w:b/>
        </w:rPr>
        <w:t>6 of 6</w:t>
      </w:r>
      <w:r>
        <w:t xml:space="preserve"> specifications. AI &amp; ML's premium falls from 2.13 to 1.38 once role family and data-quality controls are added (S5) — part of it is carried by job titles. Big Data's premium (1.77 unadjusted) attenuates to 1.16 and loses significance (CI 0.99–1.37) once experience is added, consistent with an experience proxy rather than a skill premium. Excluding lead/manager/head titles (n = 4,816) gives the same picture (Maths 1.37, Coding 1.62, AI &amp; ML 1.61, Storytelling 0.74), and dropping 586 promotional titles changes no odds ratio by more than 0.066.</w:t>
      </w:r>
    </w:p>
    <w:p>
      <w:pPr>
        <w:keepNext/>
        <w:spacing w:after="60"/>
      </w:pPr>
      <w:r>
        <w:rPr>
          <w:b/>
          <w:sz w:val="21"/>
        </w:rPr>
        <w:t>Table 24.</w:t>
      </w:r>
      <w:r>
        <w:rPr>
          <w:sz w:val="21"/>
        </w:rPr>
        <w:t xml:space="preserve"> Proportional-odds check: odds ratios from separate binary logits at each band cut-point, S5 controls (NB08). Bold = 95% CI excludes 1.</w:t>
      </w:r>
    </w:p>
    <w:tbl>
      <w:tblPr>
        <w:tblW w:type="auto" w:w="0"/>
        <w:jc w:val="center"/>
        <w:tblLayout w:type="fixed"/>
        <w:tblLook w:firstColumn="1" w:firstRow="1" w:lastColumn="0" w:lastRow="0" w:noHBand="0" w:noVBand="1" w:val="04A0"/>
      </w:tblPr>
      <w:tblGrid>
        <w:gridCol w:w="2608"/>
        <w:gridCol w:w="1304"/>
        <w:gridCol w:w="1304"/>
        <w:gridCol w:w="1304"/>
        <w:gridCol w:w="1304"/>
        <w:gridCol w:w="1304"/>
      </w:tblGrid>
      <w:tr>
        <w:trPr>
          <w:cantSplit/>
          <w:tblHeader/>
        </w:trPr>
        <w:tc>
          <w:tcPr>
            <w:tcW w:type="dxa" w:w="260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Capability</w:t>
            </w:r>
          </w:p>
        </w:tc>
        <w:tc>
          <w:tcPr>
            <w:tcW w:type="dxa" w:w="130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 3 LPA</w:t>
            </w:r>
          </w:p>
        </w:tc>
        <w:tc>
          <w:tcPr>
            <w:tcW w:type="dxa" w:w="130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 6 LPA</w:t>
            </w:r>
          </w:p>
        </w:tc>
        <w:tc>
          <w:tcPr>
            <w:tcW w:type="dxa" w:w="130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 10 LPA</w:t>
            </w:r>
          </w:p>
        </w:tc>
        <w:tc>
          <w:tcPr>
            <w:tcW w:type="dxa" w:w="130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 15 LPA</w:t>
            </w:r>
          </w:p>
        </w:tc>
        <w:tc>
          <w:tcPr>
            <w:tcW w:type="dxa" w:w="130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 25 LPA</w:t>
            </w:r>
          </w:p>
        </w:tc>
      </w:tr>
      <w:tr>
        <w:trPr>
          <w:cantSplit/>
        </w:trPr>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Maths &amp; Statistics</w:t>
            </w:r>
          </w:p>
        </w:tc>
        <w:tc>
          <w:tcPr>
            <w:tcW w:type="dxa" w:w="130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b/>
                <w:sz w:val="20"/>
              </w:rPr>
              <w:t>1.80</w:t>
            </w:r>
          </w:p>
        </w:tc>
        <w:tc>
          <w:tcPr>
            <w:tcW w:type="dxa" w:w="130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b/>
                <w:sz w:val="20"/>
              </w:rPr>
              <w:t>1.77</w:t>
            </w:r>
          </w:p>
        </w:tc>
        <w:tc>
          <w:tcPr>
            <w:tcW w:type="dxa" w:w="130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b/>
                <w:sz w:val="20"/>
              </w:rPr>
              <w:t>1.21</w:t>
            </w:r>
          </w:p>
        </w:tc>
        <w:tc>
          <w:tcPr>
            <w:tcW w:type="dxa" w:w="130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1.17</w:t>
            </w:r>
          </w:p>
        </w:tc>
        <w:tc>
          <w:tcPr>
            <w:tcW w:type="dxa" w:w="130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0.97</w:t>
            </w:r>
          </w:p>
        </w:tc>
      </w:tr>
      <w:tr>
        <w:trPr>
          <w:cantSplit/>
        </w:trPr>
        <w:tc>
          <w:tcPr>
            <w:tcW w:type="dxa" w:w="260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AI &amp; ML</w:t>
            </w:r>
          </w:p>
        </w:tc>
        <w:tc>
          <w:tcPr>
            <w:tcW w:type="dxa" w:w="130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b/>
                <w:sz w:val="20"/>
              </w:rPr>
              <w:t>22.83</w:t>
            </w:r>
          </w:p>
        </w:tc>
        <w:tc>
          <w:tcPr>
            <w:tcW w:type="dxa" w:w="130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b/>
                <w:sz w:val="20"/>
              </w:rPr>
              <w:t>1.57</w:t>
            </w:r>
          </w:p>
        </w:tc>
        <w:tc>
          <w:tcPr>
            <w:tcW w:type="dxa" w:w="130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1.15</w:t>
            </w:r>
          </w:p>
        </w:tc>
        <w:tc>
          <w:tcPr>
            <w:tcW w:type="dxa" w:w="130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b/>
                <w:sz w:val="20"/>
              </w:rPr>
              <w:t>1.52</w:t>
            </w:r>
          </w:p>
        </w:tc>
        <w:tc>
          <w:tcPr>
            <w:tcW w:type="dxa" w:w="130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b/>
                <w:sz w:val="20"/>
              </w:rPr>
              <w:t>1.69</w:t>
            </w:r>
          </w:p>
        </w:tc>
      </w:tr>
      <w:tr>
        <w:trPr>
          <w:cantSplit/>
        </w:trPr>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Coding</w:t>
            </w:r>
          </w:p>
        </w:tc>
        <w:tc>
          <w:tcPr>
            <w:tcW w:type="dxa" w:w="130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b/>
                <w:sz w:val="20"/>
              </w:rPr>
              <w:t>2.44</w:t>
            </w:r>
          </w:p>
        </w:tc>
        <w:tc>
          <w:tcPr>
            <w:tcW w:type="dxa" w:w="130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b/>
                <w:sz w:val="20"/>
              </w:rPr>
              <w:t>1.76</w:t>
            </w:r>
          </w:p>
        </w:tc>
        <w:tc>
          <w:tcPr>
            <w:tcW w:type="dxa" w:w="130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b/>
                <w:sz w:val="20"/>
              </w:rPr>
              <w:t>1.43</w:t>
            </w:r>
          </w:p>
        </w:tc>
        <w:tc>
          <w:tcPr>
            <w:tcW w:type="dxa" w:w="130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b/>
                <w:sz w:val="20"/>
              </w:rPr>
              <w:t>1.28</w:t>
            </w:r>
          </w:p>
        </w:tc>
        <w:tc>
          <w:tcPr>
            <w:tcW w:type="dxa" w:w="130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1.15</w:t>
            </w:r>
          </w:p>
        </w:tc>
      </w:tr>
      <w:tr>
        <w:trPr>
          <w:cantSplit/>
        </w:trPr>
        <w:tc>
          <w:tcPr>
            <w:tcW w:type="dxa" w:w="260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Dashboards &amp; Storytelling</w:t>
            </w:r>
          </w:p>
        </w:tc>
        <w:tc>
          <w:tcPr>
            <w:tcW w:type="dxa" w:w="130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b/>
                <w:sz w:val="20"/>
              </w:rPr>
              <w:t>0.76</w:t>
            </w:r>
          </w:p>
        </w:tc>
        <w:tc>
          <w:tcPr>
            <w:tcW w:type="dxa" w:w="130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b/>
                <w:sz w:val="20"/>
              </w:rPr>
              <w:t>0.66</w:t>
            </w:r>
          </w:p>
        </w:tc>
        <w:tc>
          <w:tcPr>
            <w:tcW w:type="dxa" w:w="130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b/>
                <w:sz w:val="20"/>
              </w:rPr>
              <w:t>0.74</w:t>
            </w:r>
          </w:p>
        </w:tc>
        <w:tc>
          <w:tcPr>
            <w:tcW w:type="dxa" w:w="130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b/>
                <w:sz w:val="20"/>
              </w:rPr>
              <w:t>0.77</w:t>
            </w:r>
          </w:p>
        </w:tc>
        <w:tc>
          <w:tcPr>
            <w:tcW w:type="dxa" w:w="130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0.83</w:t>
            </w:r>
          </w:p>
        </w:tc>
      </w:tr>
      <w:tr>
        <w:trPr>
          <w:cantSplit/>
        </w:trPr>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Big Data</w:t>
            </w:r>
          </w:p>
        </w:tc>
        <w:tc>
          <w:tcPr>
            <w:tcW w:type="dxa" w:w="130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2.55</w:t>
            </w:r>
          </w:p>
        </w:tc>
        <w:tc>
          <w:tcPr>
            <w:tcW w:type="dxa" w:w="130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b/>
                <w:sz w:val="20"/>
              </w:rPr>
              <w:t>1.67</w:t>
            </w:r>
          </w:p>
        </w:tc>
        <w:tc>
          <w:tcPr>
            <w:tcW w:type="dxa" w:w="130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1.04</w:t>
            </w:r>
          </w:p>
        </w:tc>
        <w:tc>
          <w:tcPr>
            <w:tcW w:type="dxa" w:w="130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0.86</w:t>
            </w:r>
          </w:p>
        </w:tc>
        <w:tc>
          <w:tcPr>
            <w:tcW w:type="dxa" w:w="130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1.07</w:t>
            </w:r>
          </w:p>
        </w:tc>
      </w:tr>
    </w:tbl>
    <w:p>
      <w:pPr>
        <w:spacing w:after="40"/>
      </w:pPr>
    </w:p>
    <w:p>
      <w:pPr>
        <w:jc w:val="both"/>
      </w:pPr>
      <w:r>
        <w:rPr>
          <w:b/>
        </w:rPr>
        <w:t>Proportional-odds check.</w:t>
      </w:r>
      <w:r>
        <w:t xml:space="preserve"> The single odds ratios in §4.4 assume one effect across the whole pay range, so we re-estimated each capability at every cut-point. Storytelling stays below 1 at every cut (significant at the first four) and Coding stays above 1 at every cut (significant up to 15 LPA). Maths &amp; Statistics is a significant premium through the 10 LPA cut, weaker at 15 LPA (CI crosses 1) and neutral at 25 LPA. AI &amp; ML is above 1 at every cut but not significant at the 10 LPA cut; its ≥ 3 LPA estimate (22.8) rests on only 10 postings in the lowest band and is unstable. Big Data is significant only at the 6 LPA cut. The pooled odds ratios are therefore averages across the pay range, and we read them that way.</w:t>
      </w:r>
    </w:p>
    <w:p>
      <w:pPr>
        <w:keepNext/>
        <w:spacing w:after="40"/>
        <w:jc w:val="center"/>
      </w:pPr>
      <w:r>
        <w:drawing>
          <wp:inline xmlns:a="http://schemas.openxmlformats.org/drawingml/2006/main" xmlns:pic="http://schemas.openxmlformats.org/drawingml/2006/picture">
            <wp:extent cx="5220000" cy="1764398"/>
            <wp:docPr id="9" name="Picture 9"/>
            <wp:cNvGraphicFramePr>
              <a:graphicFrameLocks noChangeAspect="1"/>
            </wp:cNvGraphicFramePr>
            <a:graphic>
              <a:graphicData uri="http://schemas.openxmlformats.org/drawingml/2006/picture">
                <pic:pic>
                  <pic:nvPicPr>
                    <pic:cNvPr id="0" name="fig04_market.png"/>
                    <pic:cNvPicPr/>
                  </pic:nvPicPr>
                  <pic:blipFill>
                    <a:blip r:embed="rId28"/>
                    <a:stretch>
                      <a:fillRect/>
                    </a:stretch>
                  </pic:blipFill>
                  <pic:spPr>
                    <a:xfrm>
                      <a:off x="0" y="0"/>
                      <a:ext cx="5220000" cy="1764398"/>
                    </a:xfrm>
                    <a:prstGeom prst="rect"/>
                  </pic:spPr>
                </pic:pic>
              </a:graphicData>
            </a:graphic>
          </wp:inline>
        </w:drawing>
      </w:r>
    </w:p>
    <w:p>
      <w:pPr>
        <w:jc w:val="center"/>
      </w:pPr>
      <w:r>
        <w:rPr>
          <w:b/>
          <w:color w:val="5B6780"/>
          <w:sz w:val="21"/>
        </w:rPr>
        <w:t>Figure 8.</w:t>
      </w:r>
      <w:r>
        <w:rPr>
          <w:color w:val="5B6780"/>
          <w:sz w:val="21"/>
        </w:rPr>
        <w:t xml:space="preserve"> Market odds ratios with 95% CIs in the primary (S5) and wide (S6) models (left), and the Storytelling decomposition (right).</w:t>
      </w:r>
    </w:p>
    <w:p>
      <w:pPr>
        <w:pStyle w:val="Heading2"/>
      </w:pPr>
      <w:bookmarkStart w:id="34" w:name="s45"/>
      <w:r>
        <w:t>4.5 The Storytelling paradox — resolved</w:t>
      </w:r>
      <w:bookmarkEnd w:id="34"/>
    </w:p>
    <w:p>
      <w:pPr>
        <w:jc w:val="both"/>
      </w:pPr>
      <w:r>
        <w:t xml:space="preserve">Storytelling is the strongest internal separator (δ 0.59) and a market </w:t>
      </w:r>
      <w:r>
        <w:rPr>
          <w:b/>
        </w:rPr>
        <w:t>discount</w:t>
      </w:r>
      <w:r>
        <w:t xml:space="preserve"> in every specification (OR 0.69–0.80). </w:t>
      </w:r>
      <w:r>
        <w:rPr>
          <w:b/>
        </w:rPr>
        <w:t>H1 does not hold for Storytelling.</w:t>
      </w:r>
      <w:r>
        <w:t xml:space="preserve"> As an exploratory follow-up, we split the storytelling keyword family into its two sub-taxonomies and re-fitted the S5 model on the 6,097 data-role postings:</w:t>
      </w:r>
    </w:p>
    <w:p>
      <w:pPr>
        <w:keepNext/>
        <w:spacing w:after="60"/>
      </w:pPr>
      <w:r>
        <w:rPr>
          <w:b/>
          <w:sz w:val="21"/>
        </w:rPr>
        <w:t>Table 25.</w:t>
      </w:r>
      <w:r>
        <w:rPr>
          <w:sz w:val="21"/>
        </w:rPr>
        <w:t xml:space="preserve"> Decomposing the Storytelling discount.</w:t>
      </w:r>
    </w:p>
    <w:tbl>
      <w:tblPr>
        <w:tblW w:type="auto" w:w="0"/>
        <w:jc w:val="center"/>
        <w:tblLayout w:type="fixed"/>
        <w:tblLook w:firstColumn="1" w:firstRow="1" w:lastColumn="0" w:lastRow="0" w:noHBand="0" w:noVBand="1" w:val="04A0"/>
      </w:tblPr>
      <w:tblGrid>
        <w:gridCol w:w="1928"/>
        <w:gridCol w:w="3175"/>
        <w:gridCol w:w="1247"/>
        <w:gridCol w:w="1701"/>
        <w:gridCol w:w="1134"/>
      </w:tblGrid>
      <w:tr>
        <w:trPr>
          <w:cantSplit/>
          <w:tblHeader/>
        </w:trPr>
        <w:tc>
          <w:tcPr>
            <w:tcW w:type="dxa" w:w="192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Sub-family</w:t>
            </w:r>
          </w:p>
        </w:tc>
        <w:tc>
          <w:tcPr>
            <w:tcW w:type="dxa" w:w="3175"/>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Example keywords</w:t>
            </w:r>
          </w:p>
        </w:tc>
        <w:tc>
          <w:tcPr>
            <w:tcW w:type="dxa" w:w="1247"/>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Odds ratio</w:t>
            </w:r>
          </w:p>
        </w:tc>
        <w:tc>
          <w:tcPr>
            <w:tcW w:type="dxa" w:w="170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95% CI</w:t>
            </w:r>
          </w:p>
        </w:tc>
        <w:tc>
          <w:tcPr>
            <w:tcW w:type="dxa" w:w="113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p</w:t>
            </w:r>
          </w:p>
        </w:tc>
      </w:tr>
      <w:tr>
        <w:trPr>
          <w:cantSplit/>
        </w:trPr>
        <w:tc>
          <w:tcPr>
            <w:tcW w:type="dxa" w:w="192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Visualisation</w:t>
            </w:r>
          </w:p>
        </w:tc>
        <w:tc>
          <w:tcPr>
            <w:tcW w:type="dxa" w:w="317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Tableau, Power BI, dashboards, storytelling</w:t>
            </w:r>
          </w:p>
        </w:tc>
        <w:tc>
          <w:tcPr>
            <w:tcW w:type="dxa" w:w="124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0.98</w:t>
            </w:r>
          </w:p>
        </w:tc>
        <w:tc>
          <w:tcPr>
            <w:tcW w:type="dxa" w:w="170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[0.80, 1.20]</w:t>
            </w:r>
          </w:p>
        </w:tc>
        <w:tc>
          <w:tcPr>
            <w:tcW w:type="dxa" w:w="113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0.84</w:t>
            </w:r>
          </w:p>
        </w:tc>
      </w:tr>
      <w:tr>
        <w:trPr>
          <w:cantSplit/>
        </w:trPr>
        <w:tc>
          <w:tcPr>
            <w:tcW w:type="dxa" w:w="192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MIS / reporting only</w:t>
            </w:r>
          </w:p>
        </w:tc>
        <w:tc>
          <w:tcPr>
            <w:tcW w:type="dxa" w:w="317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MIS, Excel reporting, report generation</w:t>
            </w:r>
          </w:p>
        </w:tc>
        <w:tc>
          <w:tcPr>
            <w:tcW w:type="dxa" w:w="124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0.66</w:t>
            </w:r>
          </w:p>
        </w:tc>
        <w:tc>
          <w:tcPr>
            <w:tcW w:type="dxa" w:w="170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[0.57, 0.77]</w:t>
            </w:r>
          </w:p>
        </w:tc>
        <w:tc>
          <w:tcPr>
            <w:tcW w:type="dxa" w:w="113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5.7e-08</w:t>
            </w:r>
          </w:p>
        </w:tc>
      </w:tr>
    </w:tbl>
    <w:p>
      <w:pPr>
        <w:spacing w:after="40"/>
      </w:pPr>
    </w:p>
    <w:tbl>
      <w:tblPr>
        <w:tblW w:type="auto" w:w="0"/>
        <w:jc w:val="center"/>
        <w:tblLook w:firstColumn="1" w:firstRow="1" w:lastColumn="0" w:lastRow="0" w:noHBand="0" w:noVBand="1" w:val="04A0"/>
      </w:tblPr>
      <w:tblGrid>
        <w:gridCol w:w="9298"/>
      </w:tblGrid>
      <w:tr>
        <w:trPr>
          <w:cantSplit/>
        </w:trPr>
        <w:tc>
          <w:tcPr>
            <w:tcW w:type="dxa" w:w="9298"/>
            <w:tcBorders>
              <w:top w:val="nil"/>
              <w:start w:val="single" w:sz="24" w:color="2F8F62"/>
              <w:bottom w:val="nil"/>
              <w:end w:val="nil"/>
            </w:tcBorders>
            <w:shd w:val="clear" w:color="auto" w:fill="EAF5EF"/>
            <w:tcMar>
              <w:top w:w="120" w:type="dxa"/>
              <w:start w:w="200" w:type="dxa"/>
              <w:bottom w:w="120" w:type="dxa"/>
              <w:end w:w="200" w:type="dxa"/>
            </w:tcMar>
          </w:tcPr>
          <w:p>
            <w:pPr>
              <w:spacing w:after="40"/>
            </w:pPr>
            <w:r>
              <w:rPr>
                <w:b/>
                <w:color w:val="2F8F62"/>
                <w:sz w:val="19"/>
              </w:rPr>
              <w:t>THE ANSWER TO THE OPEN QUESTION</w:t>
            </w:r>
          </w:p>
          <w:p>
            <w:pPr>
              <w:spacing w:after="40"/>
            </w:pPr>
            <w:r>
              <w:rPr>
                <w:sz w:val="23"/>
              </w:rPr>
              <w:t xml:space="preserve">The discount is not attached to communication as such. Postings with visualisation keywords are priced neutrally (OR 0.98, p = 0.84); postings with MIS/reporting-only keywords are associated with lower bands (OR 0.66). So the decision is neither ‘fund’ nor ‘cut’: </w:t>
            </w:r>
            <w:r>
              <w:rPr>
                <w:b/>
                <w:sz w:val="23"/>
              </w:rPr>
              <w:t>INVESTIGATE — fund with reframe: develop analytical storytelling, not report production.</w:t>
            </w:r>
            <w:r>
              <w:rPr>
                <w:sz w:val="23"/>
              </w:rPr>
              <w:t xml:space="preserve"> An averaged score would have hidden this.</w:t>
            </w:r>
          </w:p>
        </w:tc>
      </w:tr>
    </w:tbl>
    <w:p>
      <w:pPr>
        <w:spacing w:after="0"/>
      </w:pPr>
    </w:p>
    <w:p>
      <w:pPr>
        <w:jc w:val="both"/>
      </w:pPr>
      <w:r>
        <w:t>This result depends on how the taxonomy defines storytelling. With visualisation keywords alone the market signal is neutral in the primary model (although its interval, 0.80–1.20, cannot rule out a modest discount); the discount comes mainly from the MIS/reporting keywords. That is why the verdict is to reframe the capability rather than to cut it.</w:t>
      </w:r>
    </w:p>
    <w:p>
      <w:pPr>
        <w:pStyle w:val="Heading2"/>
      </w:pPr>
      <w:bookmarkStart w:id="35" w:name="s46"/>
      <w:r>
        <w:t>4.6 Reading a job description: the T2 scanner</w:t>
      </w:r>
      <w:bookmarkEnd w:id="35"/>
    </w:p>
    <w:p>
      <w:pPr>
        <w:keepNext/>
        <w:spacing w:after="60"/>
      </w:pPr>
      <w:r>
        <w:rPr>
          <w:b/>
          <w:sz w:val="21"/>
        </w:rPr>
        <w:t>Table 26.</w:t>
      </w:r>
      <w:r>
        <w:rPr>
          <w:sz w:val="21"/>
        </w:rPr>
        <w:t xml:space="preserve"> T2: salary band from a job posting; grouped CV on 10,338 postings in 6,741 job-title groups (NB05).</w:t>
      </w:r>
    </w:p>
    <w:tbl>
      <w:tblPr>
        <w:tblW w:type="auto" w:w="0"/>
        <w:jc w:val="center"/>
        <w:tblLayout w:type="fixed"/>
        <w:tblLook w:firstColumn="1" w:firstRow="1" w:lastColumn="0" w:lastRow="0" w:noHBand="0" w:noVBand="1" w:val="04A0"/>
      </w:tblPr>
      <w:tblGrid>
        <w:gridCol w:w="3402"/>
        <w:gridCol w:w="1361"/>
        <w:gridCol w:w="1474"/>
        <w:gridCol w:w="1474"/>
        <w:gridCol w:w="1361"/>
      </w:tblGrid>
      <w:tr>
        <w:trPr>
          <w:cantSplit/>
          <w:tblHeader/>
        </w:trPr>
        <w:tc>
          <w:tcPr>
            <w:tcW w:type="dxa" w:w="3402"/>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Model</w:t>
            </w:r>
          </w:p>
        </w:tc>
        <w:tc>
          <w:tcPr>
            <w:tcW w:type="dxa" w:w="136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Exact band</w:t>
            </w:r>
          </w:p>
        </w:tc>
        <w:tc>
          <w:tcPr>
            <w:tcW w:type="dxa" w:w="147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Within 1 band</w:t>
            </w:r>
          </w:p>
        </w:tc>
        <w:tc>
          <w:tcPr>
            <w:tcW w:type="dxa" w:w="147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Quadratic κ</w:t>
            </w:r>
          </w:p>
        </w:tc>
        <w:tc>
          <w:tcPr>
            <w:tcW w:type="dxa" w:w="136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MAE (bands)</w:t>
            </w:r>
          </w:p>
        </w:tc>
      </w:tr>
      <w:tr>
        <w:trPr>
          <w:cantSplit/>
        </w:trPr>
        <w:tc>
          <w:tcPr>
            <w:tcW w:type="dxa" w:w="3402"/>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B0 majority</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23.9%</w:t>
            </w:r>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63.9%</w:t>
            </w:r>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0.000</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1.28</w:t>
            </w:r>
          </w:p>
        </w:tc>
      </w:tr>
      <w:tr>
        <w:trPr>
          <w:cantSplit/>
        </w:trPr>
        <w:tc>
          <w:tcPr>
            <w:tcW w:type="dxa" w:w="3402"/>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B1 experience-only LR</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38.3%</w:t>
            </w:r>
          </w:p>
        </w:tc>
        <w:tc>
          <w:tcPr>
            <w:tcW w:type="dxa" w:w="147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81.1%</w:t>
            </w:r>
          </w:p>
        </w:tc>
        <w:tc>
          <w:tcPr>
            <w:tcW w:type="dxa" w:w="147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0.655</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0.85</w:t>
            </w:r>
          </w:p>
        </w:tc>
      </w:tr>
      <w:tr>
        <w:trPr>
          <w:cantSplit/>
        </w:trPr>
        <w:tc>
          <w:tcPr>
            <w:tcW w:type="dxa" w:w="3402"/>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M0 structured LR (no flags)</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41.4%</w:t>
            </w:r>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82.0%</w:t>
            </w:r>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0.677</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0.82</w:t>
            </w:r>
          </w:p>
        </w:tc>
      </w:tr>
      <w:tr>
        <w:trPr>
          <w:cantSplit/>
        </w:trPr>
        <w:tc>
          <w:tcPr>
            <w:tcW w:type="dxa" w:w="3402"/>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M1 structured LR (+flags)</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42.3%</w:t>
            </w:r>
          </w:p>
        </w:tc>
        <w:tc>
          <w:tcPr>
            <w:tcW w:type="dxa" w:w="147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82.6%</w:t>
            </w:r>
          </w:p>
        </w:tc>
        <w:tc>
          <w:tcPr>
            <w:tcW w:type="dxa" w:w="147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0.688</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0.81</w:t>
            </w:r>
          </w:p>
        </w:tc>
      </w:tr>
      <w:tr>
        <w:trPr>
          <w:cantSplit/>
        </w:trPr>
        <w:tc>
          <w:tcPr>
            <w:tcW w:type="dxa" w:w="3402"/>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M2 TF-IDF + structured LR</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44.4%</w:t>
            </w:r>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85.1%</w:t>
            </w:r>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0.719</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0.75</w:t>
            </w:r>
          </w:p>
        </w:tc>
      </w:tr>
      <w:tr>
        <w:trPr>
          <w:cantSplit/>
        </w:trPr>
        <w:tc>
          <w:tcPr>
            <w:tcW w:type="dxa" w:w="3402"/>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M3 random forest</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41.9%</w:t>
            </w:r>
          </w:p>
        </w:tc>
        <w:tc>
          <w:tcPr>
            <w:tcW w:type="dxa" w:w="147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81.5%</w:t>
            </w:r>
          </w:p>
        </w:tc>
        <w:tc>
          <w:tcPr>
            <w:tcW w:type="dxa" w:w="147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0.672</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0.83</w:t>
            </w:r>
          </w:p>
        </w:tc>
      </w:tr>
      <w:tr>
        <w:trPr>
          <w:cantSplit/>
        </w:trPr>
        <w:tc>
          <w:tcPr>
            <w:tcW w:type="dxa" w:w="3402"/>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M4 hist-gradient boosting</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42.0%</w:t>
            </w:r>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81.5%</w:t>
            </w:r>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0.672</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0.83</w:t>
            </w:r>
          </w:p>
        </w:tc>
      </w:tr>
    </w:tbl>
    <w:p>
      <w:pPr>
        <w:spacing w:after="40"/>
      </w:pPr>
    </w:p>
    <w:p>
      <w:pPr>
        <w:jc w:val="both"/>
      </w:pPr>
      <w:r>
        <w:rPr>
          <w:b/>
        </w:rPr>
        <w:t>H3 is supported.</w:t>
      </w:r>
      <w:r>
        <w:t xml:space="preserve"> The text of the posting (TF-IDF on title and listed skills, plus structured fields) beats the experience-only model on every metric: quadratic κ 0.719 vs 0.655, exact band 44.4% vs 38.3%, within one band 85.1% vs 81.1%. Adding the capability flags to the structured fields alone raises κ by 0.011 (95% bootstrap CI 0.006–0.016), and a label-permutation test of that model never exceeded κ 0.008 (observed 0.688). Because 56% of exact-band predictions are still wrong, the product shows the full probability distribution and never an exact salary.</w:t>
      </w:r>
    </w:p>
    <w:p>
      <w:pPr>
        <w:keepNext/>
        <w:spacing w:after="40"/>
        <w:jc w:val="center"/>
      </w:pPr>
      <w:r>
        <w:drawing>
          <wp:inline xmlns:a="http://schemas.openxmlformats.org/drawingml/2006/main" xmlns:pic="http://schemas.openxmlformats.org/drawingml/2006/picture">
            <wp:extent cx="5220000" cy="1599394"/>
            <wp:docPr id="10" name="Picture 10"/>
            <wp:cNvGraphicFramePr>
              <a:graphicFrameLocks noChangeAspect="1"/>
            </wp:cNvGraphicFramePr>
            <a:graphic>
              <a:graphicData uri="http://schemas.openxmlformats.org/drawingml/2006/picture">
                <pic:pic>
                  <pic:nvPicPr>
                    <pic:cNvPr id="0" name="fig05_t2_scanner.png"/>
                    <pic:cNvPicPr/>
                  </pic:nvPicPr>
                  <pic:blipFill>
                    <a:blip r:embed="rId29"/>
                    <a:stretch>
                      <a:fillRect/>
                    </a:stretch>
                  </pic:blipFill>
                  <pic:spPr>
                    <a:xfrm>
                      <a:off x="0" y="0"/>
                      <a:ext cx="5220000" cy="1599394"/>
                    </a:xfrm>
                    <a:prstGeom prst="rect"/>
                  </pic:spPr>
                </pic:pic>
              </a:graphicData>
            </a:graphic>
          </wp:inline>
        </w:drawing>
      </w:r>
    </w:p>
    <w:p>
      <w:pPr>
        <w:jc w:val="center"/>
      </w:pPr>
      <w:r>
        <w:rPr>
          <w:b/>
          <w:color w:val="5B6780"/>
          <w:sz w:val="21"/>
        </w:rPr>
        <w:t>Figure 9.</w:t>
      </w:r>
      <w:r>
        <w:rPr>
          <w:color w:val="5B6780"/>
          <w:sz w:val="21"/>
        </w:rPr>
        <w:t xml:space="preserve"> T2 model comparison, normalised confusion matrix of the selected model, and confidence versus hit rate (calibration).</w:t>
      </w:r>
    </w:p>
    <w:p>
      <w:pPr>
        <w:pStyle w:val="Heading2"/>
      </w:pPr>
      <w:bookmarkStart w:id="36" w:name="s47"/>
      <w:r>
        <w:t>4.7 Headroom and modelled gain</w:t>
      </w:r>
      <w:bookmarkEnd w:id="36"/>
    </w:p>
    <w:p>
      <w:pPr>
        <w:keepNext/>
        <w:spacing w:after="60"/>
      </w:pPr>
      <w:r>
        <w:rPr>
          <w:b/>
          <w:sz w:val="21"/>
        </w:rPr>
        <w:t>Table 27.</w:t>
      </w:r>
      <w:r>
        <w:rPr>
          <w:sz w:val="21"/>
        </w:rPr>
        <w:t xml:space="preserve"> E_k = modelled rise in P(high hike) if every junior improved by up to 0.5 points in capability k (capped at 5.0), averaged over all 139 juniors (what-if, not causal).</w:t>
      </w:r>
    </w:p>
    <w:tbl>
      <w:tblPr>
        <w:tblW w:type="auto" w:w="0"/>
        <w:jc w:val="center"/>
        <w:tblLayout w:type="fixed"/>
        <w:tblLook w:firstColumn="1" w:firstRow="1" w:lastColumn="0" w:lastRow="0" w:noHBand="0" w:noVBand="1" w:val="04A0"/>
      </w:tblPr>
      <w:tblGrid>
        <w:gridCol w:w="2608"/>
        <w:gridCol w:w="1361"/>
        <w:gridCol w:w="2041"/>
        <w:gridCol w:w="1814"/>
        <w:gridCol w:w="1361"/>
      </w:tblGrid>
      <w:tr>
        <w:trPr>
          <w:cantSplit/>
          <w:tblHeader/>
        </w:trPr>
        <w:tc>
          <w:tcPr>
            <w:tcW w:type="dxa" w:w="260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Capability</w:t>
            </w:r>
          </w:p>
        </w:tc>
        <w:tc>
          <w:tcPr>
            <w:tcW w:type="dxa" w:w="136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Headroom</w:t>
            </w:r>
          </w:p>
        </w:tc>
        <w:tc>
          <w:tcPr>
            <w:tcW w:type="dxa" w:w="204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E_k (pp per +0.5 step)</w:t>
            </w:r>
          </w:p>
        </w:tc>
        <w:tc>
          <w:tcPr>
            <w:tcW w:type="dxa" w:w="181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95% CI</w:t>
            </w:r>
          </w:p>
        </w:tc>
        <w:tc>
          <w:tcPr>
            <w:tcW w:type="dxa" w:w="136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P(top)</w:t>
            </w:r>
          </w:p>
        </w:tc>
      </w:tr>
      <w:tr>
        <w:trPr>
          <w:cantSplit/>
        </w:trPr>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Big Data</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82%</w:t>
            </w:r>
          </w:p>
        </w:tc>
        <w:tc>
          <w:tcPr>
            <w:tcW w:type="dxa" w:w="204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3.47</w:t>
            </w:r>
          </w:p>
        </w:tc>
        <w:tc>
          <w:tcPr>
            <w:tcW w:type="dxa" w:w="181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[1.04, 6.06]</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14.5%</w:t>
            </w:r>
          </w:p>
        </w:tc>
      </w:tr>
      <w:tr>
        <w:trPr>
          <w:cantSplit/>
        </w:trPr>
        <w:tc>
          <w:tcPr>
            <w:tcW w:type="dxa" w:w="260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Maths &amp; Statistics</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59%</w:t>
            </w:r>
          </w:p>
        </w:tc>
        <w:tc>
          <w:tcPr>
            <w:tcW w:type="dxa" w:w="204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5.15</w:t>
            </w:r>
          </w:p>
        </w:tc>
        <w:tc>
          <w:tcPr>
            <w:tcW w:type="dxa" w:w="181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[2.96, 7.47]</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79.5%</w:t>
            </w:r>
          </w:p>
        </w:tc>
      </w:tr>
      <w:tr>
        <w:trPr>
          <w:cantSplit/>
        </w:trPr>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Coding</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55%</w:t>
            </w:r>
          </w:p>
        </w:tc>
        <w:tc>
          <w:tcPr>
            <w:tcW w:type="dxa" w:w="204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1.98</w:t>
            </w:r>
          </w:p>
        </w:tc>
        <w:tc>
          <w:tcPr>
            <w:tcW w:type="dxa" w:w="181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[0.13, 3.92]</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2.0%</w:t>
            </w:r>
          </w:p>
        </w:tc>
      </w:tr>
      <w:tr>
        <w:trPr>
          <w:cantSplit/>
        </w:trPr>
        <w:tc>
          <w:tcPr>
            <w:tcW w:type="dxa" w:w="260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AI &amp; ML</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51%</w:t>
            </w:r>
          </w:p>
        </w:tc>
        <w:tc>
          <w:tcPr>
            <w:tcW w:type="dxa" w:w="204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2.77</w:t>
            </w:r>
          </w:p>
        </w:tc>
        <w:tc>
          <w:tcPr>
            <w:tcW w:type="dxa" w:w="181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[0.78, 4.59]</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2.2%</w:t>
            </w:r>
          </w:p>
        </w:tc>
      </w:tr>
      <w:tr>
        <w:trPr>
          <w:cantSplit/>
        </w:trPr>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Dashboards &amp; Storytelling</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42%</w:t>
            </w:r>
          </w:p>
        </w:tc>
        <w:tc>
          <w:tcPr>
            <w:tcW w:type="dxa" w:w="204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2.75</w:t>
            </w:r>
          </w:p>
        </w:tc>
        <w:tc>
          <w:tcPr>
            <w:tcW w:type="dxa" w:w="181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[1.49, 4.11]</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1.8%</w:t>
            </w:r>
          </w:p>
        </w:tc>
      </w:tr>
    </w:tbl>
    <w:p>
      <w:pPr>
        <w:spacing w:after="40"/>
      </w:pPr>
    </w:p>
    <w:p>
      <w:pPr>
        <w:jc w:val="both"/>
      </w:pPr>
      <w:r>
        <w:t xml:space="preserve">Maths &amp; Statistics has the largest modelled gain (+5.1 pp, CI 3.0–7.5). Across 1,000 bootstrap refits it beats the runner-up among funded capabilities (AI &amp; ML) in </w:t>
      </w:r>
      <w:r>
        <w:rPr>
          <w:b/>
        </w:rPr>
        <w:t>95.7%</w:t>
      </w:r>
      <w:r>
        <w:t xml:space="preserve">, ranks first among the four funded capabilities in </w:t>
      </w:r>
      <w:r>
        <w:rPr>
          <w:b/>
        </w:rPr>
        <w:t>91.3%</w:t>
      </w:r>
      <w:r>
        <w:t>, and ranks first among all five in 79.5% (NB06, NB08). Big Data has the second-largest E_k (3.5 pp, CI 1.0–6.1) but is not eligible: its univariate internal signal is not significant, so the rule (</w:t>
      </w:r>
      <w:hyperlink w:anchor="h_24Decisionrules">
        <w:r>
          <w:rPr>
            <w:color w:val="D9701C"/>
            <w:u w:val="single"/>
          </w:rPr>
          <w:t xml:space="preserve">§2.4</w:t>
        </w:r>
      </w:hyperlink>
      <w:r>
        <w:t xml:space="preserve">) sets it to MAINTAIN. The ranking was re-run over 9 settings (step size 0.25/0.5/1.0 × regularisation C = 0.1/1/10): </w:t>
      </w:r>
      <w:r>
        <w:rPr>
          <w:b/>
        </w:rPr>
        <w:t>Maths &amp; Statistics is first in all 9.</w:t>
      </w:r>
      <w:r>
        <w:t xml:space="preserve"> E_k is computed in-sample on 139 juniors and is a what-if, not a causal effect.</w:t>
      </w:r>
    </w:p>
    <w:p>
      <w:pPr>
        <w:keepNext/>
        <w:spacing w:after="40"/>
        <w:jc w:val="center"/>
      </w:pPr>
      <w:r>
        <w:drawing>
          <wp:inline xmlns:a="http://schemas.openxmlformats.org/drawingml/2006/main" xmlns:pic="http://schemas.openxmlformats.org/drawingml/2006/picture">
            <wp:extent cx="5220000" cy="1549988"/>
            <wp:docPr id="11" name="Picture 11"/>
            <wp:cNvGraphicFramePr>
              <a:graphicFrameLocks noChangeAspect="1"/>
            </wp:cNvGraphicFramePr>
            <a:graphic>
              <a:graphicData uri="http://schemas.openxmlformats.org/drawingml/2006/picture">
                <pic:pic>
                  <pic:nvPicPr>
                    <pic:cNvPr id="0" name="fig06_decision.png"/>
                    <pic:cNvPicPr/>
                  </pic:nvPicPr>
                  <pic:blipFill>
                    <a:blip r:embed="rId30"/>
                    <a:stretch>
                      <a:fillRect/>
                    </a:stretch>
                  </pic:blipFill>
                  <pic:spPr>
                    <a:xfrm>
                      <a:off x="0" y="0"/>
                      <a:ext cx="5220000" cy="1549988"/>
                    </a:xfrm>
                    <a:prstGeom prst="rect"/>
                  </pic:spPr>
                </pic:pic>
              </a:graphicData>
            </a:graphic>
          </wp:inline>
        </w:drawing>
      </w:r>
    </w:p>
    <w:p>
      <w:pPr>
        <w:jc w:val="center"/>
      </w:pPr>
      <w:r>
        <w:rPr>
          <w:b/>
          <w:color w:val="5B6780"/>
          <w:sz w:val="21"/>
        </w:rPr>
        <w:t>Figure 10.</w:t>
      </w:r>
      <w:r>
        <w:rPr>
          <w:color w:val="5B6780"/>
          <w:sz w:val="21"/>
        </w:rPr>
        <w:t xml:space="preserve"> Evidence-conflict map (bubble = headroom), modelled gain E_k with 95% bootstrap CIs, and the career ladder (§4.8).</w:t>
      </w:r>
    </w:p>
    <w:p>
      <w:pPr>
        <w:pStyle w:val="Heading2"/>
      </w:pPr>
      <w:bookmarkStart w:id="37" w:name="h_48Careerladderandsalarycontext"/>
      <w:r>
        <w:t>4.8 Career ladder and salary context</w:t>
      </w:r>
      <w:bookmarkEnd w:id="37"/>
    </w:p>
    <w:p>
      <w:pPr>
        <w:keepNext/>
        <w:spacing w:after="60"/>
      </w:pPr>
      <w:r>
        <w:rPr>
          <w:b/>
          <w:sz w:val="21"/>
        </w:rPr>
        <w:t>Table 28.</w:t>
      </w:r>
      <w:r>
        <w:rPr>
          <w:sz w:val="21"/>
        </w:rPr>
        <w:t xml:space="preserve"> Paired company-level comparison, Data Science Jobs (NB06).</w:t>
      </w:r>
    </w:p>
    <w:tbl>
      <w:tblPr>
        <w:tblW w:type="auto" w:w="0"/>
        <w:jc w:val="center"/>
        <w:tblLayout w:type="fixed"/>
        <w:tblLook w:firstColumn="1" w:firstRow="1" w:lastColumn="0" w:lastRow="0" w:noHBand="0" w:noVBand="1" w:val="04A0"/>
      </w:tblPr>
      <w:tblGrid>
        <w:gridCol w:w="1928"/>
        <w:gridCol w:w="2041"/>
        <w:gridCol w:w="1587"/>
        <w:gridCol w:w="907"/>
        <w:gridCol w:w="1361"/>
        <w:gridCol w:w="1361"/>
      </w:tblGrid>
      <w:tr>
        <w:trPr>
          <w:cantSplit/>
          <w:tblHeader/>
        </w:trPr>
        <w:tc>
          <w:tcPr>
            <w:tcW w:type="dxa" w:w="192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Role family</w:t>
            </w:r>
          </w:p>
        </w:tc>
        <w:tc>
          <w:tcPr>
            <w:tcW w:type="dxa" w:w="204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Senior ÷ junior median salary</w:t>
            </w:r>
          </w:p>
        </w:tc>
        <w:tc>
          <w:tcPr>
            <w:tcW w:type="dxa" w:w="1587"/>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95% CI</w:t>
            </w:r>
          </w:p>
        </w:tc>
        <w:tc>
          <w:tcPr>
            <w:tcW w:type="dxa" w:w="907"/>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Pairs</w:t>
            </w:r>
          </w:p>
        </w:tc>
        <w:tc>
          <w:tcPr>
            <w:tcW w:type="dxa" w:w="136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Senior higher</w:t>
            </w:r>
          </w:p>
        </w:tc>
        <w:tc>
          <w:tcPr>
            <w:tcW w:type="dxa" w:w="136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Wilcoxon p</w:t>
            </w:r>
          </w:p>
        </w:tc>
      </w:tr>
      <w:tr>
        <w:trPr>
          <w:cantSplit/>
        </w:trPr>
        <w:tc>
          <w:tcPr>
            <w:tcW w:type="dxa" w:w="192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Data Scientist</w:t>
            </w:r>
          </w:p>
        </w:tc>
        <w:tc>
          <w:tcPr>
            <w:tcW w:type="dxa" w:w="204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1.52×</w:t>
            </w:r>
          </w:p>
        </w:tc>
        <w:tc>
          <w:tcPr>
            <w:tcW w:type="dxa" w:w="158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[1.48, 1.64]</w:t>
            </w:r>
          </w:p>
        </w:tc>
        <w:tc>
          <w:tcPr>
            <w:tcW w:type="dxa" w:w="90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105</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96%</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4e-19</w:t>
            </w:r>
          </w:p>
        </w:tc>
      </w:tr>
      <w:tr>
        <w:trPr>
          <w:cantSplit/>
        </w:trPr>
        <w:tc>
          <w:tcPr>
            <w:tcW w:type="dxa" w:w="192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Data Analyst</w:t>
            </w:r>
          </w:p>
        </w:tc>
        <w:tc>
          <w:tcPr>
            <w:tcW w:type="dxa" w:w="204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1.49×</w:t>
            </w:r>
          </w:p>
        </w:tc>
        <w:tc>
          <w:tcPr>
            <w:tcW w:type="dxa" w:w="158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[1.41, 1.55]</w:t>
            </w:r>
          </w:p>
        </w:tc>
        <w:tc>
          <w:tcPr>
            <w:tcW w:type="dxa" w:w="90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111</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96%</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1e-19</w:t>
            </w:r>
          </w:p>
        </w:tc>
      </w:tr>
      <w:tr>
        <w:trPr>
          <w:cantSplit/>
        </w:trPr>
        <w:tc>
          <w:tcPr>
            <w:tcW w:type="dxa" w:w="192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Data Engineer</w:t>
            </w:r>
          </w:p>
        </w:tc>
        <w:tc>
          <w:tcPr>
            <w:tcW w:type="dxa" w:w="204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1.58×</w:t>
            </w:r>
          </w:p>
        </w:tc>
        <w:tc>
          <w:tcPr>
            <w:tcW w:type="dxa" w:w="158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[1.50, 1.63]</w:t>
            </w:r>
          </w:p>
        </w:tc>
        <w:tc>
          <w:tcPr>
            <w:tcW w:type="dxa" w:w="90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112</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97%</w:t>
            </w:r>
          </w:p>
        </w:tc>
        <w:tc>
          <w:tcPr>
            <w:tcW w:type="dxa" w:w="136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3e-20</w:t>
            </w:r>
          </w:p>
        </w:tc>
      </w:tr>
      <w:tr>
        <w:trPr>
          <w:cantSplit/>
        </w:trPr>
        <w:tc>
          <w:tcPr>
            <w:tcW w:type="dxa" w:w="192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Business Analyst</w:t>
            </w:r>
          </w:p>
        </w:tc>
        <w:tc>
          <w:tcPr>
            <w:tcW w:type="dxa" w:w="204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1.43×</w:t>
            </w:r>
          </w:p>
        </w:tc>
        <w:tc>
          <w:tcPr>
            <w:tcW w:type="dxa" w:w="158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[1.38, 1.47]</w:t>
            </w:r>
          </w:p>
        </w:tc>
        <w:tc>
          <w:tcPr>
            <w:tcW w:type="dxa" w:w="90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124</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95%</w:t>
            </w:r>
          </w:p>
        </w:tc>
        <w:tc>
          <w:tcPr>
            <w:tcW w:type="dxa" w:w="136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1e-21</w:t>
            </w:r>
          </w:p>
        </w:tc>
      </w:tr>
    </w:tbl>
    <w:p>
      <w:pPr>
        <w:spacing w:after="40"/>
      </w:pPr>
    </w:p>
    <w:p>
      <w:pPr>
        <w:jc w:val="both"/>
      </w:pPr>
      <w:r>
        <w:rPr>
          <w:b/>
        </w:rPr>
        <w:t>H4 is supported:</w:t>
      </w:r>
      <w:r>
        <w:t xml:space="preserve"> within the same company, senior roles pay about 1.4–1.6× junior roles, in 95–97% of pairs. Salary models on this file reach R² 0.59 (gradient boosting, MAE 3.5 LPA), with title and experience explaining most of it — further reason not to promise individuals an exact number.</w:t>
      </w:r>
    </w:p>
    <w:p>
      <w:pPr>
        <w:pStyle w:val="Heading2"/>
      </w:pPr>
      <w:bookmarkStart w:id="38" w:name="s49"/>
      <w:r>
        <w:t>4.9 Evidence convergence: the decision</w:t>
      </w:r>
      <w:bookmarkEnd w:id="38"/>
    </w:p>
    <w:p>
      <w:pPr>
        <w:jc w:val="both"/>
      </w:pPr>
      <w:r>
        <w:t>The three signals for each capability, side by side. Green is HIGH, gold MEDIUM, red LOW, graded as in §2.3 (Table 5). The arrow is the decision rule, not an average.</w:t>
      </w:r>
    </w:p>
    <w:p>
      <w:pPr>
        <w:keepNext/>
        <w:spacing w:after="40"/>
        <w:jc w:val="center"/>
      </w:pPr>
      <w:r>
        <w:drawing>
          <wp:inline xmlns:a="http://schemas.openxmlformats.org/drawingml/2006/main" xmlns:pic="http://schemas.openxmlformats.org/drawingml/2006/picture">
            <wp:extent cx="5688000" cy="2347217"/>
            <wp:docPr id="12" name="Picture 12"/>
            <wp:cNvGraphicFramePr>
              <a:graphicFrameLocks noChangeAspect="1"/>
            </wp:cNvGraphicFramePr>
            <a:graphic>
              <a:graphicData uri="http://schemas.openxmlformats.org/drawingml/2006/picture">
                <pic:pic>
                  <pic:nvPicPr>
                    <pic:cNvPr id="0" name="h_convergence.png"/>
                    <pic:cNvPicPr/>
                  </pic:nvPicPr>
                  <pic:blipFill>
                    <a:blip r:embed="rId31"/>
                    <a:stretch>
                      <a:fillRect/>
                    </a:stretch>
                  </pic:blipFill>
                  <pic:spPr>
                    <a:xfrm>
                      <a:off x="0" y="0"/>
                      <a:ext cx="5688000" cy="2347217"/>
                    </a:xfrm>
                    <a:prstGeom prst="rect"/>
                  </pic:spPr>
                </pic:pic>
              </a:graphicData>
            </a:graphic>
          </wp:inline>
        </w:drawing>
      </w:r>
    </w:p>
    <w:p>
      <w:pPr>
        <w:jc w:val="center"/>
      </w:pPr>
      <w:bookmarkStart w:id="39" w:name="f_conv"/>
      <w:r>
        <w:rPr>
          <w:b/>
          <w:color w:val="5B6780"/>
          <w:sz w:val="21"/>
        </w:rPr>
        <w:t>Figure 11.</w:t>
      </w:r>
      <w:r>
        <w:rPr>
          <w:color w:val="5B6780"/>
          <w:sz w:val="21"/>
        </w:rPr>
        <w:t xml:space="preserve"> Evidence Convergence. Maths &amp; Statistics, AI &amp; ML and Coding converge; Storytelling conflicts; Big Data has headroom but weak evidence.</w:t>
      </w:r>
      <w:bookmarkEnd w:id="39"/>
    </w:p>
    <w:p>
      <w:pPr>
        <w:keepNext/>
        <w:spacing w:after="40"/>
        <w:jc w:val="center"/>
      </w:pPr>
      <w:r>
        <w:drawing>
          <wp:inline xmlns:a="http://schemas.openxmlformats.org/drawingml/2006/main" xmlns:pic="http://schemas.openxmlformats.org/drawingml/2006/picture">
            <wp:extent cx="4860000" cy="3011452"/>
            <wp:docPr id="13" name="Picture 13"/>
            <wp:cNvGraphicFramePr>
              <a:graphicFrameLocks noChangeAspect="1"/>
            </wp:cNvGraphicFramePr>
            <a:graphic>
              <a:graphicData uri="http://schemas.openxmlformats.org/drawingml/2006/picture">
                <pic:pic>
                  <pic:nvPicPr>
                    <pic:cNvPr id="0" name="h_conflict.png"/>
                    <pic:cNvPicPr/>
                  </pic:nvPicPr>
                  <pic:blipFill>
                    <a:blip r:embed="rId32"/>
                    <a:stretch>
                      <a:fillRect/>
                    </a:stretch>
                  </pic:blipFill>
                  <pic:spPr>
                    <a:xfrm>
                      <a:off x="0" y="0"/>
                      <a:ext cx="4860000" cy="3011452"/>
                    </a:xfrm>
                    <a:prstGeom prst="rect"/>
                  </pic:spPr>
                </pic:pic>
              </a:graphicData>
            </a:graphic>
          </wp:inline>
        </w:drawing>
      </w:r>
    </w:p>
    <w:p>
      <w:pPr>
        <w:jc w:val="center"/>
      </w:pPr>
      <w:r>
        <w:rPr>
          <w:b/>
          <w:color w:val="5B6780"/>
          <w:sz w:val="21"/>
        </w:rPr>
        <w:t>Figure 12.</w:t>
      </w:r>
      <w:r>
        <w:rPr>
          <w:color w:val="5B6780"/>
          <w:sz w:val="21"/>
        </w:rPr>
        <w:t xml:space="preserve"> Evidence conflict matrix. Bubble size = headroom; colour = decision. Storytelling sits alone in the conflict quadrant. Big Data's odds ratio (1.09, CI 0.89–1.34) is not significant, so it is treated as neutral despite sitting right of 1.</w:t>
      </w:r>
    </w:p>
    <w:p>
      <w:pPr>
        <w:pStyle w:val="Heading1"/>
      </w:pPr>
      <w:bookmarkStart w:id="40" w:name="s5"/>
      <w:r>
        <w:t>5. Results &amp; Conclusions</w:t>
      </w:r>
      <w:bookmarkEnd w:id="40"/>
    </w:p>
    <w:tbl>
      <w:tblPr>
        <w:tblW w:type="auto" w:w="0"/>
        <w:jc w:val="center"/>
        <w:tblLook w:firstColumn="1" w:firstRow="1" w:lastColumn="0" w:lastRow="0" w:noHBand="0" w:noVBand="1" w:val="04A0"/>
      </w:tblPr>
      <w:tblGrid>
        <w:gridCol w:w="9298"/>
      </w:tblGrid>
      <w:tr>
        <w:trPr>
          <w:cantSplit/>
        </w:trPr>
        <w:tc>
          <w:tcPr>
            <w:tcW w:type="dxa" w:w="9298"/>
            <w:tcBorders>
              <w:top w:val="nil"/>
              <w:start w:val="single" w:sz="24" w:color="D9701C"/>
              <w:bottom w:val="nil"/>
              <w:end w:val="nil"/>
            </w:tcBorders>
            <w:shd w:val="clear" w:color="auto" w:fill="FDF3E8"/>
            <w:tcMar>
              <w:top w:w="120" w:type="dxa"/>
              <w:start w:w="200" w:type="dxa"/>
              <w:bottom w:w="120" w:type="dxa"/>
              <w:end w:w="200" w:type="dxa"/>
            </w:tcMar>
          </w:tcPr>
          <w:p>
            <w:pPr>
              <w:spacing w:after="40"/>
            </w:pPr>
            <w:r>
              <w:rPr>
                <w:b/>
                <w:color w:val="D9701C"/>
                <w:sz w:val="19"/>
              </w:rPr>
              <w:t>IN ONE LINE</w:t>
            </w:r>
          </w:p>
          <w:p>
            <w:pPr>
              <w:spacing w:after="40"/>
            </w:pPr>
            <w:r>
              <w:rPr>
                <w:sz w:val="23"/>
              </w:rPr>
              <w:t>Maths &amp; Statistics is the best-supported next investment (first among funded capabilities in 91.3% of refits). Reframe Storytelling. Do not chase Big Data just because there is room.</w:t>
            </w:r>
          </w:p>
        </w:tc>
      </w:tr>
    </w:tbl>
    <w:p>
      <w:pPr>
        <w:spacing w:after="0"/>
      </w:pPr>
    </w:p>
    <w:p>
      <w:pPr>
        <w:pStyle w:val="Heading2"/>
      </w:pPr>
      <w:bookmarkStart w:id="41" w:name="h_51Thedecision"/>
      <w:r>
        <w:t>5.1 The decision</w:t>
      </w:r>
      <w:bookmarkEnd w:id="41"/>
    </w:p>
    <w:p>
      <w:pPr>
        <w:keepNext/>
        <w:spacing w:after="60"/>
      </w:pPr>
      <w:r>
        <w:rPr>
          <w:b/>
          <w:sz w:val="21"/>
        </w:rPr>
        <w:t>Table 29.</w:t>
      </w:r>
      <w:r>
        <w:rPr>
          <w:sz w:val="21"/>
        </w:rPr>
        <w:t xml:space="preserve"> NEXUS DECISION.</w:t>
      </w:r>
    </w:p>
    <w:tbl>
      <w:tblPr>
        <w:tblW w:type="auto" w:w="0"/>
        <w:jc w:val="center"/>
        <w:tblLayout w:type="fixed"/>
        <w:tblLook w:firstColumn="1" w:firstRow="1" w:lastColumn="0" w:lastRow="0" w:noHBand="0" w:noVBand="1" w:val="04A0"/>
      </w:tblPr>
      <w:tblGrid>
        <w:gridCol w:w="510"/>
        <w:gridCol w:w="2494"/>
        <w:gridCol w:w="1701"/>
        <w:gridCol w:w="4535"/>
      </w:tblGrid>
      <w:tr>
        <w:trPr>
          <w:cantSplit/>
          <w:tblHeader/>
        </w:trPr>
        <w:tc>
          <w:tcPr>
            <w:tcW w:type="dxa" w:w="510"/>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w:t>
            </w:r>
          </w:p>
        </w:tc>
        <w:tc>
          <w:tcPr>
            <w:tcW w:type="dxa" w:w="249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Capability</w:t>
            </w:r>
          </w:p>
        </w:tc>
        <w:tc>
          <w:tcPr>
            <w:tcW w:type="dxa" w:w="170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Decision</w:t>
            </w:r>
          </w:p>
        </w:tc>
        <w:tc>
          <w:tcPr>
            <w:tcW w:type="dxa" w:w="4535"/>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Why</w:t>
            </w:r>
          </w:p>
        </w:tc>
      </w:tr>
      <w:tr>
        <w:trPr>
          <w:cantSplit/>
        </w:trPr>
        <w:tc>
          <w:tcPr>
            <w:tcW w:type="dxa" w:w="510"/>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1</w:t>
            </w:r>
          </w:p>
        </w:tc>
        <w:tc>
          <w:tcPr>
            <w:tcW w:type="dxa" w:w="249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Maths &amp; Statistics</w:t>
            </w:r>
          </w:p>
        </w:tc>
        <w:tc>
          <w:tcPr>
            <w:tcW w:type="dxa" w:w="170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b/>
                <w:sz w:val="20"/>
              </w:rPr>
              <w:t>PRIORITIZE</w:t>
            </w:r>
          </w:p>
        </w:tc>
        <w:tc>
          <w:tcPr>
            <w:tcW w:type="dxa" w:w="453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Strong internal (δ 0.55) + premium in 6/6 models + 59% headroom + largest modelled gain; beats AI &amp; ML in 95.7% of refits</w:t>
            </w:r>
          </w:p>
        </w:tc>
      </w:tr>
      <w:tr>
        <w:trPr>
          <w:cantSplit/>
        </w:trPr>
        <w:tc>
          <w:tcPr>
            <w:tcW w:type="dxa" w:w="510"/>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2</w:t>
            </w:r>
          </w:p>
        </w:tc>
        <w:tc>
          <w:tcPr>
            <w:tcW w:type="dxa" w:w="249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AI &amp; ML</w:t>
            </w:r>
          </w:p>
        </w:tc>
        <w:tc>
          <w:tcPr>
            <w:tcW w:type="dxa" w:w="170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b/>
                <w:sz w:val="20"/>
              </w:rPr>
              <w:t>PRIORITIZE</w:t>
            </w:r>
          </w:p>
        </w:tc>
        <w:tc>
          <w:tcPr>
            <w:tcW w:type="dxa" w:w="453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Strong internal (δ 0.36, CI 0.19–0.52) + premium in 6/6 models; part of the premium is carried by job titles</w:t>
            </w:r>
          </w:p>
        </w:tc>
      </w:tr>
      <w:tr>
        <w:trPr>
          <w:cantSplit/>
        </w:trPr>
        <w:tc>
          <w:tcPr>
            <w:tcW w:type="dxa" w:w="510"/>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3</w:t>
            </w:r>
          </w:p>
        </w:tc>
        <w:tc>
          <w:tcPr>
            <w:tcW w:type="dxa" w:w="249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Coding</w:t>
            </w:r>
          </w:p>
        </w:tc>
        <w:tc>
          <w:tcPr>
            <w:tcW w:type="dxa" w:w="170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b/>
                <w:sz w:val="20"/>
              </w:rPr>
              <w:t>PRIORITIZE</w:t>
            </w:r>
          </w:p>
        </w:tc>
        <w:tc>
          <w:tcPr>
            <w:tcW w:type="dxa" w:w="453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Strong internal (δ 0.49) + the largest controlled premium (OR 1.52); smaller modelled gain</w:t>
            </w:r>
          </w:p>
        </w:tc>
      </w:tr>
      <w:tr>
        <w:trPr>
          <w:cantSplit/>
        </w:trPr>
        <w:tc>
          <w:tcPr>
            <w:tcW w:type="dxa" w:w="510"/>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4</w:t>
            </w:r>
          </w:p>
        </w:tc>
        <w:tc>
          <w:tcPr>
            <w:tcW w:type="dxa" w:w="249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Dashboards &amp; Storytelling</w:t>
            </w:r>
          </w:p>
        </w:tc>
        <w:tc>
          <w:tcPr>
            <w:tcW w:type="dxa" w:w="170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b/>
                <w:sz w:val="20"/>
              </w:rPr>
              <w:t>INVESTIGATE</w:t>
            </w:r>
          </w:p>
        </w:tc>
        <w:tc>
          <w:tcPr>
            <w:tcW w:type="dxa" w:w="453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Strongest internal (δ 0.59) but market discount, concentrated in MIS/reporting keywords; reframe as analytical communication</w:t>
            </w:r>
          </w:p>
        </w:tc>
      </w:tr>
      <w:tr>
        <w:trPr>
          <w:cantSplit/>
        </w:trPr>
        <w:tc>
          <w:tcPr>
            <w:tcW w:type="dxa" w:w="510"/>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5</w:t>
            </w:r>
          </w:p>
        </w:tc>
        <w:tc>
          <w:tcPr>
            <w:tcW w:type="dxa" w:w="249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Big Data</w:t>
            </w:r>
          </w:p>
        </w:tc>
        <w:tc>
          <w:tcPr>
            <w:tcW w:type="dxa" w:w="170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b/>
                <w:sz w:val="20"/>
              </w:rPr>
              <w:t>MAINTAIN</w:t>
            </w:r>
          </w:p>
        </w:tc>
        <w:tc>
          <w:tcPr>
            <w:tcW w:type="dxa" w:w="453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No significant univariate internal link (δ 0.12); market premium vanishes with experience controls; 82% headroom is not enough on its own</w:t>
            </w:r>
          </w:p>
        </w:tc>
      </w:tr>
    </w:tbl>
    <w:p>
      <w:pPr>
        <w:spacing w:after="40"/>
      </w:pPr>
    </w:p>
    <w:p>
      <w:pPr>
        <w:pStyle w:val="Heading2"/>
      </w:pPr>
      <w:bookmarkStart w:id="42" w:name="h_52Objectivesmet"/>
      <w:r>
        <w:t>5.2 Objectives met</w:t>
      </w:r>
      <w:bookmarkEnd w:id="42"/>
    </w:p>
    <w:p>
      <w:pPr>
        <w:keepNext/>
        <w:spacing w:after="60"/>
      </w:pPr>
      <w:r>
        <w:rPr>
          <w:b/>
          <w:sz w:val="21"/>
        </w:rPr>
        <w:t>Table 30.</w:t>
      </w:r>
      <w:r>
        <w:rPr>
          <w:sz w:val="21"/>
        </w:rPr>
        <w:t xml:space="preserve"> Objectives and results.</w:t>
      </w:r>
    </w:p>
    <w:tbl>
      <w:tblPr>
        <w:tblW w:type="auto" w:w="0"/>
        <w:jc w:val="center"/>
        <w:tblLayout w:type="fixed"/>
        <w:tblLook w:firstColumn="1" w:firstRow="1" w:lastColumn="0" w:lastRow="0" w:noHBand="0" w:noVBand="1" w:val="04A0"/>
      </w:tblPr>
      <w:tblGrid>
        <w:gridCol w:w="567"/>
        <w:gridCol w:w="2268"/>
        <w:gridCol w:w="6406"/>
      </w:tblGrid>
      <w:tr>
        <w:trPr>
          <w:cantSplit/>
          <w:tblHeader/>
        </w:trPr>
        <w:tc>
          <w:tcPr>
            <w:tcW w:type="dxa" w:w="567"/>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w:t>
            </w:r>
          </w:p>
        </w:tc>
        <w:tc>
          <w:tcPr>
            <w:tcW w:type="dxa" w:w="226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Objective</w:t>
            </w:r>
          </w:p>
        </w:tc>
        <w:tc>
          <w:tcPr>
            <w:tcW w:type="dxa" w:w="6406"/>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Result</w:t>
            </w:r>
          </w:p>
        </w:tc>
      </w:tr>
      <w:tr>
        <w:trPr>
          <w:cantSplit/>
        </w:trPr>
        <w:tc>
          <w:tcPr>
            <w:tcW w:type="dxa" w:w="56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O1</w:t>
            </w:r>
          </w:p>
        </w:tc>
        <w:tc>
          <w:tcPr>
            <w:tcW w:type="dxa" w:w="226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Internal separation</w:t>
            </w:r>
          </w:p>
        </w:tc>
        <w:tc>
          <w:tcPr>
            <w:tcW w:type="dxa" w:w="64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4 of 5 capabilities separate high/low hike; Big Data does not (</w:t>
            </w:r>
            <w:hyperlink w:anchor="s41">
              <w:r>
                <w:rPr>
                  <w:color w:val="D9701C"/>
                  <w:u w:val="single"/>
                  <w:sz w:val="20"/>
                </w:rPr>
                <w:t xml:space="preserve">§4.1</w:t>
              </w:r>
            </w:hyperlink>
            <w:r>
              <w:rPr>
                <w:sz w:val="20"/>
              </w:rPr>
              <w:t>)</w:t>
            </w:r>
          </w:p>
        </w:tc>
      </w:tr>
      <w:tr>
        <w:trPr>
          <w:cantSplit/>
        </w:trPr>
        <w:tc>
          <w:tcPr>
            <w:tcW w:type="dxa" w:w="56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O2</w:t>
            </w:r>
          </w:p>
        </w:tc>
        <w:tc>
          <w:tcPr>
            <w:tcW w:type="dxa" w:w="226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Market value</w:t>
            </w:r>
          </w:p>
        </w:tc>
        <w:tc>
          <w:tcPr>
            <w:tcW w:type="dxa" w:w="6406"/>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3 premiums and 1 discount significant in all 6 specs; Big Data significant only unadjusted (1 of 6) (</w:t>
            </w:r>
            <w:hyperlink w:anchor="s44">
              <w:r>
                <w:rPr>
                  <w:color w:val="D9701C"/>
                  <w:u w:val="single"/>
                  <w:sz w:val="20"/>
                </w:rPr>
                <w:t xml:space="preserve">§4.4</w:t>
              </w:r>
            </w:hyperlink>
            <w:r>
              <w:rPr>
                <w:sz w:val="20"/>
              </w:rPr>
              <w:t>)</w:t>
            </w:r>
          </w:p>
        </w:tc>
      </w:tr>
      <w:tr>
        <w:trPr>
          <w:cantSplit/>
        </w:trPr>
        <w:tc>
          <w:tcPr>
            <w:tcW w:type="dxa" w:w="56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O3</w:t>
            </w:r>
          </w:p>
        </w:tc>
        <w:tc>
          <w:tcPr>
            <w:tcW w:type="dxa" w:w="226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Headroom</w:t>
            </w:r>
          </w:p>
        </w:tc>
        <w:tc>
          <w:tcPr>
            <w:tcW w:type="dxa" w:w="64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Measured per capability; E_k with bootstrap CI (</w:t>
            </w:r>
            <w:hyperlink w:anchor="s47">
              <w:r>
                <w:rPr>
                  <w:color w:val="D9701C"/>
                  <w:u w:val="single"/>
                  <w:sz w:val="20"/>
                </w:rPr>
                <w:t xml:space="preserve">§4.7</w:t>
              </w:r>
            </w:hyperlink>
            <w:r>
              <w:rPr>
                <w:sz w:val="20"/>
              </w:rPr>
              <w:t>)</w:t>
            </w:r>
          </w:p>
        </w:tc>
      </w:tr>
      <w:tr>
        <w:trPr>
          <w:cantSplit/>
        </w:trPr>
        <w:tc>
          <w:tcPr>
            <w:tcW w:type="dxa" w:w="56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O4</w:t>
            </w:r>
          </w:p>
        </w:tc>
        <w:tc>
          <w:tcPr>
            <w:tcW w:type="dxa" w:w="226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Auditable decision</w:t>
            </w:r>
          </w:p>
        </w:tc>
        <w:tc>
          <w:tcPr>
            <w:tcW w:type="dxa" w:w="6406"/>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Written rules; winner beats runner-up in 95.7% of refits (threshold 80%); first among funded in 91.3%; 9/9 settings agree</w:t>
            </w:r>
          </w:p>
        </w:tc>
      </w:tr>
      <w:tr>
        <w:trPr>
          <w:cantSplit/>
        </w:trPr>
        <w:tc>
          <w:tcPr>
            <w:tcW w:type="dxa" w:w="56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O5</w:t>
            </w:r>
          </w:p>
        </w:tc>
        <w:tc>
          <w:tcPr>
            <w:tcW w:type="dxa" w:w="226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Read any posting</w:t>
            </w:r>
          </w:p>
        </w:tc>
        <w:tc>
          <w:tcPr>
            <w:tcW w:type="dxa" w:w="6406"/>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44% exact / 85% within-one band; better than experience-only on all metrics</w:t>
            </w:r>
          </w:p>
        </w:tc>
      </w:tr>
      <w:tr>
        <w:trPr>
          <w:cantSplit/>
        </w:trPr>
        <w:tc>
          <w:tcPr>
            <w:tcW w:type="dxa" w:w="56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O6</w:t>
            </w:r>
          </w:p>
        </w:tc>
        <w:tc>
          <w:tcPr>
            <w:tcW w:type="dxa" w:w="226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Bharat gap</w:t>
            </w:r>
          </w:p>
        </w:tc>
        <w:tc>
          <w:tcPr>
            <w:tcW w:type="dxa" w:w="6406"/>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Tier-2/3: 6.7% of data-role postings; 29% vs 51% reach 10 LPA</w:t>
            </w:r>
          </w:p>
        </w:tc>
      </w:tr>
    </w:tbl>
    <w:p>
      <w:pPr>
        <w:spacing w:after="40"/>
      </w:pPr>
    </w:p>
    <w:p>
      <w:pPr>
        <w:pStyle w:val="Heading2"/>
      </w:pPr>
      <w:bookmarkStart w:id="43" w:name="h_53Hypotheses"/>
      <w:r>
        <w:t>5.3 Hypotheses</w:t>
      </w:r>
      <w:bookmarkEnd w:id="43"/>
    </w:p>
    <w:p>
      <w:pPr>
        <w:keepNext/>
        <w:spacing w:after="60"/>
      </w:pPr>
      <w:r>
        <w:rPr>
          <w:b/>
          <w:sz w:val="21"/>
        </w:rPr>
        <w:t>Table 31.</w:t>
      </w:r>
      <w:r>
        <w:rPr>
          <w:sz w:val="21"/>
        </w:rPr>
        <w:t xml:space="preserve"> Hypotheses and outcomes.</w:t>
      </w:r>
    </w:p>
    <w:tbl>
      <w:tblPr>
        <w:tblW w:type="auto" w:w="0"/>
        <w:jc w:val="center"/>
        <w:tblLayout w:type="fixed"/>
        <w:tblLook w:firstColumn="1" w:firstRow="1" w:lastColumn="0" w:lastRow="0" w:noHBand="0" w:noVBand="1" w:val="04A0"/>
      </w:tblPr>
      <w:tblGrid>
        <w:gridCol w:w="3175"/>
        <w:gridCol w:w="1701"/>
        <w:gridCol w:w="4365"/>
      </w:tblGrid>
      <w:tr>
        <w:trPr>
          <w:cantSplit/>
          <w:tblHeader/>
        </w:trPr>
        <w:tc>
          <w:tcPr>
            <w:tcW w:type="dxa" w:w="3175"/>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Hypothesis</w:t>
            </w:r>
          </w:p>
        </w:tc>
        <w:tc>
          <w:tcPr>
            <w:tcW w:type="dxa" w:w="170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Outcome</w:t>
            </w:r>
          </w:p>
        </w:tc>
        <w:tc>
          <w:tcPr>
            <w:tcW w:type="dxa" w:w="4365"/>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Evidence</w:t>
            </w:r>
          </w:p>
        </w:tc>
      </w:tr>
      <w:tr>
        <w:trPr>
          <w:cantSplit/>
        </w:trPr>
        <w:tc>
          <w:tcPr>
            <w:tcW w:type="dxa" w:w="317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H1 Internal strength = market premium</w:t>
            </w:r>
          </w:p>
        </w:tc>
        <w:tc>
          <w:tcPr>
            <w:tcW w:type="dxa" w:w="170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b/>
                <w:sz w:val="20"/>
              </w:rPr>
              <w:t>Partly supported</w:t>
            </w:r>
          </w:p>
        </w:tc>
        <w:tc>
          <w:tcPr>
            <w:tcW w:type="dxa" w:w="436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True for Maths, Coding, AI &amp; ML; not for Storytelling (OR 0.75)</w:t>
            </w:r>
          </w:p>
        </w:tc>
      </w:tr>
      <w:tr>
        <w:trPr>
          <w:cantSplit/>
        </w:trPr>
        <w:tc>
          <w:tcPr>
            <w:tcW w:type="dxa" w:w="317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H2 Big Data separates performers</w:t>
            </w:r>
          </w:p>
        </w:tc>
        <w:tc>
          <w:tcPr>
            <w:tcW w:type="dxa" w:w="170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b/>
                <w:sz w:val="20"/>
              </w:rPr>
              <w:t>Not supported</w:t>
            </w:r>
          </w:p>
        </w:tc>
        <w:tc>
          <w:tcPr>
            <w:tcW w:type="dxa" w:w="436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δ 0.12, CI crosses 0, Holm p 0.22 (positive only conditionally, in T1)</w:t>
            </w:r>
          </w:p>
        </w:tc>
      </w:tr>
      <w:tr>
        <w:trPr>
          <w:cantSplit/>
        </w:trPr>
        <w:tc>
          <w:tcPr>
            <w:tcW w:type="dxa" w:w="317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H3 Posting text predicts salary band</w:t>
            </w:r>
          </w:p>
        </w:tc>
        <w:tc>
          <w:tcPr>
            <w:tcW w:type="dxa" w:w="170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b/>
                <w:sz w:val="20"/>
              </w:rPr>
              <w:t>Supported</w:t>
            </w:r>
          </w:p>
        </w:tc>
        <w:tc>
          <w:tcPr>
            <w:tcW w:type="dxa" w:w="436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κ 0.719 vs 0.655 (experience-only); exact 44.4% vs 38.3%</w:t>
            </w:r>
          </w:p>
        </w:tc>
      </w:tr>
      <w:tr>
        <w:trPr>
          <w:cantSplit/>
        </w:trPr>
        <w:tc>
          <w:tcPr>
            <w:tcW w:type="dxa" w:w="317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H4 Seniority premium is consistent</w:t>
            </w:r>
          </w:p>
        </w:tc>
        <w:tc>
          <w:tcPr>
            <w:tcW w:type="dxa" w:w="170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b/>
                <w:sz w:val="20"/>
              </w:rPr>
              <w:t>Supported</w:t>
            </w:r>
          </w:p>
        </w:tc>
        <w:tc>
          <w:tcPr>
            <w:tcW w:type="dxa" w:w="436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1.43–1.58× in 95–97% of paired comparisons</w:t>
            </w:r>
          </w:p>
        </w:tc>
      </w:tr>
      <w:tr>
        <w:trPr>
          <w:cantSplit/>
        </w:trPr>
        <w:tc>
          <w:tcPr>
            <w:tcW w:type="dxa" w:w="317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H5 Personality separates senior success</w:t>
            </w:r>
          </w:p>
        </w:tc>
        <w:tc>
          <w:tcPr>
            <w:tcW w:type="dxa" w:w="170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b/>
                <w:sz w:val="20"/>
              </w:rPr>
              <w:t>Supported</w:t>
            </w:r>
          </w:p>
        </w:tc>
        <w:tc>
          <w:tcPr>
            <w:tcW w:type="dxa" w:w="436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Openness δ 0.77, conscientiousness 0.76; AUC 0.96</w:t>
            </w:r>
          </w:p>
        </w:tc>
      </w:tr>
    </w:tbl>
    <w:p>
      <w:pPr>
        <w:spacing w:after="40"/>
      </w:pPr>
    </w:p>
    <w:p>
      <w:pPr>
        <w:pStyle w:val="Heading2"/>
      </w:pPr>
      <w:bookmarkStart w:id="44" w:name="h_54Conclusions"/>
      <w:r>
        <w:t>5.4 Conclusions</w:t>
      </w:r>
      <w:bookmarkEnd w:id="44"/>
    </w:p>
    <w:p>
      <w:pPr>
        <w:pStyle w:val="ListNumber"/>
      </w:pPr>
      <w:r>
        <w:rPr>
          <w:b/>
        </w:rPr>
        <w:t>Evidence beats intuition, and disagreement is information.</w:t>
      </w:r>
      <w:r>
        <w:t xml:space="preserve"> The single most useful finding — the Storytelling paradox — exists only because the signals were not averaged.</w:t>
      </w:r>
    </w:p>
    <w:p>
      <w:pPr>
        <w:pStyle w:val="ListNumber"/>
      </w:pPr>
      <w:r>
        <w:rPr>
          <w:b/>
        </w:rPr>
        <w:t>Maths &amp; Statistics is the best-supported investment</w:t>
      </w:r>
      <w:r>
        <w:t xml:space="preserve"> for junior data scientists: strong internally, a premium in every market model, the largest modelled gain, and first under every sensitivity setting we tried.</w:t>
      </w:r>
    </w:p>
    <w:p>
      <w:pPr>
        <w:pStyle w:val="ListNumber"/>
      </w:pPr>
      <w:r>
        <w:rPr>
          <w:b/>
        </w:rPr>
        <w:t>Unadjusted signals mislead.</w:t>
      </w:r>
      <w:r>
        <w:t xml:space="preserve"> Big Data looks valuable in raw postings (OR 1.77) but the premium loses significance once experience is controlled, and it does not separate performers on its own.</w:t>
      </w:r>
    </w:p>
    <w:p>
      <w:pPr>
        <w:pStyle w:val="ListNumber"/>
      </w:pPr>
      <w:r>
        <w:rPr>
          <w:b/>
        </w:rPr>
        <w:t>Students should be shown distributions, not promises.</w:t>
      </w:r>
      <w:r>
        <w:t xml:space="preserve"> A posting's title and skills predict its salary band usefully but imperfectly.</w:t>
      </w:r>
    </w:p>
    <w:p>
      <w:pPr>
        <w:pStyle w:val="ListNumber"/>
      </w:pPr>
      <w:r>
        <w:rPr>
          <w:b/>
        </w:rPr>
        <w:t>Opportunity is unevenly distributed across Bharat:</w:t>
      </w:r>
      <w:r>
        <w:t xml:space="preserve"> Tier-2/3 data-role postings reach 10 LPA about half as often as Tier-1 postings, and lean toward MIS/reporting work rather than statistics, coding and AI &amp; ML.</w:t>
      </w:r>
    </w:p>
    <w:p>
      <w:pPr>
        <w:pStyle w:val="Heading1"/>
      </w:pPr>
      <w:bookmarkStart w:id="45" w:name="s6"/>
      <w:r>
        <w:t>6. Implications</w:t>
      </w:r>
      <w:bookmarkEnd w:id="45"/>
    </w:p>
    <w:tbl>
      <w:tblPr>
        <w:tblW w:type="auto" w:w="0"/>
        <w:jc w:val="center"/>
        <w:tblLook w:firstColumn="1" w:firstRow="1" w:lastColumn="0" w:lastRow="0" w:noHBand="0" w:noVBand="1" w:val="04A0"/>
      </w:tblPr>
      <w:tblGrid>
        <w:gridCol w:w="9298"/>
      </w:tblGrid>
      <w:tr>
        <w:trPr>
          <w:cantSplit/>
        </w:trPr>
        <w:tc>
          <w:tcPr>
            <w:tcW w:type="dxa" w:w="9298"/>
            <w:tcBorders>
              <w:top w:val="nil"/>
              <w:start w:val="single" w:sz="24" w:color="D9701C"/>
              <w:bottom w:val="nil"/>
              <w:end w:val="nil"/>
            </w:tcBorders>
            <w:shd w:val="clear" w:color="auto" w:fill="FDF3E8"/>
            <w:tcMar>
              <w:top w:w="120" w:type="dxa"/>
              <w:start w:w="200" w:type="dxa"/>
              <w:bottom w:w="120" w:type="dxa"/>
              <w:end w:w="200" w:type="dxa"/>
            </w:tcMar>
          </w:tcPr>
          <w:p>
            <w:pPr>
              <w:spacing w:after="40"/>
            </w:pPr>
            <w:r>
              <w:rPr>
                <w:b/>
                <w:color w:val="D9701C"/>
                <w:sz w:val="19"/>
              </w:rPr>
              <w:t>IN ONE LINE</w:t>
            </w:r>
          </w:p>
          <w:p>
            <w:pPr>
              <w:spacing w:after="40"/>
            </w:pPr>
            <w:r>
              <w:rPr>
                <w:sz w:val="23"/>
              </w:rPr>
              <w:t>The same evidence engine serves the organisation that funds skills, the student who learns them and the employee who lives with the job.</w:t>
            </w:r>
          </w:p>
        </w:tc>
      </w:tr>
    </w:tbl>
    <w:p>
      <w:pPr>
        <w:spacing w:after="0"/>
      </w:pPr>
    </w:p>
    <w:p>
      <w:pPr>
        <w:pStyle w:val="Heading2"/>
      </w:pPr>
      <w:bookmarkStart w:id="46" w:name="h_61Foreachstakeholder"/>
      <w:r>
        <w:t>6.1 For each stakeholder</w:t>
      </w:r>
      <w:bookmarkEnd w:id="46"/>
    </w:p>
    <w:p>
      <w:pPr>
        <w:keepNext/>
        <w:spacing w:after="60"/>
      </w:pPr>
      <w:r>
        <w:rPr>
          <w:b/>
          <w:sz w:val="21"/>
        </w:rPr>
        <w:t>Table 32.</w:t>
      </w:r>
      <w:r>
        <w:rPr>
          <w:sz w:val="21"/>
        </w:rPr>
        <w:t xml:space="preserve"> Implications for each stakeholder.</w:t>
      </w:r>
    </w:p>
    <w:tbl>
      <w:tblPr>
        <w:tblW w:type="auto" w:w="0"/>
        <w:jc w:val="center"/>
        <w:tblLayout w:type="fixed"/>
        <w:tblLook w:firstColumn="1" w:firstRow="1" w:lastColumn="0" w:lastRow="0" w:noHBand="0" w:noVBand="1" w:val="04A0"/>
      </w:tblPr>
      <w:tblGrid>
        <w:gridCol w:w="1814"/>
        <w:gridCol w:w="4309"/>
        <w:gridCol w:w="3118"/>
      </w:tblGrid>
      <w:tr>
        <w:trPr>
          <w:cantSplit/>
          <w:tblHeader/>
        </w:trPr>
        <w:tc>
          <w:tcPr>
            <w:tcW w:type="dxa" w:w="181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Stakeholder</w:t>
            </w:r>
          </w:p>
        </w:tc>
        <w:tc>
          <w:tcPr>
            <w:tcW w:type="dxa" w:w="4309"/>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Implication</w:t>
            </w:r>
          </w:p>
        </w:tc>
        <w:tc>
          <w:tcPr>
            <w:tcW w:type="dxa" w:w="311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Action this week</w:t>
            </w:r>
          </w:p>
        </w:tc>
      </w:tr>
      <w:tr>
        <w:trPr>
          <w:cantSplit/>
        </w:trPr>
        <w:tc>
          <w:tcPr>
            <w:tcW w:type="dxa" w:w="181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L&amp;D head</w:t>
            </w:r>
          </w:p>
        </w:tc>
        <w:tc>
          <w:tcPr>
            <w:tcW w:type="dxa" w:w="4309"/>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Make Maths &amp; Statistics the first candidate for the next training budget, and measure the result; redesign Storytelling training around analytical narrative, not MIS reports</w:t>
            </w:r>
          </w:p>
        </w:tc>
        <w:tc>
          <w:tcPr>
            <w:tcW w:type="dxa" w:w="311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Run NEXUS DECISION on your own skills data; review any ties with the team</w:t>
            </w:r>
          </w:p>
        </w:tc>
      </w:tr>
      <w:tr>
        <w:trPr>
          <w:cantSplit/>
        </w:trPr>
        <w:tc>
          <w:tcPr>
            <w:tcW w:type="dxa" w:w="181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Student</w:t>
            </w:r>
          </w:p>
        </w:tc>
        <w:tc>
          <w:tcPr>
            <w:tcW w:type="dxa" w:w="4309"/>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Learn statistics first; build real AI &amp; ML and coding skill rather than chasing titles (part of the AI &amp; ML premium is carried by job titles); be cautious about MIS-only roles if pay matters</w:t>
            </w:r>
          </w:p>
        </w:tc>
        <w:tc>
          <w:tcPr>
            <w:tcW w:type="dxa" w:w="311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Scan three target job descriptions; follow the priority tiers</w:t>
            </w:r>
          </w:p>
        </w:tc>
      </w:tr>
      <w:tr>
        <w:trPr>
          <w:cantSplit/>
        </w:trPr>
        <w:tc>
          <w:tcPr>
            <w:tcW w:type="dxa" w:w="181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University placement cell</w:t>
            </w:r>
          </w:p>
        </w:tc>
        <w:tc>
          <w:tcPr>
            <w:tcW w:type="dxa" w:w="4309"/>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Add applied statistics and communication-of-analysis to the curriculum</w:t>
            </w:r>
          </w:p>
        </w:tc>
        <w:tc>
          <w:tcPr>
            <w:tcW w:type="dxa" w:w="311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Map courses to the five capabilities; track by role</w:t>
            </w:r>
          </w:p>
        </w:tc>
      </w:tr>
      <w:tr>
        <w:trPr>
          <w:cantSplit/>
        </w:trPr>
        <w:tc>
          <w:tcPr>
            <w:tcW w:type="dxa" w:w="181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Hiring manager</w:t>
            </w:r>
          </w:p>
        </w:tc>
        <w:tc>
          <w:tcPr>
            <w:tcW w:type="dxa" w:w="4309"/>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Write job descriptions that match the real work; the market already prices titles</w:t>
            </w:r>
          </w:p>
        </w:tc>
        <w:tc>
          <w:tcPr>
            <w:tcW w:type="dxa" w:w="311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Use Work DNA questions in interviews — as discussion, never as a filter</w:t>
            </w:r>
          </w:p>
        </w:tc>
      </w:tr>
      <w:tr>
        <w:trPr>
          <w:cantSplit/>
        </w:trPr>
        <w:tc>
          <w:tcPr>
            <w:tcW w:type="dxa" w:w="181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Employee</w:t>
            </w:r>
          </w:p>
        </w:tc>
        <w:tc>
          <w:tcPr>
            <w:tcW w:type="dxa" w:w="4309"/>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Rate how the work really is, anonymously, so the next candidate knows</w:t>
            </w:r>
          </w:p>
        </w:tc>
        <w:tc>
          <w:tcPr>
            <w:tcW w:type="dxa" w:w="311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Join with an invite code; nothing is shown until 5 responses exist</w:t>
            </w:r>
          </w:p>
        </w:tc>
      </w:tr>
      <w:tr>
        <w:trPr>
          <w:cantSplit/>
        </w:trPr>
        <w:tc>
          <w:tcPr>
            <w:tcW w:type="dxa" w:w="181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Bharat / policy</w:t>
            </w:r>
          </w:p>
        </w:tc>
        <w:tc>
          <w:tcPr>
            <w:tcW w:type="dxa" w:w="4309"/>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29% of Tier-2/3 data-role postings reach 10 LPA vs 51% in Tier-1</w:t>
            </w:r>
          </w:p>
        </w:tc>
        <w:tc>
          <w:tcPr>
            <w:tcW w:type="dxa" w:w="311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Expand applied statistics and coding programmes outside metros</w:t>
            </w:r>
          </w:p>
        </w:tc>
      </w:tr>
    </w:tbl>
    <w:p>
      <w:pPr>
        <w:spacing w:after="40"/>
      </w:pPr>
    </w:p>
    <w:p>
      <w:pPr>
        <w:pStyle w:val="Heading2"/>
      </w:pPr>
      <w:bookmarkStart w:id="47" w:name="h_62Fromanalysistoproduct"/>
      <w:r>
        <w:t>6.2 From analysis to product</w:t>
      </w:r>
      <w:bookmarkEnd w:id="47"/>
    </w:p>
    <w:p>
      <w:pPr>
        <w:jc w:val="both"/>
      </w:pPr>
      <w:r>
        <w:t>NEXUS DELTA is not a report that ends here. The analysis drives a working, offline Streamlit application (</w:t>
      </w:r>
      <w:hyperlink r:id="rId11">
        <w:r>
          <w:rPr>
            <w:color w:val="D9701C"/>
            <w:u w:val="single"/>
          </w:rPr>
          <w:t xml:space="preserve">source</w:t>
        </w:r>
      </w:hyperlink>
      <w:r>
        <w:t xml:space="preserve">) with three lenses: </w:t>
      </w:r>
      <w:r>
        <w:rPr>
          <w:b/>
        </w:rPr>
        <w:t>Organisation</w:t>
      </w:r>
      <w:r>
        <w:t xml:space="preserve"> (Evidence Convergence and NEXUS DECISION), </w:t>
      </w:r>
      <w:r>
        <w:rPr>
          <w:b/>
        </w:rPr>
        <w:t>Student</w:t>
      </w:r>
      <w:r>
        <w:t xml:space="preserve"> (career priorities and a JD scanner) and </w:t>
      </w:r>
      <w:r>
        <w:rPr>
          <w:b/>
        </w:rPr>
        <w:t>Fit</w:t>
      </w:r>
      <w:r>
        <w:t xml:space="preserve"> (Work DNA and employee-reported culture — proposed instruments, not yet validated). Every number in the app carries a provenance badge — source file, notebook, method and limitation.</w:t>
      </w:r>
    </w:p>
    <w:p>
      <w:pPr>
        <w:keepNext/>
        <w:spacing w:after="40"/>
        <w:jc w:val="center"/>
      </w:pPr>
      <w:r>
        <w:drawing>
          <wp:inline xmlns:a="http://schemas.openxmlformats.org/drawingml/2006/main" xmlns:pic="http://schemas.openxmlformats.org/drawingml/2006/picture">
            <wp:extent cx="5580000" cy="3487500"/>
            <wp:docPr id="14" name="Picture 14"/>
            <wp:cNvGraphicFramePr>
              <a:graphicFrameLocks noChangeAspect="1"/>
            </wp:cNvGraphicFramePr>
            <a:graphic>
              <a:graphicData uri="http://schemas.openxmlformats.org/drawingml/2006/picture">
                <pic:pic>
                  <pic:nvPicPr>
                    <pic:cNvPr id="0" name="x_overview.png"/>
                    <pic:cNvPicPr/>
                  </pic:nvPicPr>
                  <pic:blipFill>
                    <a:blip r:embed="rId33"/>
                    <a:stretch>
                      <a:fillRect/>
                    </a:stretch>
                  </pic:blipFill>
                  <pic:spPr>
                    <a:xfrm>
                      <a:off x="0" y="0"/>
                      <a:ext cx="5580000" cy="3487500"/>
                    </a:xfrm>
                    <a:prstGeom prst="rect"/>
                  </pic:spPr>
                </pic:pic>
              </a:graphicData>
            </a:graphic>
          </wp:inline>
        </w:drawing>
      </w:r>
    </w:p>
    <w:p>
      <w:pPr>
        <w:jc w:val="center"/>
      </w:pPr>
      <w:r>
        <w:rPr>
          <w:b/>
          <w:color w:val="5B6780"/>
          <w:sz w:val="21"/>
        </w:rPr>
        <w:t>Figure 13.</w:t>
      </w:r>
      <w:r>
        <w:rPr>
          <w:color w:val="5B6780"/>
          <w:sz w:val="21"/>
        </w:rPr>
        <w:t xml:space="preserve"> NEXUS DELTA — overview: decision ranking with a ‘Why?’ for every capability.</w:t>
      </w:r>
    </w:p>
    <w:p>
      <w:pPr>
        <w:keepNext/>
        <w:spacing w:after="40"/>
        <w:jc w:val="center"/>
      </w:pPr>
      <w:r>
        <w:drawing>
          <wp:inline xmlns:a="http://schemas.openxmlformats.org/drawingml/2006/main" xmlns:pic="http://schemas.openxmlformats.org/drawingml/2006/picture">
            <wp:extent cx="5580000" cy="3487500"/>
            <wp:docPr id="15" name="Picture 15"/>
            <wp:cNvGraphicFramePr>
              <a:graphicFrameLocks noChangeAspect="1"/>
            </wp:cNvGraphicFramePr>
            <a:graphic>
              <a:graphicData uri="http://schemas.openxmlformats.org/drawingml/2006/picture">
                <pic:pic>
                  <pic:nvPicPr>
                    <pic:cNvPr id="0" name="x_decision.png"/>
                    <pic:cNvPicPr/>
                  </pic:nvPicPr>
                  <pic:blipFill>
                    <a:blip r:embed="rId34"/>
                    <a:stretch>
                      <a:fillRect/>
                    </a:stretch>
                  </pic:blipFill>
                  <pic:spPr>
                    <a:xfrm>
                      <a:off x="0" y="0"/>
                      <a:ext cx="5580000" cy="3487500"/>
                    </a:xfrm>
                    <a:prstGeom prst="rect"/>
                  </pic:spPr>
                </pic:pic>
              </a:graphicData>
            </a:graphic>
          </wp:inline>
        </w:drawing>
      </w:r>
    </w:p>
    <w:p>
      <w:pPr>
        <w:jc w:val="center"/>
      </w:pPr>
      <w:r>
        <w:rPr>
          <w:b/>
          <w:color w:val="5B6780"/>
          <w:sz w:val="21"/>
        </w:rPr>
        <w:t>Figure 14.</w:t>
      </w:r>
      <w:r>
        <w:rPr>
          <w:color w:val="5B6780"/>
          <w:sz w:val="21"/>
        </w:rPr>
        <w:t xml:space="preserve"> NEXUS DECISION screen — the same result as §5.1, with evidence levels and confidence.</w:t>
      </w:r>
    </w:p>
    <w:p>
      <w:pPr>
        <w:pStyle w:val="Heading2"/>
      </w:pPr>
      <w:bookmarkStart w:id="48" w:name="h_63Responsibleusebuiltin"/>
      <w:r>
        <w:t>6.3 Responsible use, built in</w:t>
      </w:r>
      <w:bookmarkEnd w:id="48"/>
    </w:p>
    <w:p>
      <w:pPr>
        <w:pStyle w:val="ListBullet"/>
      </w:pPr>
      <w:r>
        <w:rPr>
          <w:b/>
        </w:rPr>
        <w:t>No fake joins, no fake salaries, no fake companies.</w:t>
      </w:r>
      <w:r>
        <w:t xml:space="preserve"> Simulated demo data is labelled SIMULATED on every screen.</w:t>
      </w:r>
    </w:p>
    <w:p>
      <w:pPr>
        <w:pStyle w:val="ListBullet"/>
      </w:pPr>
      <w:r>
        <w:rPr>
          <w:b/>
        </w:rPr>
        <w:t>Every output carries a label:</w:t>
      </w:r>
      <w:r>
        <w:t xml:space="preserve"> OBSERVED, DERIVED, INFERRED, PROPOSED or SIMULATED.</w:t>
      </w:r>
    </w:p>
    <w:p>
      <w:pPr>
        <w:pStyle w:val="ListBullet"/>
      </w:pPr>
      <w:r>
        <w:rPr>
          <w:b/>
        </w:rPr>
        <w:t>No automatic hiring or rejection.</w:t>
      </w:r>
      <w:r>
        <w:t xml:space="preserve"> Organisation views are discussion prompts; a human decides.</w:t>
      </w:r>
    </w:p>
    <w:p>
      <w:pPr>
        <w:pStyle w:val="ListBullet"/>
      </w:pPr>
      <w:r>
        <w:rPr>
          <w:b/>
        </w:rPr>
        <w:t>Privacy by design:</w:t>
      </w:r>
      <w:r>
        <w:t xml:space="preserve"> passwords hashed with scrypt; records encrypted with AES-256-GCM; employee culture answers stored without any user ID and shown only after 5 responses (a minimum group size).</w:t>
      </w:r>
    </w:p>
    <w:p>
      <w:pPr>
        <w:pStyle w:val="ListBullet"/>
      </w:pPr>
      <w:r>
        <w:rPr>
          <w:b/>
        </w:rPr>
        <w:t>Optional means optional:</w:t>
      </w:r>
      <w:r>
        <w:t xml:space="preserve"> the emotional-intelligence questionnaire can be skipped and never enters any score.</w:t>
      </w:r>
    </w:p>
    <w:p>
      <w:pPr>
        <w:pStyle w:val="Heading2"/>
      </w:pPr>
      <w:bookmarkStart w:id="49" w:name="h_64Limitationsandnextsteps"/>
      <w:r>
        <w:t>6.4 Limitations and next steps</w:t>
      </w:r>
      <w:bookmarkEnd w:id="49"/>
    </w:p>
    <w:p>
      <w:pPr>
        <w:keepNext/>
        <w:spacing w:after="60"/>
      </w:pPr>
      <w:r>
        <w:rPr>
          <w:b/>
          <w:sz w:val="21"/>
        </w:rPr>
        <w:t>Table 33.</w:t>
      </w:r>
      <w:r>
        <w:rPr>
          <w:sz w:val="21"/>
        </w:rPr>
        <w:t xml:space="preserve"> Limitations and next steps.</w:t>
      </w:r>
    </w:p>
    <w:tbl>
      <w:tblPr>
        <w:tblW w:type="auto" w:w="0"/>
        <w:jc w:val="center"/>
        <w:tblLayout w:type="fixed"/>
        <w:tblLook w:firstColumn="1" w:firstRow="1" w:lastColumn="0" w:lastRow="0" w:noHBand="0" w:noVBand="1" w:val="04A0"/>
      </w:tblPr>
      <w:tblGrid>
        <w:gridCol w:w="2835"/>
        <w:gridCol w:w="2608"/>
        <w:gridCol w:w="3798"/>
      </w:tblGrid>
      <w:tr>
        <w:trPr>
          <w:cantSplit/>
          <w:tblHeader/>
        </w:trPr>
        <w:tc>
          <w:tcPr>
            <w:tcW w:type="dxa" w:w="2835"/>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Limitation</w:t>
            </w:r>
          </w:p>
        </w:tc>
        <w:tc>
          <w:tcPr>
            <w:tcW w:type="dxa" w:w="260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Effect</w:t>
            </w:r>
          </w:p>
        </w:tc>
        <w:tc>
          <w:tcPr>
            <w:tcW w:type="dxa" w:w="379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9"/>
              </w:rPr>
              <w:t>Next step</w:t>
            </w:r>
          </w:p>
        </w:tc>
      </w:tr>
      <w:tr>
        <w:trPr>
          <w:cantSplit/>
        </w:trPr>
        <w:tc>
          <w:tcPr>
            <w:tcW w:type="dxa" w:w="283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JDS is one company, n = 139</w:t>
            </w:r>
          </w:p>
        </w:tc>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Internal evidence may not generalise</w:t>
            </w:r>
          </w:p>
        </w:tc>
        <w:tc>
          <w:tcPr>
            <w:tcW w:type="dxa" w:w="379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Multi-company skills data; re-run NB02–03</w:t>
            </w:r>
          </w:p>
        </w:tc>
      </w:tr>
      <w:tr>
        <w:trPr>
          <w:cantSplit/>
        </w:trPr>
        <w:tc>
          <w:tcPr>
            <w:tcW w:type="dxa" w:w="283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All evidence is associational</w:t>
            </w:r>
          </w:p>
        </w:tc>
        <w:tc>
          <w:tcPr>
            <w:tcW w:type="dxa" w:w="260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Cannot claim a skill causes a hike</w:t>
            </w:r>
          </w:p>
        </w:tc>
        <w:tc>
          <w:tcPr>
            <w:tcW w:type="dxa" w:w="379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Pilot training cohort with a comparison group</w:t>
            </w:r>
          </w:p>
        </w:tc>
      </w:tr>
      <w:tr>
        <w:trPr>
          <w:cantSplit/>
        </w:trPr>
        <w:tc>
          <w:tcPr>
            <w:tcW w:type="dxa" w:w="283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87% of skills fields truncated</w:t>
            </w:r>
          </w:p>
        </w:tc>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Under-detects skills</w:t>
            </w:r>
          </w:p>
        </w:tc>
        <w:tc>
          <w:tcPr>
            <w:tcW w:type="dxa" w:w="379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Full-text postings; hand-audited taxonomy sample</w:t>
            </w:r>
          </w:p>
        </w:tc>
      </w:tr>
      <w:tr>
        <w:trPr>
          <w:cantSplit/>
        </w:trPr>
        <w:tc>
          <w:tcPr>
            <w:tcW w:type="dxa" w:w="283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Salary only in bands</w:t>
            </w:r>
          </w:p>
        </w:tc>
        <w:tc>
          <w:tcPr>
            <w:tcW w:type="dxa" w:w="260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No exact pay modelling</w:t>
            </w:r>
          </w:p>
        </w:tc>
        <w:tc>
          <w:tcPr>
            <w:tcW w:type="dxa" w:w="379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Band distributions retained in product</w:t>
            </w:r>
          </w:p>
        </w:tc>
      </w:tr>
      <w:tr>
        <w:trPr>
          <w:cantSplit/>
        </w:trPr>
        <w:tc>
          <w:tcPr>
            <w:tcW w:type="dxa" w:w="283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Work DNA and culture survey not validated</w:t>
            </w:r>
          </w:p>
        </w:tc>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Fit scores are indicative</w:t>
            </w:r>
          </w:p>
        </w:tc>
        <w:tc>
          <w:tcPr>
            <w:tcW w:type="dxa" w:w="379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Validate against retention with a partner employer</w:t>
            </w:r>
          </w:p>
        </w:tc>
      </w:tr>
      <w:tr>
        <w:trPr>
          <w:cantSplit/>
        </w:trPr>
        <w:tc>
          <w:tcPr>
            <w:tcW w:type="dxa" w:w="283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E_k computed in-sample</w:t>
            </w:r>
          </w:p>
        </w:tc>
        <w:tc>
          <w:tcPr>
            <w:tcW w:type="dxa" w:w="260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Optimistic gain estimates</w:t>
            </w:r>
          </w:p>
        </w:tc>
        <w:tc>
          <w:tcPr>
            <w:tcW w:type="dxa" w:w="379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Out-of-sample estimation with a larger cohort</w:t>
            </w:r>
          </w:p>
        </w:tc>
      </w:tr>
      <w:tr>
        <w:trPr>
          <w:cantSplit/>
        </w:trPr>
        <w:tc>
          <w:tcPr>
            <w:tcW w:type="dxa" w:w="2835"/>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Six specifications not jointly corrected</w:t>
            </w:r>
          </w:p>
        </w:tc>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Some risk of selective reading</w:t>
            </w:r>
          </w:p>
        </w:tc>
        <w:tc>
          <w:tcPr>
            <w:tcW w:type="dxa" w:w="379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9"/>
              </w:rPr>
              <w:t>The rule needs a premium in both S5 and S6; all three premiums are in fact significant in all six</w:t>
            </w:r>
          </w:p>
        </w:tc>
      </w:tr>
      <w:tr>
        <w:trPr>
          <w:cantSplit/>
        </w:trPr>
        <w:tc>
          <w:tcPr>
            <w:tcW w:type="dxa" w:w="2835"/>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SAS mirror not executed</w:t>
            </w:r>
          </w:p>
        </w:tc>
        <w:tc>
          <w:tcPr>
            <w:tcW w:type="dxa" w:w="260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SAS results not shown</w:t>
            </w:r>
          </w:p>
        </w:tc>
        <w:tc>
          <w:tcPr>
            <w:tcW w:type="dxa" w:w="379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9"/>
              </w:rPr>
              <w:t>Run in SAS VFL; compare with Python outputs</w:t>
            </w:r>
          </w:p>
        </w:tc>
      </w:tr>
    </w:tbl>
    <w:p>
      <w:pPr>
        <w:spacing w:after="40"/>
      </w:pPr>
    </w:p>
    <w:p>
      <w:pPr>
        <w:pStyle w:val="Heading2"/>
      </w:pPr>
      <w:bookmarkStart w:id="50" w:name="h_65Closing"/>
      <w:r>
        <w:t>6.5 Closing</w:t>
      </w:r>
      <w:bookmarkEnd w:id="50"/>
    </w:p>
    <w:tbl>
      <w:tblPr>
        <w:tblW w:type="auto" w:w="0"/>
        <w:jc w:val="center"/>
        <w:tblLook w:firstColumn="1" w:firstRow="1" w:lastColumn="0" w:lastRow="0" w:noHBand="0" w:noVBand="1" w:val="04A0"/>
      </w:tblPr>
      <w:tblGrid>
        <w:gridCol w:w="9298"/>
      </w:tblGrid>
      <w:tr>
        <w:trPr>
          <w:cantSplit/>
        </w:trPr>
        <w:tc>
          <w:tcPr>
            <w:tcW w:type="dxa" w:w="9298"/>
            <w:tcBorders>
              <w:top w:val="nil"/>
              <w:start w:val="single" w:sz="24" w:color="0B1730"/>
              <w:bottom w:val="nil"/>
              <w:end w:val="nil"/>
            </w:tcBorders>
            <w:shd w:val="clear" w:color="auto" w:fill="EEF1F6"/>
            <w:tcMar>
              <w:top w:w="120" w:type="dxa"/>
              <w:start w:w="200" w:type="dxa"/>
              <w:bottom w:w="120" w:type="dxa"/>
              <w:end w:w="200" w:type="dxa"/>
            </w:tcMar>
          </w:tcPr>
          <w:p>
            <w:pPr>
              <w:spacing w:after="40"/>
            </w:pPr>
            <w:r>
              <w:rPr>
                <w:b/>
                <w:color w:val="0B1730"/>
                <w:sz w:val="19"/>
              </w:rPr>
              <w:t>EVIDENCE, NOT OPINION</w:t>
            </w:r>
          </w:p>
          <w:p>
            <w:pPr>
              <w:spacing w:after="40"/>
            </w:pPr>
            <w:r>
              <w:rPr>
                <w:sz w:val="23"/>
              </w:rPr>
              <w:t>We started with a zero: no shared IDs, so no shortcuts.</w:t>
            </w:r>
          </w:p>
          <w:p>
            <w:pPr>
              <w:spacing w:after="40"/>
            </w:pPr>
            <w:r>
              <w:rPr>
                <w:sz w:val="23"/>
              </w:rPr>
              <w:t xml:space="preserve">We end with one decision, stated with its confidence: </w:t>
            </w:r>
            <w:r>
              <w:rPr>
                <w:b/>
                <w:sz w:val="23"/>
              </w:rPr>
              <w:t>Maths &amp; Statistics — PRIORITIZE — first among funded capabilities in 91.3% of refits.</w:t>
            </w:r>
          </w:p>
          <w:p>
            <w:pPr>
              <w:spacing w:after="40"/>
            </w:pPr>
            <w:r>
              <w:rPr>
                <w:b/>
                <w:sz w:val="23"/>
              </w:rPr>
              <w:t>Know what to build. Know what to learn. Know where you can thrive.</w:t>
            </w:r>
          </w:p>
        </w:tc>
      </w:tr>
    </w:tbl>
    <w:p>
      <w:pPr>
        <w:spacing w:after="0"/>
      </w:pPr>
    </w:p>
    <w:p>
      <w:r>
        <w:br w:type="page"/>
      </w:r>
    </w:p>
    <w:p>
      <w:pPr>
        <w:pStyle w:val="Heading1"/>
      </w:pPr>
      <w:bookmarkStart w:id="51" w:name="sA"/>
      <w:r>
        <w:t>Appendix</w:t>
      </w:r>
      <w:bookmarkEnd w:id="51"/>
    </w:p>
    <w:p>
      <w:pPr>
        <w:pStyle w:val="Heading2"/>
      </w:pPr>
      <w:bookmarkStart w:id="52" w:name="h_ACodeexcerpts"/>
      <w:r>
        <w:t>A. Code excerpts</w:t>
      </w:r>
      <w:bookmarkEnd w:id="52"/>
    </w:p>
    <w:tbl>
      <w:tblPr>
        <w:tblW w:type="auto" w:w="0"/>
        <w:tblLook w:firstColumn="1" w:firstRow="1" w:lastColumn="0" w:lastRow="0" w:noHBand="0" w:noVBand="1" w:val="04A0"/>
      </w:tblPr>
      <w:tblGrid>
        <w:gridCol w:w="9298"/>
      </w:tblGrid>
      <w:tr>
        <w:trPr>
          <w:cantSplit/>
        </w:trPr>
        <w:tc>
          <w:tcPr>
            <w:tcW w:type="dxa" w:w="9298"/>
            <w:tcBorders>
              <w:top w:val="single" w:sz="4" w:color="DAD6CB"/>
              <w:start w:val="single" w:sz="4" w:color="DAD6CB"/>
              <w:bottom w:val="single" w:sz="4" w:color="DAD6CB"/>
              <w:end w:val="single" w:sz="4" w:color="DAD6CB"/>
            </w:tcBorders>
            <w:shd w:val="clear" w:color="auto" w:fill="F4F1EA"/>
            <w:tcMar>
              <w:top w:w="80" w:type="dxa"/>
              <w:start w:w="140" w:type="dxa"/>
              <w:bottom w:w="80" w:type="dxa"/>
              <w:end w:w="140" w:type="dxa"/>
            </w:tcMar>
          </w:tcPr>
          <w:p>
            <w:r>
              <w:rPr>
                <w:b/>
                <w:color w:val="D9701C"/>
                <w:sz w:val="18"/>
              </w:rPr>
              <w:t>A.1 Internal evidence (NB02)</w:t>
            </w:r>
          </w:p>
          <w:p>
            <w:pPr>
              <w:spacing w:after="0"/>
            </w:pPr>
            <w:r>
              <w:rPr>
                <w:rFonts w:ascii="Consolas" w:hAnsi="Consolas" w:eastAsia="Consolas"/>
                <w:sz w:val="16"/>
              </w:rPr>
              <w:t>def cliffs_delta(hi, lo):</w:t>
            </w:r>
          </w:p>
          <w:p>
            <w:pPr>
              <w:spacing w:after="0"/>
            </w:pPr>
            <w:r>
              <w:rPr>
                <w:rFonts w:ascii="Consolas" w:hAnsi="Consolas" w:eastAsia="Consolas"/>
                <w:sz w:val="16"/>
              </w:rPr>
              <w:t xml:space="preserve">    U, p = mannwhitneyu(hi, lo, alternative="two-sided")</w:t>
            </w:r>
          </w:p>
          <w:p>
            <w:pPr>
              <w:spacing w:after="0"/>
            </w:pPr>
            <w:r>
              <w:rPr>
                <w:rFonts w:ascii="Consolas" w:hAnsi="Consolas" w:eastAsia="Consolas"/>
                <w:sz w:val="16"/>
              </w:rPr>
              <w:t xml:space="preserve">    return 2*U/(len(hi)*len(lo)) - 1, p</w:t>
            </w:r>
          </w:p>
          <w:p>
            <w:pPr>
              <w:spacing w:after="0"/>
            </w:pPr>
            <w:r>
              <w:rPr>
                <w:rFonts w:ascii="Consolas" w:hAnsi="Consolas" w:eastAsia="Consolas"/>
                <w:sz w:val="16"/>
              </w:rPr>
              <w:t xml:space="preserve"> </w:t>
            </w:r>
          </w:p>
          <w:p>
            <w:pPr>
              <w:spacing w:after="0"/>
            </w:pPr>
            <w:r>
              <w:rPr>
                <w:rFonts w:ascii="Consolas" w:hAnsi="Consolas" w:eastAsia="Consolas"/>
                <w:sz w:val="16"/>
              </w:rPr>
              <w:t>for k in SK:</w:t>
            </w:r>
          </w:p>
          <w:p>
            <w:pPr>
              <w:spacing w:after="0"/>
            </w:pPr>
            <w:r>
              <w:rPr>
                <w:rFonts w:ascii="Consolas" w:hAnsi="Consolas" w:eastAsia="Consolas"/>
                <w:sz w:val="16"/>
              </w:rPr>
              <w:t xml:space="preserve">    hi = JDS.loc[JDS.high_hike == 1, k].values</w:t>
            </w:r>
          </w:p>
          <w:p>
            <w:pPr>
              <w:spacing w:after="0"/>
            </w:pPr>
            <w:r>
              <w:rPr>
                <w:rFonts w:ascii="Consolas" w:hAnsi="Consolas" w:eastAsia="Consolas"/>
                <w:sz w:val="16"/>
              </w:rPr>
              <w:t xml:space="preserve">    lo = JDS.loc[JDS.high_hike == 0, k].values</w:t>
            </w:r>
          </w:p>
          <w:p>
            <w:pPr>
              <w:spacing w:after="0"/>
            </w:pPr>
            <w:r>
              <w:rPr>
                <w:rFonts w:ascii="Consolas" w:hAnsi="Consolas" w:eastAsia="Consolas"/>
                <w:sz w:val="16"/>
              </w:rPr>
              <w:t xml:space="preserve">    d, p = cliffs_delta(hi, lo)</w:t>
            </w:r>
          </w:p>
          <w:p>
            <w:pPr>
              <w:spacing w:after="0"/>
            </w:pPr>
            <w:r>
              <w:rPr>
                <w:rFonts w:ascii="Consolas" w:hAnsi="Consolas" w:eastAsia="Consolas"/>
                <w:sz w:val="16"/>
              </w:rPr>
              <w:t xml:space="preserve">    boots = [cliffs_delta(rng.choice(hi, len(hi)), rng.choice(lo, len(lo)))[0]</w:t>
            </w:r>
          </w:p>
          <w:p>
            <w:pPr>
              <w:spacing w:after="0"/>
            </w:pPr>
            <w:r>
              <w:rPr>
                <w:rFonts w:ascii="Consolas" w:hAnsi="Consolas" w:eastAsia="Consolas"/>
                <w:sz w:val="16"/>
              </w:rPr>
              <w:t xml:space="preserve">             for _ in range(2000)]</w:t>
            </w:r>
          </w:p>
          <w:p>
            <w:pPr>
              <w:spacing w:after="0"/>
            </w:pPr>
            <w:r>
              <w:rPr>
                <w:rFonts w:ascii="Consolas" w:hAnsi="Consolas" w:eastAsia="Consolas"/>
                <w:sz w:val="16"/>
              </w:rPr>
              <w:t xml:space="preserve">    rows.append(dict(skill=k, delta=d, p_raw=p,</w:t>
            </w:r>
          </w:p>
          <w:p>
            <w:pPr>
              <w:spacing w:after="0"/>
            </w:pPr>
            <w:r>
              <w:rPr>
                <w:rFonts w:ascii="Consolas" w:hAnsi="Consolas" w:eastAsia="Consolas"/>
                <w:sz w:val="16"/>
              </w:rPr>
              <w:t xml:space="preserve">                     ci_lo=np.percentile(boots, 2.5), ci_hi=np.percentile(boots, 97.5)))</w:t>
            </w:r>
          </w:p>
          <w:p>
            <w:pPr>
              <w:spacing w:after="0"/>
            </w:pPr>
            <w:r>
              <w:rPr>
                <w:rFonts w:ascii="Consolas" w:hAnsi="Consolas" w:eastAsia="Consolas"/>
                <w:sz w:val="16"/>
              </w:rPr>
              <w:t>eff["p_holm"] = multipletests(eff.p_raw, method="holm")[1]</w:t>
            </w:r>
          </w:p>
        </w:tc>
      </w:tr>
    </w:tbl>
    <w:p>
      <w:pPr>
        <w:spacing w:after="0"/>
      </w:pPr>
    </w:p>
    <w:tbl>
      <w:tblPr>
        <w:tblW w:type="auto" w:w="0"/>
        <w:tblLook w:firstColumn="1" w:firstRow="1" w:lastColumn="0" w:lastRow="0" w:noHBand="0" w:noVBand="1" w:val="04A0"/>
      </w:tblPr>
      <w:tblGrid>
        <w:gridCol w:w="9298"/>
      </w:tblGrid>
      <w:tr>
        <w:trPr>
          <w:cantSplit/>
        </w:trPr>
        <w:tc>
          <w:tcPr>
            <w:tcW w:type="dxa" w:w="9298"/>
            <w:tcBorders>
              <w:top w:val="single" w:sz="4" w:color="DAD6CB"/>
              <w:start w:val="single" w:sz="4" w:color="DAD6CB"/>
              <w:bottom w:val="single" w:sz="4" w:color="DAD6CB"/>
              <w:end w:val="single" w:sz="4" w:color="DAD6CB"/>
            </w:tcBorders>
            <w:shd w:val="clear" w:color="auto" w:fill="F4F1EA"/>
            <w:tcMar>
              <w:top w:w="80" w:type="dxa"/>
              <w:start w:w="140" w:type="dxa"/>
              <w:bottom w:w="80" w:type="dxa"/>
              <w:end w:w="140" w:type="dxa"/>
            </w:tcMar>
          </w:tcPr>
          <w:p>
            <w:r>
              <w:rPr>
                <w:b/>
                <w:color w:val="D9701C"/>
                <w:sz w:val="18"/>
              </w:rPr>
              <w:t>A.2 Market evidence (NB04)</w:t>
            </w:r>
          </w:p>
          <w:p>
            <w:pPr>
              <w:spacing w:after="0"/>
            </w:pPr>
            <w:r>
              <w:rPr>
                <w:rFonts w:ascii="Consolas" w:hAnsi="Consolas" w:eastAsia="Consolas"/>
                <w:sz w:val="16"/>
              </w:rPr>
              <w:t>from statsmodels.miscmodels.ordinal_model import OrderedModel</w:t>
            </w:r>
          </w:p>
          <w:p>
            <w:pPr>
              <w:spacing w:after="0"/>
            </w:pPr>
            <w:r>
              <w:rPr>
                <w:rFonts w:ascii="Consolas" w:hAnsi="Consolas" w:eastAsia="Consolas"/>
                <w:sz w:val="16"/>
              </w:rPr>
              <w:t xml:space="preserve"> </w:t>
            </w:r>
          </w:p>
          <w:p>
            <w:pPr>
              <w:spacing w:after="0"/>
            </w:pPr>
            <w:r>
              <w:rPr>
                <w:rFonts w:ascii="Consolas" w:hAnsi="Consolas" w:eastAsia="Consolas"/>
                <w:sz w:val="16"/>
              </w:rPr>
              <w:t>def fit_or(df, suffix, spec, flags=FL):</w:t>
            </w:r>
          </w:p>
          <w:p>
            <w:pPr>
              <w:spacing w:after="0"/>
            </w:pPr>
            <w:r>
              <w:rPr>
                <w:rFonts w:ascii="Consolas" w:hAnsi="Consolas" w:eastAsia="Consolas"/>
                <w:sz w:val="16"/>
              </w:rPr>
              <w:t xml:space="preserve">    X = design(df, suffix, spec, flags)          # flags + nested controls S1..S5</w:t>
            </w:r>
          </w:p>
          <w:p>
            <w:pPr>
              <w:spacing w:after="0"/>
            </w:pPr>
            <w:r>
              <w:rPr>
                <w:rFonts w:ascii="Consolas" w:hAnsi="Consolas" w:eastAsia="Consolas"/>
                <w:sz w:val="16"/>
              </w:rPr>
              <w:t xml:space="preserve">    y = df.salary_ord.values                      # 6 ordered salary bands</w:t>
            </w:r>
          </w:p>
          <w:p>
            <w:pPr>
              <w:spacing w:after="0"/>
            </w:pPr>
            <w:r>
              <w:rPr>
                <w:rFonts w:ascii="Consolas" w:hAnsi="Consolas" w:eastAsia="Consolas"/>
                <w:sz w:val="16"/>
              </w:rPr>
              <w:t xml:space="preserve">    m = OrderedModel(y, X.values, distr="logit").fit(method="bfgs", maxiter=800, disp=False)</w:t>
            </w:r>
          </w:p>
          <w:p>
            <w:pPr>
              <w:spacing w:after="0"/>
            </w:pPr>
            <w:r>
              <w:rPr>
                <w:rFonts w:ascii="Consolas" w:hAnsi="Consolas" w:eastAsia="Consolas"/>
                <w:sz w:val="16"/>
              </w:rPr>
              <w:t xml:space="preserve">    ci = m.conf_int()[:len(flags)]</w:t>
            </w:r>
          </w:p>
          <w:p>
            <w:pPr>
              <w:spacing w:after="0"/>
            </w:pPr>
            <w:r>
              <w:rPr>
                <w:rFonts w:ascii="Consolas" w:hAnsi="Consolas" w:eastAsia="Consolas"/>
                <w:sz w:val="16"/>
              </w:rPr>
              <w:t xml:space="preserve">    return {f: dict(OR=np.exp(m.params[i]), lo=np.exp(ci[i, 0]), hi=np.exp(ci[i, 1]))</w:t>
            </w:r>
          </w:p>
          <w:p>
            <w:pPr>
              <w:spacing w:after="0"/>
            </w:pPr>
            <w:r>
              <w:rPr>
                <w:rFonts w:ascii="Consolas" w:hAnsi="Consolas" w:eastAsia="Consolas"/>
                <w:sz w:val="16"/>
              </w:rPr>
              <w:t xml:space="preserve">            for i, f in enumerate(flags)}</w:t>
            </w:r>
          </w:p>
          <w:p>
            <w:pPr>
              <w:spacing w:after="0"/>
            </w:pPr>
            <w:r>
              <w:rPr>
                <w:rFonts w:ascii="Consolas" w:hAnsi="Consolas" w:eastAsia="Consolas"/>
                <w:sz w:val="16"/>
              </w:rPr>
              <w:t xml:space="preserve"> </w:t>
            </w:r>
          </w:p>
          <w:p>
            <w:pPr>
              <w:spacing w:after="0"/>
            </w:pPr>
            <w:r>
              <w:rPr>
                <w:rFonts w:ascii="Consolas" w:hAnsi="Consolas" w:eastAsia="Consolas"/>
                <w:sz w:val="16"/>
              </w:rPr>
              <w:t>prem = {f: sum(out[s][f]["lo"] &gt; 1 for s in out) for f in FL}   # specs with a premium</w:t>
            </w:r>
          </w:p>
        </w:tc>
      </w:tr>
    </w:tbl>
    <w:p>
      <w:pPr>
        <w:spacing w:after="0"/>
      </w:pPr>
    </w:p>
    <w:tbl>
      <w:tblPr>
        <w:tblW w:type="auto" w:w="0"/>
        <w:tblLook w:firstColumn="1" w:firstRow="1" w:lastColumn="0" w:lastRow="0" w:noHBand="0" w:noVBand="1" w:val="04A0"/>
      </w:tblPr>
      <w:tblGrid>
        <w:gridCol w:w="9298"/>
      </w:tblGrid>
      <w:tr>
        <w:trPr>
          <w:cantSplit/>
        </w:trPr>
        <w:tc>
          <w:tcPr>
            <w:tcW w:type="dxa" w:w="9298"/>
            <w:tcBorders>
              <w:top w:val="single" w:sz="4" w:color="DAD6CB"/>
              <w:start w:val="single" w:sz="4" w:color="DAD6CB"/>
              <w:bottom w:val="single" w:sz="4" w:color="DAD6CB"/>
              <w:end w:val="single" w:sz="4" w:color="DAD6CB"/>
            </w:tcBorders>
            <w:shd w:val="clear" w:color="auto" w:fill="F4F1EA"/>
            <w:tcMar>
              <w:top w:w="80" w:type="dxa"/>
              <w:start w:w="140" w:type="dxa"/>
              <w:bottom w:w="80" w:type="dxa"/>
              <w:end w:w="140" w:type="dxa"/>
            </w:tcMar>
          </w:tcPr>
          <w:p>
            <w:r>
              <w:rPr>
                <w:b/>
                <w:color w:val="D9701C"/>
                <w:sz w:val="18"/>
              </w:rPr>
              <w:t>A.3 Decision rule (NB06, condensed)</w:t>
            </w:r>
          </w:p>
          <w:p>
            <w:pPr>
              <w:spacing w:after="0"/>
            </w:pPr>
            <w:r>
              <w:rPr>
                <w:rFonts w:ascii="Consolas" w:hAnsi="Consolas" w:eastAsia="Consolas"/>
                <w:sz w:val="16"/>
              </w:rPr>
              <w:t>if d &gt;= 0.33 and lo &gt; 0:            internal = "Strong"</w:t>
            </w:r>
          </w:p>
          <w:p>
            <w:pPr>
              <w:spacing w:after="0"/>
            </w:pPr>
            <w:r>
              <w:rPr>
                <w:rFonts w:ascii="Consolas" w:hAnsi="Consolas" w:eastAsia="Consolas"/>
                <w:sz w:val="16"/>
              </w:rPr>
              <w:t>elif p_holm &gt;= 0.05 or d &lt; 0.147:   internal = "Weak"</w:t>
            </w:r>
          </w:p>
          <w:p>
            <w:pPr>
              <w:spacing w:after="0"/>
            </w:pPr>
            <w:r>
              <w:rPr>
                <w:rFonts w:ascii="Consolas" w:hAnsi="Consolas" w:eastAsia="Consolas"/>
                <w:sz w:val="16"/>
              </w:rPr>
              <w:t>else:                               internal = "Moderate"</w:t>
            </w:r>
          </w:p>
          <w:p>
            <w:pPr>
              <w:spacing w:after="0"/>
            </w:pPr>
            <w:r>
              <w:rPr>
                <w:rFonts w:ascii="Consolas" w:hAnsi="Consolas" w:eastAsia="Consolas"/>
                <w:sz w:val="16"/>
              </w:rPr>
              <w:t xml:space="preserve"> </w:t>
            </w:r>
          </w:p>
          <w:p>
            <w:pPr>
              <w:spacing w:after="0"/>
            </w:pPr>
            <w:r>
              <w:rPr>
                <w:rFonts w:ascii="Consolas" w:hAnsi="Consolas" w:eastAsia="Consolas"/>
                <w:sz w:val="16"/>
              </w:rPr>
              <w:t>if   internal == "Strong" and market in ("Premium", "Neutral"): verdict = "FUND"</w:t>
            </w:r>
          </w:p>
          <w:p>
            <w:pPr>
              <w:spacing w:after="0"/>
            </w:pPr>
            <w:r>
              <w:rPr>
                <w:rFonts w:ascii="Consolas" w:hAnsi="Consolas" w:eastAsia="Consolas"/>
                <w:sz w:val="16"/>
              </w:rPr>
              <w:t>elif internal == "Strong" and market == "Discount":            verdict = "FUND WITH REFRAME"</w:t>
            </w:r>
          </w:p>
          <w:p>
            <w:pPr>
              <w:spacing w:after="0"/>
            </w:pPr>
            <w:r>
              <w:rPr>
                <w:rFonts w:ascii="Consolas" w:hAnsi="Consolas" w:eastAsia="Consolas"/>
                <w:sz w:val="16"/>
              </w:rPr>
              <w:t>elif internal == "Moderate" and market == "Premium":           verdict = "MONITOR"</w:t>
            </w:r>
          </w:p>
          <w:p>
            <w:pPr>
              <w:spacing w:after="0"/>
            </w:pPr>
            <w:r>
              <w:rPr>
                <w:rFonts w:ascii="Consolas" w:hAnsi="Consolas" w:eastAsia="Consolas"/>
                <w:sz w:val="16"/>
              </w:rPr>
              <w:t>else:                                                          verdict = "DEPRIORITISE"</w:t>
            </w:r>
          </w:p>
          <w:p>
            <w:pPr>
              <w:spacing w:after="0"/>
            </w:pPr>
            <w:r>
              <w:rPr>
                <w:rFonts w:ascii="Consolas" w:hAnsi="Consolas" w:eastAsia="Consolas"/>
                <w:sz w:val="16"/>
              </w:rPr>
              <w:t xml:space="preserve"> </w:t>
            </w:r>
          </w:p>
          <w:p>
            <w:pPr>
              <w:spacing w:after="0"/>
            </w:pPr>
            <w:r>
              <w:rPr>
                <w:rFonts w:ascii="Consolas" w:hAnsi="Consolas" w:eastAsia="Consolas"/>
                <w:sz w:val="16"/>
              </w:rPr>
              <w:t>p_beat = float((B[:, lead] &gt; B[:, runner_up]).mean())   # 0.957 over 1,000 refits</w:t>
            </w:r>
          </w:p>
          <w:p>
            <w:pPr>
              <w:spacing w:after="0"/>
            </w:pPr>
            <w:r>
              <w:rPr>
                <w:rFonts w:ascii="Consolas" w:hAnsi="Consolas" w:eastAsia="Consolas"/>
                <w:sz w:val="16"/>
              </w:rPr>
              <w:t>tie = p_beat &lt; 0.80</w:t>
            </w:r>
          </w:p>
        </w:tc>
      </w:tr>
    </w:tbl>
    <w:p>
      <w:pPr>
        <w:spacing w:after="0"/>
      </w:pPr>
    </w:p>
    <w:tbl>
      <w:tblPr>
        <w:tblW w:type="auto" w:w="0"/>
        <w:tblLook w:firstColumn="1" w:firstRow="1" w:lastColumn="0" w:lastRow="0" w:noHBand="0" w:noVBand="1" w:val="04A0"/>
      </w:tblPr>
      <w:tblGrid>
        <w:gridCol w:w="9298"/>
      </w:tblGrid>
      <w:tr>
        <w:trPr>
          <w:cantSplit/>
        </w:trPr>
        <w:tc>
          <w:tcPr>
            <w:tcW w:type="dxa" w:w="9298"/>
            <w:tcBorders>
              <w:top w:val="single" w:sz="4" w:color="DAD6CB"/>
              <w:start w:val="single" w:sz="4" w:color="DAD6CB"/>
              <w:bottom w:val="single" w:sz="4" w:color="DAD6CB"/>
              <w:end w:val="single" w:sz="4" w:color="DAD6CB"/>
            </w:tcBorders>
            <w:shd w:val="clear" w:color="auto" w:fill="F4F1EA"/>
            <w:tcMar>
              <w:top w:w="80" w:type="dxa"/>
              <w:start w:w="140" w:type="dxa"/>
              <w:bottom w:w="80" w:type="dxa"/>
              <w:end w:w="140" w:type="dxa"/>
            </w:tcMar>
          </w:tcPr>
          <w:p>
            <w:r>
              <w:rPr>
                <w:b/>
                <w:color w:val="D9701C"/>
                <w:sz w:val="18"/>
              </w:rPr>
              <w:t>A.4 Privacy gate (application, culture.py)</w:t>
            </w:r>
          </w:p>
          <w:p>
            <w:pPr>
              <w:spacing w:after="0"/>
            </w:pPr>
            <w:r>
              <w:rPr>
                <w:rFonts w:ascii="Consolas" w:hAnsi="Consolas" w:eastAsia="Consolas"/>
                <w:sz w:val="16"/>
              </w:rPr>
              <w:t>def aggregate(org_id, cyc=None):</w:t>
            </w:r>
          </w:p>
          <w:p>
            <w:pPr>
              <w:spacing w:after="0"/>
            </w:pPr>
            <w:r>
              <w:rPr>
                <w:rFonts w:ascii="Consolas" w:hAnsi="Consolas" w:eastAsia="Consolas"/>
                <w:sz w:val="16"/>
              </w:rPr>
              <w:t xml:space="preserve">    n = count(org_id, cyc)</w:t>
            </w:r>
          </w:p>
          <w:p>
            <w:pPr>
              <w:spacing w:after="0"/>
            </w:pPr>
            <w:r>
              <w:rPr>
                <w:rFonts w:ascii="Consolas" w:hAnsi="Consolas" w:eastAsia="Consolas"/>
                <w:sz w:val="16"/>
              </w:rPr>
              <w:t xml:space="preserve">    if n &lt; K_MIN:                                  # nothing is shown below 5 responses</w:t>
            </w:r>
          </w:p>
          <w:p>
            <w:pPr>
              <w:spacing w:after="0"/>
            </w:pPr>
            <w:r>
              <w:rPr>
                <w:rFonts w:ascii="Consolas" w:hAnsi="Consolas" w:eastAsia="Consolas"/>
                <w:sz w:val="16"/>
              </w:rPr>
              <w:t xml:space="preserve">        return dict(suppressed=True, n=n, need=K_MIN, cycle=cyc)</w:t>
            </w:r>
          </w:p>
          <w:p>
            <w:pPr>
              <w:spacing w:after="0"/>
            </w:pPr>
            <w:r>
              <w:rPr>
                <w:rFonts w:ascii="Consolas" w:hAnsi="Consolas" w:eastAsia="Consolas"/>
                <w:sz w:val="16"/>
              </w:rPr>
              <w:t xml:space="preserve">    rs = _load(org_id, cyc)              # AES-256-GCM decrypt; rows carry no user id</w:t>
            </w:r>
          </w:p>
        </w:tc>
      </w:tr>
    </w:tbl>
    <w:p>
      <w:pPr>
        <w:spacing w:after="0"/>
      </w:pPr>
    </w:p>
    <w:p>
      <w:pPr>
        <w:pStyle w:val="Heading2"/>
      </w:pPr>
      <w:bookmarkStart w:id="53" w:name="h_BFullmarkettableoddsratio95CI"/>
      <w:r>
        <w:t>B. Full market table (odds ratio [95% CI])</w:t>
      </w:r>
      <w:bookmarkEnd w:id="53"/>
    </w:p>
    <w:p>
      <w:pPr>
        <w:keepNext/>
        <w:spacing w:after="60"/>
      </w:pPr>
      <w:r>
        <w:rPr>
          <w:b/>
          <w:sz w:val="21"/>
        </w:rPr>
        <w:t>Table 34.</w:t>
      </w:r>
      <w:r>
        <w:rPr>
          <w:sz w:val="21"/>
        </w:rPr>
        <w:t xml:space="preserve"> Proportional-odds ratios for a higher salary band, all specifications (NB04).</w:t>
      </w:r>
    </w:p>
    <w:tbl>
      <w:tblPr>
        <w:tblW w:type="auto" w:w="0"/>
        <w:jc w:val="center"/>
        <w:tblLayout w:type="fixed"/>
        <w:tblLook w:firstColumn="1" w:firstRow="1" w:lastColumn="0" w:lastRow="0" w:noHBand="0" w:noVBand="1" w:val="04A0"/>
      </w:tblPr>
      <w:tblGrid>
        <w:gridCol w:w="2041"/>
        <w:gridCol w:w="1474"/>
        <w:gridCol w:w="1417"/>
        <w:gridCol w:w="1417"/>
        <w:gridCol w:w="1474"/>
        <w:gridCol w:w="1417"/>
      </w:tblGrid>
      <w:tr>
        <w:trPr>
          <w:cantSplit/>
          <w:tblHeader/>
        </w:trPr>
        <w:tc>
          <w:tcPr>
            <w:tcW w:type="dxa" w:w="2041"/>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7"/>
              </w:rPr>
              <w:t>Spec</w:t>
            </w:r>
          </w:p>
        </w:tc>
        <w:tc>
          <w:tcPr>
            <w:tcW w:type="dxa" w:w="147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7"/>
              </w:rPr>
              <w:t>Maths &amp; Statistics</w:t>
            </w:r>
          </w:p>
        </w:tc>
        <w:tc>
          <w:tcPr>
            <w:tcW w:type="dxa" w:w="1417"/>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7"/>
              </w:rPr>
              <w:t>AI &amp; ML</w:t>
            </w:r>
          </w:p>
        </w:tc>
        <w:tc>
          <w:tcPr>
            <w:tcW w:type="dxa" w:w="1417"/>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7"/>
              </w:rPr>
              <w:t>Coding</w:t>
            </w:r>
          </w:p>
        </w:tc>
        <w:tc>
          <w:tcPr>
            <w:tcW w:type="dxa" w:w="1474"/>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7"/>
              </w:rPr>
              <w:t>Dashboards &amp; Storytelling</w:t>
            </w:r>
          </w:p>
        </w:tc>
        <w:tc>
          <w:tcPr>
            <w:tcW w:type="dxa" w:w="1417"/>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17"/>
              </w:rPr>
              <w:t>Big Data</w:t>
            </w:r>
          </w:p>
        </w:tc>
      </w:tr>
      <w:tr>
        <w:trPr>
          <w:cantSplit/>
        </w:trPr>
        <w:tc>
          <w:tcPr>
            <w:tcW w:type="dxa" w:w="204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7"/>
              </w:rPr>
              <w:t>S1 flags only</w:t>
            </w:r>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7"/>
              </w:rPr>
              <w:t>1.60 [1.42, 1.80]</w:t>
            </w:r>
          </w:p>
        </w:tc>
        <w:tc>
          <w:tcPr>
            <w:tcW w:type="dxa" w:w="141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7"/>
              </w:rPr>
              <w:t>1.93 [1.69, 2.21]</w:t>
            </w:r>
          </w:p>
        </w:tc>
        <w:tc>
          <w:tcPr>
            <w:tcW w:type="dxa" w:w="141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7"/>
              </w:rPr>
              <w:t>1.54 [1.38, 1.71]</w:t>
            </w:r>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7"/>
              </w:rPr>
              <w:t>0.69 [0.61, 0.78]</w:t>
            </w:r>
          </w:p>
        </w:tc>
        <w:tc>
          <w:tcPr>
            <w:tcW w:type="dxa" w:w="141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7"/>
              </w:rPr>
              <w:t>1.77 [1.51, 2.07]</w:t>
            </w:r>
          </w:p>
        </w:tc>
      </w:tr>
      <w:tr>
        <w:trPr>
          <w:cantSplit/>
        </w:trPr>
        <w:tc>
          <w:tcPr>
            <w:tcW w:type="dxa" w:w="204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7"/>
              </w:rPr>
              <w:t>S2 +experience</w:t>
            </w:r>
          </w:p>
        </w:tc>
        <w:tc>
          <w:tcPr>
            <w:tcW w:type="dxa" w:w="147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7"/>
              </w:rPr>
              <w:t>1.41 [1.24, 1.60]</w:t>
            </w:r>
          </w:p>
        </w:tc>
        <w:tc>
          <w:tcPr>
            <w:tcW w:type="dxa" w:w="141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7"/>
              </w:rPr>
              <w:t>2.08 [1.80, 2.40]</w:t>
            </w:r>
          </w:p>
        </w:tc>
        <w:tc>
          <w:tcPr>
            <w:tcW w:type="dxa" w:w="141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7"/>
              </w:rPr>
              <w:t>1.52 [1.36, 1.71]</w:t>
            </w:r>
          </w:p>
        </w:tc>
        <w:tc>
          <w:tcPr>
            <w:tcW w:type="dxa" w:w="147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7"/>
              </w:rPr>
              <w:t>0.75 [0.66, 0.85]</w:t>
            </w:r>
          </w:p>
        </w:tc>
        <w:tc>
          <w:tcPr>
            <w:tcW w:type="dxa" w:w="141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7"/>
              </w:rPr>
              <w:t>1.16 [0.99, 1.37]</w:t>
            </w:r>
          </w:p>
        </w:tc>
      </w:tr>
      <w:tr>
        <w:trPr>
          <w:cantSplit/>
        </w:trPr>
        <w:tc>
          <w:tcPr>
            <w:tcW w:type="dxa" w:w="204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7"/>
              </w:rPr>
              <w:t>S3 +seniority</w:t>
            </w:r>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7"/>
              </w:rPr>
              <w:t>1.31 [1.16, 1.49]</w:t>
            </w:r>
          </w:p>
        </w:tc>
        <w:tc>
          <w:tcPr>
            <w:tcW w:type="dxa" w:w="141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7"/>
              </w:rPr>
              <w:t>2.13 [1.85, 2.46]</w:t>
            </w:r>
          </w:p>
        </w:tc>
        <w:tc>
          <w:tcPr>
            <w:tcW w:type="dxa" w:w="141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7"/>
              </w:rPr>
              <w:t>1.53 [1.37, 1.71]</w:t>
            </w:r>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7"/>
              </w:rPr>
              <w:t>0.74 [0.65, 0.84]</w:t>
            </w:r>
          </w:p>
        </w:tc>
        <w:tc>
          <w:tcPr>
            <w:tcW w:type="dxa" w:w="141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7"/>
              </w:rPr>
              <w:t>1.16 [0.98, 1.36]</w:t>
            </w:r>
          </w:p>
        </w:tc>
      </w:tr>
      <w:tr>
        <w:trPr>
          <w:cantSplit/>
        </w:trPr>
        <w:tc>
          <w:tcPr>
            <w:tcW w:type="dxa" w:w="204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7"/>
              </w:rPr>
              <w:t>S4 +location</w:t>
            </w:r>
          </w:p>
        </w:tc>
        <w:tc>
          <w:tcPr>
            <w:tcW w:type="dxa" w:w="147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7"/>
              </w:rPr>
              <w:t>1.30 [1.14, 1.48]</w:t>
            </w:r>
          </w:p>
        </w:tc>
        <w:tc>
          <w:tcPr>
            <w:tcW w:type="dxa" w:w="141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7"/>
              </w:rPr>
              <w:t>2.13 [1.84, 2.45]</w:t>
            </w:r>
          </w:p>
        </w:tc>
        <w:tc>
          <w:tcPr>
            <w:tcW w:type="dxa" w:w="141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7"/>
              </w:rPr>
              <w:t>1.53 [1.36, 1.71]</w:t>
            </w:r>
          </w:p>
        </w:tc>
        <w:tc>
          <w:tcPr>
            <w:tcW w:type="dxa" w:w="147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7"/>
              </w:rPr>
              <w:t>0.74 [0.65, 0.83]</w:t>
            </w:r>
          </w:p>
        </w:tc>
        <w:tc>
          <w:tcPr>
            <w:tcW w:type="dxa" w:w="141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7"/>
              </w:rPr>
              <w:t>1.16 [0.98, 1.37]</w:t>
            </w:r>
          </w:p>
        </w:tc>
      </w:tr>
      <w:tr>
        <w:trPr>
          <w:cantSplit/>
        </w:trPr>
        <w:tc>
          <w:tcPr>
            <w:tcW w:type="dxa" w:w="2041"/>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7"/>
              </w:rPr>
              <w:t>S5 +all controls (primary tax.)</w:t>
            </w:r>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7"/>
              </w:rPr>
              <w:t>1.27 [1.11, 1.45]</w:t>
            </w:r>
          </w:p>
        </w:tc>
        <w:tc>
          <w:tcPr>
            <w:tcW w:type="dxa" w:w="141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7"/>
              </w:rPr>
              <w:t>1.38 [1.08, 1.75]</w:t>
            </w:r>
          </w:p>
        </w:tc>
        <w:tc>
          <w:tcPr>
            <w:tcW w:type="dxa" w:w="141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7"/>
              </w:rPr>
              <w:t>1.52 [1.35, 1.70]</w:t>
            </w:r>
          </w:p>
        </w:tc>
        <w:tc>
          <w:tcPr>
            <w:tcW w:type="dxa" w:w="1474"/>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7"/>
              </w:rPr>
              <w:t>0.75 [0.67, 0.86]</w:t>
            </w:r>
          </w:p>
        </w:tc>
        <w:tc>
          <w:tcPr>
            <w:tcW w:type="dxa" w:w="1417"/>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17"/>
              </w:rPr>
              <w:t>1.09 [0.89, 1.34]</w:t>
            </w:r>
          </w:p>
        </w:tc>
      </w:tr>
      <w:tr>
        <w:trPr>
          <w:cantSplit/>
        </w:trPr>
        <w:tc>
          <w:tcPr>
            <w:tcW w:type="dxa" w:w="2041"/>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7"/>
              </w:rPr>
              <w:t>S6 all controls (wide tax. &amp; population)</w:t>
            </w:r>
          </w:p>
        </w:tc>
        <w:tc>
          <w:tcPr>
            <w:tcW w:type="dxa" w:w="147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7"/>
              </w:rPr>
              <w:t>1.42 [1.28, 1.57]</w:t>
            </w:r>
          </w:p>
        </w:tc>
        <w:tc>
          <w:tcPr>
            <w:tcW w:type="dxa" w:w="141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7"/>
              </w:rPr>
              <w:t>1.25 [1.04, 1.50]</w:t>
            </w:r>
          </w:p>
        </w:tc>
        <w:tc>
          <w:tcPr>
            <w:tcW w:type="dxa" w:w="141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7"/>
              </w:rPr>
              <w:t>1.55 [1.42, 1.70]</w:t>
            </w:r>
          </w:p>
        </w:tc>
        <w:tc>
          <w:tcPr>
            <w:tcW w:type="dxa" w:w="1474"/>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7"/>
              </w:rPr>
              <w:t>0.80 [0.73, 0.88]</w:t>
            </w:r>
          </w:p>
        </w:tc>
        <w:tc>
          <w:tcPr>
            <w:tcW w:type="dxa" w:w="1417"/>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17"/>
              </w:rPr>
              <w:t>1.15 [0.97, 1.36]</w:t>
            </w:r>
          </w:p>
        </w:tc>
      </w:tr>
    </w:tbl>
    <w:p>
      <w:pPr>
        <w:spacing w:after="40"/>
      </w:pPr>
    </w:p>
    <w:p>
      <w:pPr>
        <w:pStyle w:val="Heading2"/>
      </w:pPr>
      <w:bookmarkStart w:id="54" w:name="h_CApplicationscreens"/>
      <w:r>
        <w:t>C. Application screens</w:t>
      </w:r>
      <w:bookmarkEnd w:id="54"/>
    </w:p>
    <w:p>
      <w:pPr>
        <w:keepNext/>
        <w:spacing w:after="40"/>
        <w:jc w:val="center"/>
      </w:pPr>
      <w:r>
        <w:drawing>
          <wp:inline xmlns:a="http://schemas.openxmlformats.org/drawingml/2006/main" xmlns:pic="http://schemas.openxmlformats.org/drawingml/2006/picture">
            <wp:extent cx="5400000" cy="3375000"/>
            <wp:docPr id="16" name="Picture 16"/>
            <wp:cNvGraphicFramePr>
              <a:graphicFrameLocks noChangeAspect="1"/>
            </wp:cNvGraphicFramePr>
            <a:graphic>
              <a:graphicData uri="http://schemas.openxmlformats.org/drawingml/2006/picture">
                <pic:pic>
                  <pic:nvPicPr>
                    <pic:cNvPr id="0" name="x_insights.png"/>
                    <pic:cNvPicPr/>
                  </pic:nvPicPr>
                  <pic:blipFill>
                    <a:blip r:embed="rId35"/>
                    <a:stretch>
                      <a:fillRect/>
                    </a:stretch>
                  </pic:blipFill>
                  <pic:spPr>
                    <a:xfrm>
                      <a:off x="0" y="0"/>
                      <a:ext cx="5400000" cy="3375000"/>
                    </a:xfrm>
                    <a:prstGeom prst="rect"/>
                  </pic:spPr>
                </pic:pic>
              </a:graphicData>
            </a:graphic>
          </wp:inline>
        </w:drawing>
      </w:r>
    </w:p>
    <w:p>
      <w:pPr>
        <w:jc w:val="center"/>
      </w:pPr>
      <w:r>
        <w:rPr>
          <w:b/>
          <w:color w:val="5B6780"/>
          <w:sz w:val="21"/>
        </w:rPr>
        <w:t>Figure 15.</w:t>
      </w:r>
      <w:r>
        <w:rPr>
          <w:color w:val="5B6780"/>
          <w:sz w:val="21"/>
        </w:rPr>
        <w:t xml:space="preserve"> Insights page: the live conflict matrix.</w:t>
      </w:r>
    </w:p>
    <w:p>
      <w:pPr>
        <w:keepNext/>
        <w:spacing w:after="40"/>
        <w:jc w:val="center"/>
      </w:pPr>
      <w:r>
        <w:drawing>
          <wp:inline xmlns:a="http://schemas.openxmlformats.org/drawingml/2006/main" xmlns:pic="http://schemas.openxmlformats.org/drawingml/2006/picture">
            <wp:extent cx="5400000" cy="3877500"/>
            <wp:docPr id="17" name="Picture 17"/>
            <wp:cNvGraphicFramePr>
              <a:graphicFrameLocks noChangeAspect="1"/>
            </wp:cNvGraphicFramePr>
            <a:graphic>
              <a:graphicData uri="http://schemas.openxmlformats.org/drawingml/2006/picture">
                <pic:pic>
                  <pic:nvPicPr>
                    <pic:cNvPr id="0" name="culture_crop.png"/>
                    <pic:cNvPicPr/>
                  </pic:nvPicPr>
                  <pic:blipFill>
                    <a:blip r:embed="rId36"/>
                    <a:stretch>
                      <a:fillRect/>
                    </a:stretch>
                  </pic:blipFill>
                  <pic:spPr>
                    <a:xfrm>
                      <a:off x="0" y="0"/>
                      <a:ext cx="5400000" cy="3877500"/>
                    </a:xfrm>
                    <a:prstGeom prst="rect"/>
                  </pic:spPr>
                </pic:pic>
              </a:graphicData>
            </a:graphic>
          </wp:inline>
        </w:drawing>
      </w:r>
    </w:p>
    <w:p>
      <w:pPr>
        <w:jc w:val="center"/>
      </w:pPr>
      <w:r>
        <w:rPr>
          <w:b/>
          <w:color w:val="5B6780"/>
          <w:sz w:val="21"/>
        </w:rPr>
        <w:t>Figure 16.</w:t>
      </w:r>
      <w:r>
        <w:rPr>
          <w:color w:val="5B6780"/>
          <w:sz w:val="21"/>
        </w:rPr>
        <w:t xml:space="preserve"> Culture page (organisation view, SIMULATED demo organisation): response count, invite codes and the scorecard, which appears only after 5 anonymous responses.</w:t>
      </w:r>
    </w:p>
    <w:p>
      <w:pPr>
        <w:pStyle w:val="Heading2"/>
      </w:pPr>
      <w:bookmarkStart w:id="55" w:name="h_DSASmirrorexcerptreadyforSASVF"/>
      <w:r>
        <w:t>D. SAS mirror (excerpt, ready for SAS VFL; not executed)</w:t>
      </w:r>
      <w:bookmarkEnd w:id="55"/>
    </w:p>
    <w:tbl>
      <w:tblPr>
        <w:tblW w:type="auto" w:w="0"/>
        <w:tblLook w:firstColumn="1" w:firstRow="1" w:lastColumn="0" w:lastRow="0" w:noHBand="0" w:noVBand="1" w:val="04A0"/>
      </w:tblPr>
      <w:tblGrid>
        <w:gridCol w:w="9298"/>
      </w:tblGrid>
      <w:tr>
        <w:trPr>
          <w:cantSplit/>
        </w:trPr>
        <w:tc>
          <w:tcPr>
            <w:tcW w:type="dxa" w:w="9298"/>
            <w:tcBorders>
              <w:top w:val="single" w:sz="4" w:color="DAD6CB"/>
              <w:start w:val="single" w:sz="4" w:color="DAD6CB"/>
              <w:bottom w:val="single" w:sz="4" w:color="DAD6CB"/>
              <w:end w:val="single" w:sz="4" w:color="DAD6CB"/>
            </w:tcBorders>
            <w:shd w:val="clear" w:color="auto" w:fill="F4F1EA"/>
            <w:tcMar>
              <w:top w:w="80" w:type="dxa"/>
              <w:start w:w="140" w:type="dxa"/>
              <w:bottom w:w="80" w:type="dxa"/>
              <w:end w:w="140" w:type="dxa"/>
            </w:tcMar>
          </w:tcPr>
          <w:p>
            <w:r>
              <w:rPr>
                <w:b/>
                <w:color w:val="D9701C"/>
                <w:sz w:val="18"/>
              </w:rPr>
              <w:t>nexus_delta_sas_mirror.sas (sections 1–3)</w:t>
            </w:r>
          </w:p>
          <w:p>
            <w:pPr>
              <w:spacing w:after="0"/>
            </w:pPr>
            <w:r>
              <w:rPr>
                <w:rFonts w:ascii="Consolas" w:hAnsi="Consolas" w:eastAsia="Consolas"/>
                <w:sz w:val="16"/>
              </w:rPr>
              <w:t>/* NEXUS DELTA - SAS mirror of the key analytical steps (Team DSA, Build For Bharat 2.0)</w:t>
            </w:r>
          </w:p>
          <w:p>
            <w:pPr>
              <w:spacing w:after="0"/>
            </w:pPr>
            <w:r>
              <w:rPr>
                <w:rFonts w:ascii="Consolas" w:hAnsi="Consolas" w:eastAsia="Consolas"/>
                <w:sz w:val="16"/>
              </w:rPr>
              <w:t xml:space="preserve">   STATUS: translation of the Python pipeline for SAS Viya / SAS VFL /</w:t>
            </w:r>
          </w:p>
          <w:p>
            <w:pPr>
              <w:spacing w:after="0"/>
            </w:pPr>
            <w:r>
              <w:rPr>
                <w:rFonts w:ascii="Consolas" w:hAnsi="Consolas" w:eastAsia="Consolas"/>
                <w:sz w:val="16"/>
              </w:rPr>
              <w:t xml:space="preserve">   SAS OnDemand for Academics.</w:t>
            </w:r>
          </w:p>
          <w:p>
            <w:pPr>
              <w:spacing w:after="0"/>
            </w:pPr>
            <w:r>
              <w:rPr>
                <w:rFonts w:ascii="Consolas" w:hAnsi="Consolas" w:eastAsia="Consolas"/>
                <w:sz w:val="16"/>
              </w:rPr>
              <w:t xml:space="preserve">   Not executed in the authoring environment: re-run in SAS before quoting</w:t>
            </w:r>
          </w:p>
          <w:p>
            <w:pPr>
              <w:spacing w:after="0"/>
            </w:pPr>
            <w:r>
              <w:rPr>
                <w:rFonts w:ascii="Consolas" w:hAnsi="Consolas" w:eastAsia="Consolas"/>
                <w:sz w:val="16"/>
              </w:rPr>
              <w:t xml:space="preserve">   any SAS-side number.</w:t>
            </w:r>
          </w:p>
          <w:p>
            <w:pPr>
              <w:spacing w:after="0"/>
            </w:pPr>
            <w:r>
              <w:rPr>
                <w:rFonts w:ascii="Consolas" w:hAnsi="Consolas" w:eastAsia="Consolas"/>
                <w:sz w:val="16"/>
              </w:rPr>
              <w:t xml:space="preserve">   Numbers in the Approach Note come from the executed Python notebooks 01-08. */</w:t>
            </w:r>
          </w:p>
          <w:p>
            <w:pPr>
              <w:spacing w:after="0"/>
            </w:pPr>
            <w:r>
              <w:rPr>
                <w:rFonts w:ascii="Consolas" w:hAnsi="Consolas" w:eastAsia="Consolas"/>
                <w:sz w:val="16"/>
              </w:rPr>
              <w:t>options validvarname=v7;            /* 'maths-stats_skills' -&gt; maths_stats_skills */</w:t>
            </w:r>
          </w:p>
          <w:p>
            <w:pPr>
              <w:spacing w:after="0"/>
            </w:pPr>
            <w:r>
              <w:rPr>
                <w:rFonts w:ascii="Consolas" w:hAnsi="Consolas" w:eastAsia="Consolas"/>
                <w:sz w:val="16"/>
              </w:rPr>
              <w:t>/* folder holding the organiser files and the exported out/analytics_clean.csv */</w:t>
            </w:r>
          </w:p>
          <w:p>
            <w:pPr>
              <w:spacing w:after="0"/>
            </w:pPr>
            <w:r>
              <w:rPr>
                <w:rFonts w:ascii="Consolas" w:hAnsi="Consolas" w:eastAsia="Consolas"/>
                <w:sz w:val="16"/>
              </w:rPr>
              <w:t>libname nd "/home/&amp;sysuserid/nexus_delta";</w:t>
            </w:r>
          </w:p>
          <w:p>
            <w:pPr>
              <w:spacing w:after="0"/>
            </w:pPr>
            <w:r>
              <w:rPr>
                <w:rFonts w:ascii="Consolas" w:hAnsi="Consolas" w:eastAsia="Consolas"/>
                <w:sz w:val="16"/>
              </w:rPr>
              <w:t xml:space="preserve"> </w:t>
            </w:r>
          </w:p>
          <w:p>
            <w:pPr>
              <w:spacing w:after="0"/>
            </w:pPr>
            <w:r>
              <w:rPr>
                <w:rFonts w:ascii="Consolas" w:hAnsi="Consolas" w:eastAsia="Consolas"/>
                <w:sz w:val="16"/>
              </w:rPr>
              <w:t>proc import datafile="/home/&amp;sysuserid/nexus_delta/JDS_Skill_Traits.xlsx"</w:t>
            </w:r>
          </w:p>
          <w:p>
            <w:pPr>
              <w:spacing w:after="0"/>
            </w:pPr>
            <w:r>
              <w:rPr>
                <w:rFonts w:ascii="Consolas" w:hAnsi="Consolas" w:eastAsia="Consolas"/>
                <w:sz w:val="16"/>
              </w:rPr>
              <w:t xml:space="preserve">            out=nd.jds dbms=xlsx replace; run;</w:t>
            </w:r>
          </w:p>
          <w:p>
            <w:pPr>
              <w:spacing w:after="0"/>
            </w:pPr>
            <w:r>
              <w:rPr>
                <w:rFonts w:ascii="Consolas" w:hAnsi="Consolas" w:eastAsia="Consolas"/>
                <w:sz w:val="16"/>
              </w:rPr>
              <w:t>proc import datafile="/home/&amp;sysuserid/nexus_delta/out/analytics_clean.csv"</w:t>
            </w:r>
          </w:p>
          <w:p>
            <w:pPr>
              <w:spacing w:after="0"/>
            </w:pPr>
            <w:r>
              <w:rPr>
                <w:rFonts w:ascii="Consolas" w:hAnsi="Consolas" w:eastAsia="Consolas"/>
                <w:sz w:val="16"/>
              </w:rPr>
              <w:t xml:space="preserve">            out=nd.analytics_raw dbms=csv replace;</w:t>
            </w:r>
          </w:p>
          <w:p>
            <w:pPr>
              <w:spacing w:after="0"/>
            </w:pPr>
            <w:r>
              <w:rPr>
                <w:rFonts w:ascii="Consolas" w:hAnsi="Consolas" w:eastAsia="Consolas"/>
                <w:sz w:val="16"/>
              </w:rPr>
              <w:t xml:space="preserve">  guessingrows=max; run;</w:t>
            </w:r>
          </w:p>
          <w:p>
            <w:pPr>
              <w:spacing w:after="0"/>
            </w:pPr>
            <w:r>
              <w:rPr>
                <w:rFonts w:ascii="Consolas" w:hAnsi="Consolas" w:eastAsia="Consolas"/>
                <w:sz w:val="16"/>
              </w:rPr>
              <w:t xml:space="preserve"> </w:t>
            </w:r>
          </w:p>
          <w:p>
            <w:pPr>
              <w:spacing w:after="0"/>
            </w:pPr>
            <w:r>
              <w:rPr>
                <w:rFonts w:ascii="Consolas" w:hAnsi="Consolas" w:eastAsia="Consolas"/>
                <w:sz w:val="16"/>
              </w:rPr>
              <w:t>/* three flags are exported as the text True/False; capability flags are already 0/1 */</w:t>
            </w:r>
          </w:p>
          <w:p>
            <w:pPr>
              <w:spacing w:after="0"/>
            </w:pPr>
            <w:r>
              <w:rPr>
                <w:rFonts w:ascii="Consolas" w:hAnsi="Consolas" w:eastAsia="Consolas"/>
                <w:sz w:val="16"/>
              </w:rPr>
              <w:t>data nd.analytics;</w:t>
            </w:r>
          </w:p>
          <w:p>
            <w:pPr>
              <w:spacing w:after="0"/>
            </w:pPr>
            <w:r>
              <w:rPr>
                <w:rFonts w:ascii="Consolas" w:hAnsi="Consolas" w:eastAsia="Consolas"/>
                <w:sz w:val="16"/>
              </w:rPr>
              <w:t xml:space="preserve">  set nd.analytics_raw;</w:t>
            </w:r>
          </w:p>
          <w:p>
            <w:pPr>
              <w:spacing w:after="0"/>
            </w:pPr>
            <w:r>
              <w:rPr>
                <w:rFonts w:ascii="Consolas" w:hAnsi="Consolas" w:eastAsia="Consolas"/>
                <w:sz w:val="16"/>
              </w:rPr>
              <w:t xml:space="preserve">  array t{*} $ is_ds_p jobtype_missing trunc_skills;</w:t>
            </w:r>
          </w:p>
          <w:p>
            <w:pPr>
              <w:spacing w:after="0"/>
            </w:pPr>
            <w:r>
              <w:rPr>
                <w:rFonts w:ascii="Consolas" w:hAnsi="Consolas" w:eastAsia="Consolas"/>
                <w:sz w:val="16"/>
              </w:rPr>
              <w:t xml:space="preserve">  array n{*} is_ds_p_n jobtype_missing_n trunc_skills_n;</w:t>
            </w:r>
          </w:p>
          <w:p>
            <w:pPr>
              <w:spacing w:after="0"/>
            </w:pPr>
            <w:r>
              <w:rPr>
                <w:rFonts w:ascii="Consolas" w:hAnsi="Consolas" w:eastAsia="Consolas"/>
                <w:sz w:val="16"/>
              </w:rPr>
              <w:t xml:space="preserve">  do i = 1 to dim(t); n{i} = (strip(t{i}) = 'True'); end;</w:t>
            </w:r>
          </w:p>
          <w:p>
            <w:pPr>
              <w:spacing w:after="0"/>
            </w:pPr>
            <w:r>
              <w:rPr>
                <w:rFonts w:ascii="Consolas" w:hAnsi="Consolas" w:eastAsia="Consolas"/>
                <w:sz w:val="16"/>
              </w:rPr>
              <w:t xml:space="preserve">  drop i;</w:t>
            </w:r>
          </w:p>
          <w:p>
            <w:pPr>
              <w:spacing w:after="0"/>
            </w:pPr>
            <w:r>
              <w:rPr>
                <w:rFonts w:ascii="Consolas" w:hAnsi="Consolas" w:eastAsia="Consolas"/>
                <w:sz w:val="16"/>
              </w:rPr>
              <w:t>run;</w:t>
            </w:r>
          </w:p>
          <w:p>
            <w:pPr>
              <w:spacing w:after="0"/>
            </w:pPr>
            <w:r>
              <w:rPr>
                <w:rFonts w:ascii="Consolas" w:hAnsi="Consolas" w:eastAsia="Consolas"/>
                <w:sz w:val="16"/>
              </w:rPr>
              <w:t xml:space="preserve"> </w:t>
            </w:r>
          </w:p>
          <w:p>
            <w:pPr>
              <w:spacing w:after="0"/>
            </w:pPr>
            <w:r>
              <w:rPr>
                <w:rFonts w:ascii="Consolas" w:hAnsi="Consolas" w:eastAsia="Consolas"/>
                <w:sz w:val="16"/>
              </w:rPr>
              <w:t>/* 1. Internal evidence: Mann-Whitney U (Wilcoxon rank-sum) per skill, high vs low hike */</w:t>
            </w:r>
          </w:p>
          <w:p>
            <w:pPr>
              <w:spacing w:after="0"/>
            </w:pPr>
            <w:r>
              <w:rPr>
                <w:rFonts w:ascii="Consolas" w:hAnsi="Consolas" w:eastAsia="Consolas"/>
                <w:sz w:val="16"/>
              </w:rPr>
              <w:t>%let skills = big_data_skills maths_stats_skills coding_skills ai_and_ml_skills</w:t>
            </w:r>
          </w:p>
          <w:p>
            <w:pPr>
              <w:spacing w:after="0"/>
            </w:pPr>
            <w:r>
              <w:rPr>
                <w:rFonts w:ascii="Consolas" w:hAnsi="Consolas" w:eastAsia="Consolas"/>
                <w:sz w:val="16"/>
              </w:rPr>
              <w:t xml:space="preserve">              dashboard_and_storytelling_skills;</w:t>
            </w:r>
          </w:p>
          <w:p>
            <w:pPr>
              <w:spacing w:after="0"/>
            </w:pPr>
            <w:r>
              <w:rPr>
                <w:rFonts w:ascii="Consolas" w:hAnsi="Consolas" w:eastAsia="Consolas"/>
                <w:sz w:val="16"/>
              </w:rPr>
              <w:t>proc npar1way data=nd.jds wilcoxon;</w:t>
            </w:r>
          </w:p>
          <w:p>
            <w:pPr>
              <w:spacing w:after="0"/>
            </w:pPr>
            <w:r>
              <w:rPr>
                <w:rFonts w:ascii="Consolas" w:hAnsi="Consolas" w:eastAsia="Consolas"/>
                <w:sz w:val="16"/>
              </w:rPr>
              <w:t xml:space="preserve">  class salary_hike_high_or_low;</w:t>
            </w:r>
          </w:p>
          <w:p>
            <w:pPr>
              <w:spacing w:after="0"/>
            </w:pPr>
            <w:r>
              <w:rPr>
                <w:rFonts w:ascii="Consolas" w:hAnsi="Consolas" w:eastAsia="Consolas"/>
                <w:sz w:val="16"/>
              </w:rPr>
              <w:t xml:space="preserve">  var &amp;skills;</w:t>
            </w:r>
          </w:p>
          <w:p>
            <w:pPr>
              <w:spacing w:after="0"/>
            </w:pPr>
            <w:r>
              <w:rPr>
                <w:rFonts w:ascii="Consolas" w:hAnsi="Consolas" w:eastAsia="Consolas"/>
                <w:sz w:val="16"/>
              </w:rPr>
              <w:t xml:space="preserve">  ods output WilcoxonTest=nd.wtest WilcoxonScores=nd.wscores;</w:t>
            </w:r>
          </w:p>
          <w:p>
            <w:pPr>
              <w:spacing w:after="0"/>
            </w:pPr>
            <w:r>
              <w:rPr>
                <w:rFonts w:ascii="Consolas" w:hAnsi="Consolas" w:eastAsia="Consolas"/>
                <w:sz w:val="16"/>
              </w:rPr>
              <w:t>run;</w:t>
            </w:r>
          </w:p>
          <w:p>
            <w:pPr>
              <w:spacing w:after="0"/>
            </w:pPr>
            <w:r>
              <w:rPr>
                <w:rFonts w:ascii="Consolas" w:hAnsi="Consolas" w:eastAsia="Consolas"/>
                <w:sz w:val="16"/>
              </w:rPr>
              <w:t>/* two-sided p-values -&gt; Holm adjustment (multtest needs a variable named raw_p) */</w:t>
            </w:r>
          </w:p>
          <w:p>
            <w:pPr>
              <w:spacing w:after="0"/>
            </w:pPr>
            <w:r>
              <w:rPr>
                <w:rFonts w:ascii="Consolas" w:hAnsi="Consolas" w:eastAsia="Consolas"/>
                <w:sz w:val="16"/>
              </w:rPr>
              <w:t>data nd.pvals;</w:t>
            </w:r>
          </w:p>
          <w:p>
            <w:pPr>
              <w:spacing w:after="0"/>
            </w:pPr>
            <w:r>
              <w:rPr>
                <w:rFonts w:ascii="Consolas" w:hAnsi="Consolas" w:eastAsia="Consolas"/>
                <w:sz w:val="16"/>
              </w:rPr>
              <w:t xml:space="preserve">  set nd.wtest; where Name1 = 'P2_WIL';   /* normal approx., continuity-corrected */</w:t>
            </w:r>
          </w:p>
          <w:p>
            <w:pPr>
              <w:spacing w:after="0"/>
            </w:pPr>
            <w:r>
              <w:rPr>
                <w:rFonts w:ascii="Consolas" w:hAnsi="Consolas" w:eastAsia="Consolas"/>
                <w:sz w:val="16"/>
              </w:rPr>
              <w:t xml:space="preserve">  raw_p = nValue1; keep Variable raw_p;</w:t>
            </w:r>
          </w:p>
          <w:p>
            <w:pPr>
              <w:spacing w:after="0"/>
            </w:pPr>
            <w:r>
              <w:rPr>
                <w:rFonts w:ascii="Consolas" w:hAnsi="Consolas" w:eastAsia="Consolas"/>
                <w:sz w:val="16"/>
              </w:rPr>
              <w:t>run;</w:t>
            </w:r>
          </w:p>
          <w:p>
            <w:pPr>
              <w:spacing w:after="0"/>
            </w:pPr>
            <w:r>
              <w:rPr>
                <w:rFonts w:ascii="Consolas" w:hAnsi="Consolas" w:eastAsia="Consolas"/>
                <w:sz w:val="16"/>
              </w:rPr>
              <w:t>proc multtest inpvalues=nd.pvals holm out=nd.holm_out; run;</w:t>
            </w:r>
          </w:p>
          <w:p>
            <w:pPr>
              <w:spacing w:after="0"/>
            </w:pPr>
            <w:r>
              <w:rPr>
                <w:rFonts w:ascii="Consolas" w:hAnsi="Consolas" w:eastAsia="Consolas"/>
                <w:sz w:val="16"/>
              </w:rPr>
              <w:t>/* Cliff's delta = 2U/(n1*n0) - 1, with U = rank sum of the high group - n1(n1+1)/2 */</w:t>
            </w:r>
          </w:p>
          <w:p>
            <w:pPr>
              <w:spacing w:after="0"/>
            </w:pPr>
            <w:r>
              <w:rPr>
                <w:rFonts w:ascii="Consolas" w:hAnsi="Consolas" w:eastAsia="Consolas"/>
                <w:sz w:val="16"/>
              </w:rPr>
              <w:t>proc sort data=nd.wscores; by Variable; run;</w:t>
            </w:r>
          </w:p>
          <w:p>
            <w:pPr>
              <w:spacing w:after="0"/>
            </w:pPr>
            <w:r>
              <w:rPr>
                <w:rFonts w:ascii="Consolas" w:hAnsi="Consolas" w:eastAsia="Consolas"/>
                <w:sz w:val="16"/>
              </w:rPr>
              <w:t>data nd.cliffs;</w:t>
            </w:r>
          </w:p>
          <w:p>
            <w:pPr>
              <w:spacing w:after="0"/>
            </w:pPr>
            <w:r>
              <w:rPr>
                <w:rFonts w:ascii="Consolas" w:hAnsi="Consolas" w:eastAsia="Consolas"/>
                <w:sz w:val="16"/>
              </w:rPr>
              <w:t xml:space="preserve">  merge nd.wscores(where=(Class='1') rename=(N=n1 SumOfScores=S1))</w:t>
            </w:r>
          </w:p>
          <w:p>
            <w:pPr>
              <w:spacing w:after="0"/>
            </w:pPr>
            <w:r>
              <w:rPr>
                <w:rFonts w:ascii="Consolas" w:hAnsi="Consolas" w:eastAsia="Consolas"/>
                <w:sz w:val="16"/>
              </w:rPr>
              <w:t xml:space="preserve">        nd.wscores(where=(Class='0') keep=Variable Class N rename=(N=n0));</w:t>
            </w:r>
          </w:p>
          <w:p>
            <w:pPr>
              <w:spacing w:after="0"/>
            </w:pPr>
            <w:r>
              <w:rPr>
                <w:rFonts w:ascii="Consolas" w:hAnsi="Consolas" w:eastAsia="Consolas"/>
                <w:sz w:val="16"/>
              </w:rPr>
              <w:t xml:space="preserve">  by Variable;</w:t>
            </w:r>
          </w:p>
          <w:p>
            <w:pPr>
              <w:spacing w:after="0"/>
            </w:pPr>
            <w:r>
              <w:rPr>
                <w:rFonts w:ascii="Consolas" w:hAnsi="Consolas" w:eastAsia="Consolas"/>
                <w:sz w:val="16"/>
              </w:rPr>
              <w:t xml:space="preserve">  U = S1 - n1*(n1+1)/2;  cliffs_delta = 2*U/(n1*n0) - 1;</w:t>
            </w:r>
          </w:p>
          <w:p>
            <w:pPr>
              <w:spacing w:after="0"/>
            </w:pPr>
            <w:r>
              <w:rPr>
                <w:rFonts w:ascii="Consolas" w:hAnsi="Consolas" w:eastAsia="Consolas"/>
                <w:sz w:val="16"/>
              </w:rPr>
              <w:t>run;</w:t>
            </w:r>
          </w:p>
          <w:p>
            <w:pPr>
              <w:spacing w:after="0"/>
            </w:pPr>
            <w:r>
              <w:rPr>
                <w:rFonts w:ascii="Consolas" w:hAnsi="Consolas" w:eastAsia="Consolas"/>
                <w:sz w:val="16"/>
              </w:rPr>
              <w:t xml:space="preserve"> </w:t>
            </w:r>
          </w:p>
          <w:p>
            <w:pPr>
              <w:spacing w:after="0"/>
            </w:pPr>
            <w:r>
              <w:rPr>
                <w:rFonts w:ascii="Consolas" w:hAnsi="Consolas" w:eastAsia="Consolas"/>
                <w:sz w:val="16"/>
              </w:rPr>
              <w:t>/* 2. T1: logistic model on standardised skills + ROC */</w:t>
            </w:r>
          </w:p>
          <w:p>
            <w:pPr>
              <w:spacing w:after="0"/>
            </w:pPr>
            <w:r>
              <w:rPr>
                <w:rFonts w:ascii="Consolas" w:hAnsi="Consolas" w:eastAsia="Consolas"/>
                <w:sz w:val="16"/>
              </w:rPr>
              <w:t>proc stdize data=nd.jds out=nd.jds_z method=std; var &amp;skills; run;</w:t>
            </w:r>
          </w:p>
          <w:p>
            <w:pPr>
              <w:spacing w:after="0"/>
            </w:pPr>
            <w:r>
              <w:rPr>
                <w:rFonts w:ascii="Consolas" w:hAnsi="Consolas" w:eastAsia="Consolas"/>
                <w:sz w:val="16"/>
              </w:rPr>
              <w:t>proc logistic data=nd.jds_z plots(only)=roc;</w:t>
            </w:r>
          </w:p>
          <w:p>
            <w:pPr>
              <w:spacing w:after="0"/>
            </w:pPr>
            <w:r>
              <w:rPr>
                <w:rFonts w:ascii="Consolas" w:hAnsi="Consolas" w:eastAsia="Consolas"/>
                <w:sz w:val="16"/>
              </w:rPr>
              <w:t xml:space="preserve">  model salary_hike_high_or_low(event='1') = &amp;skills / ctable;</w:t>
            </w:r>
          </w:p>
          <w:p>
            <w:pPr>
              <w:spacing w:after="0"/>
            </w:pPr>
            <w:r>
              <w:rPr>
                <w:rFonts w:ascii="Consolas" w:hAnsi="Consolas" w:eastAsia="Consolas"/>
                <w:sz w:val="16"/>
              </w:rPr>
              <w:t>run;</w:t>
            </w:r>
          </w:p>
          <w:p>
            <w:pPr>
              <w:spacing w:after="0"/>
            </w:pPr>
            <w:r>
              <w:rPr>
                <w:rFonts w:ascii="Consolas" w:hAnsi="Consolas" w:eastAsia="Consolas"/>
                <w:sz w:val="16"/>
              </w:rPr>
              <w:t xml:space="preserve"> </w:t>
            </w:r>
          </w:p>
          <w:p>
            <w:pPr>
              <w:spacing w:after="0"/>
            </w:pPr>
            <w:r>
              <w:rPr>
                <w:rFonts w:ascii="Consolas" w:hAnsi="Consolas" w:eastAsia="Consolas"/>
                <w:sz w:val="16"/>
              </w:rPr>
              <w:t>/* 3. Market: cumulative-logit (proportional-odds) model of the 6 salary bands.</w:t>
            </w:r>
          </w:p>
          <w:p>
            <w:pPr>
              <w:spacing w:after="0"/>
            </w:pPr>
            <w:r>
              <w:rPr>
                <w:rFonts w:ascii="Consolas" w:hAnsi="Consolas" w:eastAsia="Consolas"/>
                <w:sz w:val="16"/>
              </w:rPr>
              <w:t xml:space="preserve">      DESCENDING models P(Y &gt;= j), so exp(beta) &gt; 1 means higher bands. The score test</w:t>
            </w:r>
          </w:p>
          <w:p>
            <w:pPr>
              <w:spacing w:after="0"/>
            </w:pPr>
            <w:r>
              <w:rPr>
                <w:rFonts w:ascii="Consolas" w:hAnsi="Consolas" w:eastAsia="Consolas"/>
                <w:sz w:val="16"/>
              </w:rPr>
              <w:t xml:space="preserve">      for the proportional-odds assumption is printed by default. */</w:t>
            </w:r>
          </w:p>
          <w:p>
            <w:pPr>
              <w:spacing w:after="0"/>
            </w:pPr>
            <w:r>
              <w:rPr>
                <w:rFonts w:ascii="Consolas" w:hAnsi="Consolas" w:eastAsia="Consolas"/>
                <w:sz w:val="16"/>
              </w:rPr>
              <w:t>proc logistic data=nd.analytics(where=(is_ds_p_n=1)) descending;</w:t>
            </w:r>
          </w:p>
          <w:p>
            <w:pPr>
              <w:spacing w:after="0"/>
            </w:pPr>
            <w:r>
              <w:rPr>
                <w:rFonts w:ascii="Consolas" w:hAnsi="Consolas" w:eastAsia="Consolas"/>
                <w:sz w:val="16"/>
              </w:rPr>
              <w:t xml:space="preserve">  class seniority(ref='mid') loc_tier(ref='Tier1') role_family(ref='other') / param=ref;</w:t>
            </w:r>
          </w:p>
          <w:p>
            <w:pPr>
              <w:spacing w:after="0"/>
            </w:pPr>
            <w:r>
              <w:rPr>
                <w:rFonts w:ascii="Consolas" w:hAnsi="Consolas" w:eastAsia="Consolas"/>
                <w:sz w:val="16"/>
              </w:rPr>
              <w:t xml:space="preserve">  model salary_ord = big_data_p maths_stats_p coding_p ai_ml_p story_p</w:t>
            </w:r>
          </w:p>
          <w:p>
            <w:pPr>
              <w:spacing w:after="0"/>
            </w:pPr>
            <w:r>
              <w:rPr>
                <w:rFonts w:ascii="Consolas" w:hAnsi="Consolas" w:eastAsia="Consolas"/>
                <w:sz w:val="16"/>
              </w:rPr>
              <w:t xml:space="preserve">                     exp_min exp_span jobtype_missing_n trunc_skills_n</w:t>
            </w:r>
          </w:p>
          <w:p>
            <w:pPr>
              <w:spacing w:after="0"/>
            </w:pPr>
            <w:r>
              <w:rPr>
                <w:rFonts w:ascii="Consolas" w:hAnsi="Consolas" w:eastAsia="Consolas"/>
                <w:sz w:val="16"/>
              </w:rPr>
              <w:t xml:space="preserve">                     seniority loc_tier role_family / link=clogit;</w:t>
            </w:r>
          </w:p>
          <w:p>
            <w:pPr>
              <w:spacing w:after="0"/>
            </w:pPr>
            <w:r>
              <w:rPr>
                <w:rFonts w:ascii="Consolas" w:hAnsi="Consolas" w:eastAsia="Consolas"/>
                <w:sz w:val="16"/>
              </w:rPr>
              <w:t xml:space="preserve">  ods output OddsRatios=nd.market_or;</w:t>
            </w:r>
          </w:p>
          <w:p>
            <w:pPr>
              <w:spacing w:after="0"/>
            </w:pPr>
            <w:r>
              <w:rPr>
                <w:rFonts w:ascii="Consolas" w:hAnsi="Consolas" w:eastAsia="Consolas"/>
                <w:sz w:val="16"/>
              </w:rPr>
              <w:t>run;</w:t>
            </w:r>
          </w:p>
        </w:tc>
      </w:tr>
    </w:tbl>
    <w:p>
      <w:pPr>
        <w:spacing w:after="0"/>
      </w:pPr>
    </w:p>
    <w:p>
      <w:pPr>
        <w:pStyle w:val="Heading2"/>
      </w:pPr>
      <w:bookmarkStart w:id="56" w:name="h_EReproduceeverything"/>
      <w:r>
        <w:t>E. Reproduce everything</w:t>
      </w:r>
      <w:bookmarkEnd w:id="56"/>
    </w:p>
    <w:tbl>
      <w:tblPr>
        <w:tblW w:type="auto" w:w="0"/>
        <w:jc w:val="center"/>
        <w:tblLayout w:type="fixed"/>
        <w:tblLook w:firstColumn="1" w:firstRow="1" w:lastColumn="0" w:lastRow="0" w:noHBand="0" w:noVBand="1" w:val="04A0"/>
      </w:tblPr>
      <w:tblGrid>
        <w:gridCol w:w="5102"/>
        <w:gridCol w:w="4139"/>
      </w:tblGrid>
      <w:tr>
        <w:trPr>
          <w:cantSplit/>
          <w:tblHeader/>
        </w:trPr>
        <w:tc>
          <w:tcPr>
            <w:tcW w:type="dxa" w:w="5102"/>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Notebook</w:t>
            </w:r>
          </w:p>
        </w:tc>
        <w:tc>
          <w:tcPr>
            <w:tcW w:type="dxa" w:w="4139"/>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Open</w:t>
            </w:r>
          </w:p>
        </w:tc>
      </w:tr>
      <w:tr>
        <w:trPr>
          <w:cantSplit/>
        </w:trPr>
        <w:tc>
          <w:tcPr>
            <w:tcW w:type="dxa" w:w="5102"/>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01_data_exploration_cleaning</w:t>
            </w:r>
          </w:p>
        </w:tc>
        <w:tc>
          <w:tcPr>
            <w:tcW w:type="dxa" w:w="4139"/>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hyperlink r:id="rId15">
              <w:r>
                <w:rPr>
                  <w:color w:val="D9701C"/>
                  <w:u w:val="single"/>
                  <w:sz w:val="20"/>
                </w:rPr>
                <w:t xml:space="preserve">view on GitHub</w:t>
              </w:r>
            </w:hyperlink>
          </w:p>
        </w:tc>
      </w:tr>
      <w:tr>
        <w:trPr>
          <w:cantSplit/>
        </w:trPr>
        <w:tc>
          <w:tcPr>
            <w:tcW w:type="dxa" w:w="5102"/>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02_internal_evidence_JDS_SDS</w:t>
            </w:r>
          </w:p>
        </w:tc>
        <w:tc>
          <w:tcPr>
            <w:tcW w:type="dxa" w:w="4139"/>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hyperlink r:id="rId16">
              <w:r>
                <w:rPr>
                  <w:color w:val="D9701C"/>
                  <w:u w:val="single"/>
                  <w:sz w:val="20"/>
                </w:rPr>
                <w:t xml:space="preserve">view on GitHub</w:t>
              </w:r>
            </w:hyperlink>
          </w:p>
        </w:tc>
      </w:tr>
      <w:tr>
        <w:trPr>
          <w:cantSplit/>
        </w:trPr>
        <w:tc>
          <w:tcPr>
            <w:tcW w:type="dxa" w:w="5102"/>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03_T1_high_hike_model</w:t>
            </w:r>
          </w:p>
        </w:tc>
        <w:tc>
          <w:tcPr>
            <w:tcW w:type="dxa" w:w="4139"/>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hyperlink r:id="rId17">
              <w:r>
                <w:rPr>
                  <w:color w:val="D9701C"/>
                  <w:u w:val="single"/>
                  <w:sz w:val="20"/>
                </w:rPr>
                <w:t xml:space="preserve">view on GitHub</w:t>
              </w:r>
            </w:hyperlink>
          </w:p>
        </w:tc>
      </w:tr>
      <w:tr>
        <w:trPr>
          <w:cantSplit/>
        </w:trPr>
        <w:tc>
          <w:tcPr>
            <w:tcW w:type="dxa" w:w="5102"/>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04_market_salary_band_model</w:t>
            </w:r>
          </w:p>
        </w:tc>
        <w:tc>
          <w:tcPr>
            <w:tcW w:type="dxa" w:w="4139"/>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hyperlink r:id="rId18">
              <w:r>
                <w:rPr>
                  <w:color w:val="D9701C"/>
                  <w:u w:val="single"/>
                  <w:sz w:val="20"/>
                </w:rPr>
                <w:t xml:space="preserve">view on GitHub</w:t>
              </w:r>
            </w:hyperlink>
          </w:p>
        </w:tc>
      </w:tr>
      <w:tr>
        <w:trPr>
          <w:cantSplit/>
        </w:trPr>
        <w:tc>
          <w:tcPr>
            <w:tcW w:type="dxa" w:w="5102"/>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05_T2_JD_scanner_salary_band</w:t>
            </w:r>
          </w:p>
        </w:tc>
        <w:tc>
          <w:tcPr>
            <w:tcW w:type="dxa" w:w="4139"/>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hyperlink r:id="rId19">
              <w:r>
                <w:rPr>
                  <w:color w:val="D9701C"/>
                  <w:u w:val="single"/>
                  <w:sz w:val="20"/>
                </w:rPr>
                <w:t xml:space="preserve">view on GitHub</w:t>
              </w:r>
            </w:hyperlink>
          </w:p>
        </w:tc>
      </w:tr>
      <w:tr>
        <w:trPr>
          <w:cantSplit/>
        </w:trPr>
        <w:tc>
          <w:tcPr>
            <w:tcW w:type="dxa" w:w="5102"/>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06_headroom_career_decision_engine</w:t>
            </w:r>
          </w:p>
        </w:tc>
        <w:tc>
          <w:tcPr>
            <w:tcW w:type="dxa" w:w="4139"/>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hyperlink r:id="rId20">
              <w:r>
                <w:rPr>
                  <w:color w:val="D9701C"/>
                  <w:u w:val="single"/>
                  <w:sz w:val="20"/>
                </w:rPr>
                <w:t xml:space="preserve">view on GitHub</w:t>
              </w:r>
            </w:hyperlink>
          </w:p>
        </w:tc>
      </w:tr>
      <w:tr>
        <w:trPr>
          <w:cantSplit/>
        </w:trPr>
        <w:tc>
          <w:tcPr>
            <w:tcW w:type="dxa" w:w="5102"/>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07_app_role_profiles</w:t>
            </w:r>
          </w:p>
        </w:tc>
        <w:tc>
          <w:tcPr>
            <w:tcW w:type="dxa" w:w="4139"/>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hyperlink r:id="rId21">
              <w:r>
                <w:rPr>
                  <w:color w:val="D9701C"/>
                  <w:u w:val="single"/>
                  <w:sz w:val="20"/>
                </w:rPr>
                <w:t xml:space="preserve">view on GitHub</w:t>
              </w:r>
            </w:hyperlink>
          </w:p>
        </w:tc>
      </w:tr>
      <w:tr>
        <w:trPr>
          <w:cantSplit/>
        </w:trPr>
        <w:tc>
          <w:tcPr>
            <w:tcW w:type="dxa" w:w="5102"/>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08_supplementary_checks</w:t>
            </w:r>
          </w:p>
        </w:tc>
        <w:tc>
          <w:tcPr>
            <w:tcW w:type="dxa" w:w="4139"/>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hyperlink r:id="rId22">
              <w:r>
                <w:rPr>
                  <w:color w:val="D9701C"/>
                  <w:u w:val="single"/>
                  <w:sz w:val="20"/>
                </w:rPr>
                <w:t xml:space="preserve">view on GitHub</w:t>
              </w:r>
            </w:hyperlink>
          </w:p>
        </w:tc>
      </w:tr>
      <w:tr>
        <w:trPr>
          <w:cantSplit/>
        </w:trPr>
        <w:tc>
          <w:tcPr>
            <w:tcW w:type="dxa" w:w="5102"/>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Application</w:t>
            </w:r>
          </w:p>
        </w:tc>
        <w:tc>
          <w:tcPr>
            <w:tcW w:type="dxa" w:w="4139"/>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 xml:space="preserve">streamlit run app.py (offline) — </w:t>
            </w:r>
            <w:hyperlink r:id="rId11">
              <w:r>
                <w:rPr>
                  <w:color w:val="D9701C"/>
                  <w:u w:val="single"/>
                  <w:sz w:val="20"/>
                </w:rPr>
                <w:t xml:space="preserve">repository</w:t>
              </w:r>
            </w:hyperlink>
          </w:p>
        </w:tc>
      </w:tr>
    </w:tbl>
    <w:p>
      <w:pPr>
        <w:spacing w:after="40"/>
      </w:pPr>
    </w:p>
    <w:p>
      <w:pPr>
        <w:pStyle w:val="Heading2"/>
      </w:pPr>
      <w:bookmarkStart w:id="57" w:name="h_FGlossary"/>
      <w:r>
        <w:t>F. Glossary</w:t>
      </w:r>
      <w:bookmarkEnd w:id="57"/>
    </w:p>
    <w:tbl>
      <w:tblPr>
        <w:tblW w:type="auto" w:w="0"/>
        <w:jc w:val="center"/>
        <w:tblLayout w:type="fixed"/>
        <w:tblLook w:firstColumn="1" w:firstRow="1" w:lastColumn="0" w:lastRow="0" w:noHBand="0" w:noVBand="1" w:val="04A0"/>
      </w:tblPr>
      <w:tblGrid>
        <w:gridCol w:w="2608"/>
        <w:gridCol w:w="6633"/>
      </w:tblGrid>
      <w:tr>
        <w:trPr>
          <w:cantSplit/>
          <w:tblHeader/>
        </w:trPr>
        <w:tc>
          <w:tcPr>
            <w:tcW w:type="dxa" w:w="2608"/>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Term</w:t>
            </w:r>
          </w:p>
        </w:tc>
        <w:tc>
          <w:tcPr>
            <w:tcW w:type="dxa" w:w="6633"/>
            <w:tcBorders>
              <w:top w:val="single" w:sz="4" w:color="DAD6CB"/>
              <w:start w:val="single" w:sz="4" w:color="DAD6CB"/>
              <w:bottom w:val="single" w:sz="4" w:color="DAD6CB"/>
              <w:end w:val="single" w:sz="4" w:color="DAD6CB"/>
            </w:tcBorders>
            <w:shd w:val="clear" w:color="auto" w:fill="0B1730"/>
            <w:tcMar>
              <w:top w:w="50" w:type="dxa"/>
              <w:start w:w="90" w:type="dxa"/>
              <w:bottom w:w="50" w:type="dxa"/>
              <w:end w:w="90" w:type="dxa"/>
            </w:tcMar>
          </w:tcPr>
          <w:p>
            <w:pPr>
              <w:spacing w:after="0"/>
            </w:pPr>
            <w:r>
              <w:rPr>
                <w:b/>
                <w:color w:val="FFFFFF"/>
                <w:sz w:val="20"/>
              </w:rPr>
              <w:t>Meaning</w:t>
            </w:r>
          </w:p>
        </w:tc>
      </w:tr>
      <w:tr>
        <w:trPr>
          <w:cantSplit/>
        </w:trPr>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Cliff's δ</w:t>
            </w:r>
          </w:p>
        </w:tc>
        <w:tc>
          <w:tcPr>
            <w:tcW w:type="dxa" w:w="6633"/>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Probability a high-group score exceeds a low-group score minus the reverse; −1 to 1</w:t>
            </w:r>
          </w:p>
        </w:tc>
      </w:tr>
      <w:tr>
        <w:trPr>
          <w:cantSplit/>
        </w:trPr>
        <w:tc>
          <w:tcPr>
            <w:tcW w:type="dxa" w:w="260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Odds ratio (OR)</w:t>
            </w:r>
          </w:p>
        </w:tc>
        <w:tc>
          <w:tcPr>
            <w:tcW w:type="dxa" w:w="6633"/>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Multiplicative change in the odds of a higher salary band when a capability is present; 1 = no effect</w:t>
            </w:r>
          </w:p>
        </w:tc>
      </w:tr>
      <w:tr>
        <w:trPr>
          <w:cantSplit/>
        </w:trPr>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Headroom</w:t>
            </w:r>
          </w:p>
        </w:tc>
        <w:tc>
          <w:tcPr>
            <w:tcW w:type="dxa" w:w="6633"/>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Share of juniors below the 5.0 ceiling in a capability</w:t>
            </w:r>
          </w:p>
        </w:tc>
      </w:tr>
      <w:tr>
        <w:trPr>
          <w:cantSplit/>
        </w:trPr>
        <w:tc>
          <w:tcPr>
            <w:tcW w:type="dxa" w:w="260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E_k</w:t>
            </w:r>
          </w:p>
        </w:tc>
        <w:tc>
          <w:tcPr>
            <w:tcW w:type="dxa" w:w="6633"/>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Modelled change in P(high hike) for a +0.5 improvement in capability k (what-if)</w:t>
            </w:r>
          </w:p>
        </w:tc>
      </w:tr>
      <w:tr>
        <w:trPr>
          <w:cantSplit/>
        </w:trPr>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Quadratic κ</w:t>
            </w:r>
          </w:p>
        </w:tc>
        <w:tc>
          <w:tcPr>
            <w:tcW w:type="dxa" w:w="6633"/>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Agreement for ordered categories; penalises far misses more</w:t>
            </w:r>
          </w:p>
        </w:tc>
      </w:tr>
      <w:tr>
        <w:trPr>
          <w:cantSplit/>
        </w:trPr>
        <w:tc>
          <w:tcPr>
            <w:tcW w:type="dxa" w:w="2608"/>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Minimum group size (K = 5)</w:t>
            </w:r>
          </w:p>
        </w:tc>
        <w:tc>
          <w:tcPr>
            <w:tcW w:type="dxa" w:w="6633"/>
            <w:tcBorders>
              <w:top w:val="single" w:sz="4" w:color="DAD6CB"/>
              <w:start w:val="single" w:sz="4" w:color="DAD6CB"/>
              <w:bottom w:val="single" w:sz="4" w:color="DAD6CB"/>
              <w:end w:val="single" w:sz="4" w:color="DAD6CB"/>
            </w:tcBorders>
            <w:shd w:val="clear" w:color="auto" w:fill="F7F4EC"/>
            <w:tcMar>
              <w:top w:w="50" w:type="dxa"/>
              <w:start w:w="90" w:type="dxa"/>
              <w:bottom w:w="50" w:type="dxa"/>
              <w:end w:w="90" w:type="dxa"/>
            </w:tcMar>
          </w:tcPr>
          <w:p>
            <w:pPr>
              <w:spacing w:after="0"/>
            </w:pPr>
            <w:r>
              <w:rPr>
                <w:sz w:val="20"/>
              </w:rPr>
              <w:t>No group statistic shown until at least 5 people contributed</w:t>
            </w:r>
          </w:p>
        </w:tc>
      </w:tr>
      <w:tr>
        <w:trPr>
          <w:cantSplit/>
        </w:trPr>
        <w:tc>
          <w:tcPr>
            <w:tcW w:type="dxa" w:w="2608"/>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PRIORITIZE / INVESTIGATE / MAINTAIN</w:t>
            </w:r>
          </w:p>
        </w:tc>
        <w:tc>
          <w:tcPr>
            <w:tcW w:type="dxa" w:w="6633"/>
            <w:tcBorders>
              <w:top w:val="single" w:sz="4" w:color="DAD6CB"/>
              <w:start w:val="single" w:sz="4" w:color="DAD6CB"/>
              <w:bottom w:val="single" w:sz="4" w:color="DAD6CB"/>
              <w:end w:val="single" w:sz="4" w:color="DAD6CB"/>
            </w:tcBorders>
            <w:tcMar>
              <w:top w:w="50" w:type="dxa"/>
              <w:start w:w="90" w:type="dxa"/>
              <w:bottom w:w="50" w:type="dxa"/>
              <w:end w:w="90" w:type="dxa"/>
            </w:tcMar>
          </w:tcPr>
          <w:p>
            <w:pPr>
              <w:spacing w:after="0"/>
            </w:pPr>
            <w:r>
              <w:rPr>
                <w:sz w:val="20"/>
              </w:rPr>
              <w:t>Product labels for the notebook verdicts FUND / FUND WITH REFRAME, MONITOR or TIED / DEPRIORITISE</w:t>
            </w:r>
          </w:p>
        </w:tc>
      </w:tr>
    </w:tbl>
    <w:p>
      <w:pPr>
        <w:spacing w:after="40"/>
      </w:pPr>
    </w:p>
    <w:sectPr w:rsidR="00FC693F" w:rsidRPr="0006063C" w:rsidSect="00034616">
      <w:footerReference w:type="default" r:id="rId9"/>
      <w:headerReference w:type="default" r:id="rId10"/>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B6780"/>
        <w:sz w:val="18"/>
      </w:rPr>
      <w:t xml:space="preserve">NEXUS DELTA · Team DSA · Technical Approach Note · page </w:t>
    </w:r>
    <w:r>
      <w:fldChar w:fldCharType="begin"/>
    </w:r>
    <w:r>
      <w:instrText xml:space="preserve">PAGE</w:instrText>
    </w:r>
    <w:r>
      <w:fldChar w:fldCharType="separate"/>
    </w:r>
    <w:r>
      <w:rPr>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D9701C"/>
        <w:sz w:val="18"/>
      </w:rPr>
      <w:t>Evidence, not opinion.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imes New Roman" w:hAnsi="Times New Roman" w:eastAsia="Times New Roman" w:cs="Times New Roman"/>
      <w:b/>
      <w:bCs/>
      <w:i w:val="0"/>
      <w:color w:val="0B173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Times New Roman" w:cs="Times New Roman"/>
      <w:b/>
      <w:bCs/>
      <w:i w:val="0"/>
      <w:color w:val="0B1730"/>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imes New Roman" w:hAnsi="Times New Roman" w:eastAsia="Times New Roman" w:cs="Times New Roman"/>
      <w:b/>
      <w:bCs/>
      <w:i w:val="0"/>
      <w:color w:val="D9701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github.com/Darshna1308/nexus-delta-dsa"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github.com/Darshna1308/nexus-delta-dsa/blob/main/notebooks/01_data_exploration_cleaning.ipynb" TargetMode="External"/><Relationship Id="rId16" Type="http://schemas.openxmlformats.org/officeDocument/2006/relationships/hyperlink" Target="https://github.com/Darshna1308/nexus-delta-dsa/blob/main/notebooks/02_internal_evidence_JDS_SDS.ipynb" TargetMode="External"/><Relationship Id="rId17" Type="http://schemas.openxmlformats.org/officeDocument/2006/relationships/hyperlink" Target="https://github.com/Darshna1308/nexus-delta-dsa/blob/main/notebooks/03_T1_high_hike_model.ipynb" TargetMode="External"/><Relationship Id="rId18" Type="http://schemas.openxmlformats.org/officeDocument/2006/relationships/hyperlink" Target="https://github.com/Darshna1308/nexus-delta-dsa/blob/main/notebooks/04_market_salary_band_model.ipynb" TargetMode="External"/><Relationship Id="rId19" Type="http://schemas.openxmlformats.org/officeDocument/2006/relationships/hyperlink" Target="https://github.com/Darshna1308/nexus-delta-dsa/blob/main/notebooks/05_T2_JD_scanner_salary_band.ipynb" TargetMode="External"/><Relationship Id="rId20" Type="http://schemas.openxmlformats.org/officeDocument/2006/relationships/hyperlink" Target="https://github.com/Darshna1308/nexus-delta-dsa/blob/main/notebooks/06_headroom_career_decision_engine.ipynb" TargetMode="External"/><Relationship Id="rId21" Type="http://schemas.openxmlformats.org/officeDocument/2006/relationships/hyperlink" Target="https://github.com/Darshna1308/nexus-delta-dsa/blob/main/notebooks/07_app_role_profiles.ipynb" TargetMode="External"/><Relationship Id="rId22" Type="http://schemas.openxmlformats.org/officeDocument/2006/relationships/hyperlink" Target="https://github.com/Darshna1308/nexus-delta-dsa/blob/main/notebooks/08_supplementary_checks.ipynb" TargetMode="External"/><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