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73" w:rsidRDefault="00AC6273" w:rsidP="00AC6273">
      <w:pPr>
        <w:pStyle w:val="1"/>
        <w:rPr>
          <w:lang w:val="uk-UA"/>
        </w:rPr>
      </w:pPr>
      <w:bookmarkStart w:id="0" w:name="_Toc451632603"/>
      <w:r w:rsidRPr="00AE264C">
        <w:rPr>
          <w:lang w:val="uk-UA"/>
        </w:rPr>
        <w:t>Аналіз і узагальнення результатів</w:t>
      </w:r>
      <w:bookmarkEnd w:id="0"/>
    </w:p>
    <w:p w:rsidR="00AC6273" w:rsidRDefault="00AC6273" w:rsidP="00AC6273">
      <w:pPr>
        <w:rPr>
          <w:lang w:val="uk-UA"/>
        </w:rPr>
      </w:pPr>
      <w:r w:rsidRPr="00A446F4">
        <w:rPr>
          <w:lang w:val="uk-UA"/>
        </w:rPr>
        <w:t>Головною задачею курсової роботи була реалізація програми для</w:t>
      </w:r>
      <w:r>
        <w:rPr>
          <w:lang w:val="uk-UA"/>
        </w:rPr>
        <w:t xml:space="preserve"> розв’язання СЛАР наступними методами: </w:t>
      </w:r>
      <w:r w:rsidR="00716F65">
        <w:rPr>
          <w:lang w:val="uk-UA"/>
        </w:rPr>
        <w:t xml:space="preserve">Гауса, </w:t>
      </w:r>
      <w:proofErr w:type="spellStart"/>
      <w:r w:rsidR="00716F65">
        <w:rPr>
          <w:lang w:val="uk-UA"/>
        </w:rPr>
        <w:t>Жордана-Гауса</w:t>
      </w:r>
      <w:proofErr w:type="spellEnd"/>
      <w:r w:rsidR="00716F65">
        <w:rPr>
          <w:lang w:val="uk-UA"/>
        </w:rPr>
        <w:t xml:space="preserve"> та обертань.</w:t>
      </w:r>
    </w:p>
    <w:p w:rsidR="00AC6273" w:rsidRDefault="00AC6273" w:rsidP="00AC6273">
      <w:pPr>
        <w:rPr>
          <w:lang w:val="uk-UA"/>
        </w:rPr>
      </w:pPr>
      <w:r>
        <w:rPr>
          <w:lang w:val="uk-UA"/>
        </w:rPr>
        <w:t xml:space="preserve">Критичні ситуації у роботі </w:t>
      </w:r>
      <w:r w:rsidRPr="00A446F4">
        <w:rPr>
          <w:lang w:val="uk-UA"/>
        </w:rPr>
        <w:t>програми виявлені не були</w:t>
      </w:r>
      <w:r>
        <w:rPr>
          <w:lang w:val="uk-UA"/>
        </w:rPr>
        <w:t>.</w:t>
      </w:r>
      <w:r w:rsidRPr="00A446F4">
        <w:rPr>
          <w:lang w:val="uk-UA"/>
        </w:rPr>
        <w:t xml:space="preserve"> </w:t>
      </w:r>
      <w:r>
        <w:rPr>
          <w:lang w:val="uk-UA"/>
        </w:rPr>
        <w:t xml:space="preserve">Під час тестування було виявлено, що більшість помилок виникало тоді, коли користувачем вводилися не числові вхідні дані. Тому всі дані, які вводить користувач, ретельно провіряються на </w:t>
      </w:r>
      <w:proofErr w:type="spellStart"/>
      <w:r>
        <w:rPr>
          <w:lang w:val="uk-UA"/>
        </w:rPr>
        <w:t>валідність</w:t>
      </w:r>
      <w:proofErr w:type="spellEnd"/>
      <w:r>
        <w:rPr>
          <w:lang w:val="uk-UA"/>
        </w:rPr>
        <w:t xml:space="preserve"> і лише потім подаються на обробку програмі.</w:t>
      </w:r>
    </w:p>
    <w:p w:rsidR="00AC6273" w:rsidRPr="00D275F9" w:rsidRDefault="00AC6273" w:rsidP="00AC6273">
      <w:r>
        <w:rPr>
          <w:lang w:val="uk-UA"/>
        </w:rPr>
        <w:t xml:space="preserve">Для перевірки та доведення достовірності результатів </w:t>
      </w:r>
      <w:r w:rsidRPr="008D5937">
        <w:rPr>
          <w:lang w:val="uk-UA"/>
        </w:rPr>
        <w:t>виконання</w:t>
      </w:r>
      <w:r>
        <w:rPr>
          <w:lang w:val="uk-UA"/>
        </w:rPr>
        <w:t xml:space="preserve"> програмного забезпечення скористаюся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>:</w:t>
      </w:r>
    </w:p>
    <w:p w:rsidR="00AC6273" w:rsidRPr="009731F7" w:rsidRDefault="00AC6273" w:rsidP="00AC6273">
      <w:r>
        <w:t>а</w:t>
      </w:r>
      <w:proofErr w:type="gramStart"/>
      <w:r>
        <w:t>)</w:t>
      </w:r>
      <w:r w:rsidR="00716F65">
        <w:t>М</w:t>
      </w:r>
      <w:proofErr w:type="gramEnd"/>
      <w:r w:rsidR="00716F65">
        <w:t xml:space="preserve">етод </w:t>
      </w:r>
      <w:proofErr w:type="spellStart"/>
      <w:r w:rsidR="00716F65">
        <w:t>Гауса</w:t>
      </w:r>
      <w:proofErr w:type="spellEnd"/>
      <w:r w:rsidR="00716F65">
        <w:t>.</w:t>
      </w:r>
    </w:p>
    <w:p w:rsidR="00AC6273" w:rsidRDefault="00AC6273" w:rsidP="00AC6273">
      <w:pPr>
        <w:rPr>
          <w:lang w:val="uk-UA"/>
        </w:rPr>
      </w:pPr>
      <w:r>
        <w:rPr>
          <w:lang w:val="uk-UA"/>
        </w:rPr>
        <w:t xml:space="preserve">Результат виконання методу </w:t>
      </w:r>
      <w:proofErr w:type="spellStart"/>
      <w:r w:rsidR="00716F65">
        <w:t>Гауса</w:t>
      </w:r>
      <w:proofErr w:type="spellEnd"/>
      <w:r>
        <w:rPr>
          <w:lang w:val="uk-UA"/>
        </w:rPr>
        <w:t xml:space="preserve"> </w:t>
      </w:r>
      <w:r w:rsidRPr="008D5937">
        <w:rPr>
          <w:lang w:val="uk-UA"/>
        </w:rPr>
        <w:t>наведено</w:t>
      </w:r>
      <w:r>
        <w:rPr>
          <w:lang w:val="uk-UA"/>
        </w:rPr>
        <w:t xml:space="preserve"> на рисунку 7.1:</w:t>
      </w:r>
    </w:p>
    <w:p w:rsidR="00AC6273" w:rsidRDefault="00AC6273" w:rsidP="00AC6273">
      <w:pPr>
        <w:ind w:hanging="1"/>
        <w:jc w:val="center"/>
        <w:rPr>
          <w:lang w:val="uk-UA"/>
        </w:rPr>
      </w:pPr>
      <w:r w:rsidRPr="009731F7">
        <w:rPr>
          <w:noProof/>
          <w:lang w:eastAsia="uk-UA"/>
        </w:rPr>
        <w:t xml:space="preserve"> </w:t>
      </w:r>
      <w:r w:rsidR="006476DA">
        <w:rPr>
          <w:noProof/>
          <w:lang w:eastAsia="ru-RU"/>
        </w:rPr>
        <w:drawing>
          <wp:inline distT="0" distB="0" distL="0" distR="0" wp14:anchorId="1B2D0B36" wp14:editId="56CC2EE7">
            <wp:extent cx="2377440" cy="4076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3" w:rsidRDefault="00AC6273" w:rsidP="00AC627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</w:t>
      </w:r>
      <w:r w:rsidRPr="00765CA2">
        <w:rPr>
          <w:lang w:val="uk-UA"/>
        </w:rPr>
        <w:t>–</w:t>
      </w:r>
      <w:r>
        <w:rPr>
          <w:lang w:val="uk-UA"/>
        </w:rPr>
        <w:t xml:space="preserve"> Результат виконання методу Якобі</w:t>
      </w:r>
    </w:p>
    <w:p w:rsidR="00AC6273" w:rsidRDefault="00AC6273" w:rsidP="00AC6273">
      <w:pPr>
        <w:rPr>
          <w:lang w:val="uk-UA"/>
        </w:rPr>
      </w:pPr>
      <w:r>
        <w:rPr>
          <w:lang w:val="uk-UA"/>
        </w:rPr>
        <w:t xml:space="preserve">Оскільки результат виконання збігається з результатом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(</w:t>
      </w:r>
      <w:r>
        <w:rPr>
          <w:lang w:val="uk-UA"/>
        </w:rPr>
        <w:t>рисунок 7.2), то даний метод працює вірно.</w:t>
      </w:r>
    </w:p>
    <w:p w:rsidR="00AC6273" w:rsidRDefault="00AC6273" w:rsidP="00AC627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C6273" w:rsidRDefault="006476DA" w:rsidP="00AC6273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2600606" wp14:editId="1ECDB15B">
            <wp:extent cx="6120765" cy="275810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3" w:rsidRPr="00D275F9" w:rsidRDefault="00AC6273" w:rsidP="00AC6273">
      <w:pPr>
        <w:ind w:firstLine="0"/>
        <w:jc w:val="center"/>
      </w:pPr>
      <w:r>
        <w:rPr>
          <w:lang w:val="uk-UA"/>
        </w:rPr>
        <w:t xml:space="preserve">Рисунок 7.2  </w:t>
      </w:r>
      <w:r w:rsidRPr="00765CA2">
        <w:rPr>
          <w:lang w:val="uk-UA"/>
        </w:rPr>
        <w:t>–</w:t>
      </w:r>
      <w:r>
        <w:rPr>
          <w:lang w:val="uk-UA"/>
        </w:rPr>
        <w:t xml:space="preserve"> Перевірка методу</w:t>
      </w:r>
      <w:r w:rsidR="006476DA">
        <w:rPr>
          <w:lang w:val="uk-UA"/>
        </w:rPr>
        <w:t xml:space="preserve"> Гауса</w:t>
      </w:r>
      <w:r>
        <w:rPr>
          <w:lang w:val="uk-UA"/>
        </w:rPr>
        <w:t xml:space="preserve">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2010</w:t>
      </w:r>
    </w:p>
    <w:p w:rsidR="00AC6273" w:rsidRDefault="00AC6273" w:rsidP="00AC6273">
      <w:pPr>
        <w:rPr>
          <w:lang w:val="uk-UA"/>
        </w:rPr>
      </w:pPr>
      <w:r>
        <w:t>б)</w:t>
      </w:r>
      <w:r w:rsidRPr="00D275F9">
        <w:t xml:space="preserve"> </w:t>
      </w:r>
      <w:r>
        <w:rPr>
          <w:lang w:val="uk-UA"/>
        </w:rPr>
        <w:t xml:space="preserve">Метод </w:t>
      </w:r>
      <w:proofErr w:type="spellStart"/>
      <w:r w:rsidR="006476DA">
        <w:rPr>
          <w:lang w:val="uk-UA"/>
        </w:rPr>
        <w:t>Жордана-Гауса</w:t>
      </w:r>
      <w:proofErr w:type="spellEnd"/>
      <w:r w:rsidR="006476DA">
        <w:rPr>
          <w:lang w:val="uk-UA"/>
        </w:rPr>
        <w:t>.</w:t>
      </w:r>
    </w:p>
    <w:p w:rsidR="006476DA" w:rsidRDefault="006476DA" w:rsidP="006476DA">
      <w:pPr>
        <w:rPr>
          <w:lang w:val="uk-UA"/>
        </w:rPr>
      </w:pPr>
      <w:r>
        <w:rPr>
          <w:lang w:val="uk-UA"/>
        </w:rPr>
        <w:t xml:space="preserve">Результат виконання методу </w:t>
      </w:r>
      <w:proofErr w:type="spellStart"/>
      <w:r>
        <w:rPr>
          <w:lang w:val="uk-UA"/>
        </w:rPr>
        <w:t>Жордана</w:t>
      </w:r>
      <w:r>
        <w:rPr>
          <w:lang w:val="uk-UA"/>
        </w:rPr>
        <w:t>-</w:t>
      </w:r>
      <w:r>
        <w:t>Гауса</w:t>
      </w:r>
      <w:proofErr w:type="spellEnd"/>
      <w:r>
        <w:rPr>
          <w:lang w:val="uk-UA"/>
        </w:rPr>
        <w:t xml:space="preserve"> </w:t>
      </w:r>
      <w:r w:rsidRPr="008D5937">
        <w:rPr>
          <w:lang w:val="uk-UA"/>
        </w:rPr>
        <w:t>наведено</w:t>
      </w:r>
      <w:r>
        <w:rPr>
          <w:lang w:val="uk-UA"/>
        </w:rPr>
        <w:t xml:space="preserve"> на рисунку 7.3</w:t>
      </w:r>
      <w:r>
        <w:rPr>
          <w:lang w:val="uk-UA"/>
        </w:rPr>
        <w:t>:</w:t>
      </w:r>
    </w:p>
    <w:p w:rsidR="006476DA" w:rsidRDefault="006476DA" w:rsidP="006476DA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4CF4F98" wp14:editId="6ABE7E6A">
            <wp:extent cx="2065020" cy="3977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DA" w:rsidRDefault="006476DA" w:rsidP="006476D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7.3 – результат роботи методу </w:t>
      </w:r>
      <w:proofErr w:type="spellStart"/>
      <w:r>
        <w:rPr>
          <w:lang w:val="uk-UA"/>
        </w:rPr>
        <w:t>Жордана-</w:t>
      </w:r>
      <w:r>
        <w:t>Гауса</w:t>
      </w:r>
      <w:proofErr w:type="spellEnd"/>
    </w:p>
    <w:p w:rsidR="00A740FD" w:rsidRDefault="00A740FD" w:rsidP="00A740FD">
      <w:pPr>
        <w:rPr>
          <w:lang w:val="uk-UA"/>
        </w:rPr>
      </w:pPr>
      <w:r>
        <w:rPr>
          <w:lang w:val="uk-UA"/>
        </w:rPr>
        <w:t xml:space="preserve">Оскільки результат виконання збігається з результатом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(</w:t>
      </w:r>
      <w:r>
        <w:rPr>
          <w:lang w:val="uk-UA"/>
        </w:rPr>
        <w:t>рисунок 7.4</w:t>
      </w:r>
      <w:r>
        <w:rPr>
          <w:lang w:val="uk-UA"/>
        </w:rPr>
        <w:t>), то даний метод працює вірно.</w:t>
      </w:r>
    </w:p>
    <w:p w:rsidR="00A740FD" w:rsidRPr="00A740FD" w:rsidRDefault="00A740FD" w:rsidP="00A740FD">
      <w:pPr>
        <w:ind w:firstLine="0"/>
        <w:rPr>
          <w:lang w:val="uk-UA"/>
        </w:rPr>
      </w:pPr>
    </w:p>
    <w:p w:rsidR="006476DA" w:rsidRDefault="006476DA" w:rsidP="00AC6273">
      <w:pPr>
        <w:rPr>
          <w:lang w:val="uk-UA"/>
        </w:rPr>
      </w:pPr>
    </w:p>
    <w:p w:rsidR="006476DA" w:rsidRPr="006476DA" w:rsidRDefault="006476DA" w:rsidP="00A740FD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C2DD8C" wp14:editId="0BA725EE">
            <wp:extent cx="6120765" cy="256605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FD" w:rsidRDefault="00A740FD" w:rsidP="00A740FD">
      <w:pPr>
        <w:ind w:firstLine="0"/>
        <w:jc w:val="center"/>
        <w:rPr>
          <w:lang w:val="uk-UA"/>
        </w:rPr>
      </w:pPr>
      <w:r>
        <w:rPr>
          <w:lang w:val="uk-UA"/>
        </w:rPr>
        <w:t>Рисунок 7.4</w:t>
      </w:r>
      <w:r>
        <w:rPr>
          <w:lang w:val="uk-UA"/>
        </w:rPr>
        <w:t xml:space="preserve">  </w:t>
      </w:r>
      <w:r w:rsidRPr="00765CA2">
        <w:rPr>
          <w:lang w:val="uk-UA"/>
        </w:rPr>
        <w:t>–</w:t>
      </w:r>
      <w:r>
        <w:rPr>
          <w:lang w:val="uk-UA"/>
        </w:rPr>
        <w:t xml:space="preserve"> Перевірка методу </w:t>
      </w:r>
      <w:proofErr w:type="spellStart"/>
      <w:r>
        <w:rPr>
          <w:lang w:val="uk-UA"/>
        </w:rPr>
        <w:t>Жордана-</w:t>
      </w:r>
      <w:r>
        <w:rPr>
          <w:lang w:val="uk-UA"/>
        </w:rPr>
        <w:t>Гауса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2010</w:t>
      </w:r>
    </w:p>
    <w:p w:rsidR="00A740FD" w:rsidRDefault="00A740FD" w:rsidP="00A740FD">
      <w:pPr>
        <w:pStyle w:val="a6"/>
        <w:ind w:firstLine="0"/>
        <w:rPr>
          <w:lang w:val="uk-UA"/>
        </w:rPr>
      </w:pPr>
      <w:r>
        <w:rPr>
          <w:lang w:val="uk-UA"/>
        </w:rPr>
        <w:t>в) Метод обертань.</w:t>
      </w:r>
    </w:p>
    <w:p w:rsidR="00A740FD" w:rsidRDefault="00A740FD" w:rsidP="00A740FD">
      <w:pPr>
        <w:rPr>
          <w:lang w:val="uk-UA"/>
        </w:rPr>
      </w:pPr>
      <w:r>
        <w:rPr>
          <w:lang w:val="uk-UA"/>
        </w:rPr>
        <w:t>Результат виконання методу обертань</w:t>
      </w:r>
      <w:r w:rsidRPr="008D5937">
        <w:rPr>
          <w:lang w:val="uk-UA"/>
        </w:rPr>
        <w:t xml:space="preserve"> </w:t>
      </w:r>
      <w:r w:rsidRPr="008D5937">
        <w:rPr>
          <w:lang w:val="uk-UA"/>
        </w:rPr>
        <w:t>наведено</w:t>
      </w:r>
      <w:r>
        <w:rPr>
          <w:lang w:val="uk-UA"/>
        </w:rPr>
        <w:t xml:space="preserve"> на рисунку 7.5</w:t>
      </w:r>
      <w:r>
        <w:rPr>
          <w:lang w:val="uk-UA"/>
        </w:rPr>
        <w:t>:</w:t>
      </w:r>
    </w:p>
    <w:p w:rsidR="00A740FD" w:rsidRDefault="00A740FD" w:rsidP="00A740FD">
      <w:pPr>
        <w:pStyle w:val="a6"/>
        <w:ind w:left="0"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BACA6B9" wp14:editId="5CEAB660">
            <wp:extent cx="2872740" cy="35433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FD" w:rsidRDefault="00A740FD" w:rsidP="00A740FD">
      <w:pPr>
        <w:ind w:firstLine="0"/>
        <w:jc w:val="center"/>
        <w:rPr>
          <w:lang w:val="uk-UA"/>
        </w:rPr>
      </w:pPr>
      <w:r>
        <w:rPr>
          <w:lang w:val="uk-UA"/>
        </w:rPr>
        <w:t>Рисунок 7.</w:t>
      </w:r>
      <w:r>
        <w:rPr>
          <w:lang w:val="uk-UA"/>
        </w:rPr>
        <w:t>5</w:t>
      </w:r>
      <w:r>
        <w:rPr>
          <w:lang w:val="uk-UA"/>
        </w:rPr>
        <w:t xml:space="preserve"> – результат роботи методу обертань</w:t>
      </w:r>
    </w:p>
    <w:p w:rsidR="00A740FD" w:rsidRDefault="00A740FD" w:rsidP="00A740FD">
      <w:pPr>
        <w:rPr>
          <w:lang w:val="uk-UA"/>
        </w:rPr>
      </w:pPr>
      <w:r>
        <w:rPr>
          <w:lang w:val="uk-UA"/>
        </w:rPr>
        <w:t xml:space="preserve">Оскільки результат виконання збігається з результатом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(</w:t>
      </w:r>
      <w:r>
        <w:rPr>
          <w:lang w:val="uk-UA"/>
        </w:rPr>
        <w:t>рисунок 7.4), то даний метод працює вірно.</w:t>
      </w:r>
    </w:p>
    <w:p w:rsidR="00A740FD" w:rsidRDefault="00A740FD" w:rsidP="00A740FD">
      <w:pPr>
        <w:pStyle w:val="a6"/>
        <w:ind w:left="0"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9B486FB" wp14:editId="0D8C835B">
            <wp:extent cx="6120765" cy="23841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3" w:rsidRPr="006B0A2F" w:rsidRDefault="00A740FD" w:rsidP="006B0A2F">
      <w:pPr>
        <w:ind w:firstLine="0"/>
        <w:jc w:val="center"/>
      </w:pPr>
      <w:r>
        <w:rPr>
          <w:lang w:val="uk-UA"/>
        </w:rPr>
        <w:t>Рисунок 7.6</w:t>
      </w:r>
      <w:r>
        <w:rPr>
          <w:lang w:val="uk-UA"/>
        </w:rPr>
        <w:t xml:space="preserve">  </w:t>
      </w:r>
      <w:r w:rsidRPr="00765CA2">
        <w:rPr>
          <w:lang w:val="uk-UA"/>
        </w:rPr>
        <w:t>–</w:t>
      </w:r>
      <w:r>
        <w:rPr>
          <w:lang w:val="uk-UA"/>
        </w:rPr>
        <w:t xml:space="preserve"> Перевірка методу обертань</w:t>
      </w:r>
      <w:r w:rsidRPr="008D5937">
        <w:rPr>
          <w:lang w:val="uk-UA"/>
        </w:rPr>
        <w:t xml:space="preserve"> </w:t>
      </w:r>
      <w:r>
        <w:rPr>
          <w:lang w:val="uk-UA"/>
        </w:rPr>
        <w:t xml:space="preserve">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2010</w:t>
      </w:r>
    </w:p>
    <w:p w:rsidR="00AC6273" w:rsidRPr="006B0A2F" w:rsidRDefault="00AC6273" w:rsidP="006B0A2F">
      <w:pPr>
        <w:rPr>
          <w:lang w:val="uk-UA"/>
        </w:rPr>
      </w:pPr>
      <w:r>
        <w:rPr>
          <w:lang w:val="uk-UA"/>
        </w:rPr>
        <w:t xml:space="preserve">Для проведення тестування ефективності програми </w:t>
      </w:r>
      <w:r w:rsidR="006B0A2F">
        <w:rPr>
          <w:lang w:val="uk-UA"/>
        </w:rPr>
        <w:t>випадково генерувалися матриці в розмірності від двох до восьми.</w:t>
      </w:r>
    </w:p>
    <w:p w:rsidR="00AC6273" w:rsidRPr="009731F7" w:rsidRDefault="00AC6273" w:rsidP="00AC6273">
      <w:r>
        <w:rPr>
          <w:lang w:val="uk-UA"/>
        </w:rPr>
        <w:t xml:space="preserve">Результати тестування ефективності алгоритмів </w:t>
      </w:r>
      <w:r w:rsidRPr="008D5937">
        <w:rPr>
          <w:lang w:val="uk-UA"/>
        </w:rPr>
        <w:t>розв’язання</w:t>
      </w:r>
      <w:r>
        <w:rPr>
          <w:lang w:val="uk-UA"/>
        </w:rPr>
        <w:t xml:space="preserve"> СЛАР наведено в таблиці 7.1:</w:t>
      </w:r>
    </w:p>
    <w:p w:rsidR="00AC6273" w:rsidRDefault="00AC6273" w:rsidP="00DA486F">
      <w:pPr>
        <w:ind w:firstLine="0"/>
        <w:rPr>
          <w:lang w:val="uk-UA"/>
        </w:rPr>
      </w:pPr>
      <w:r>
        <w:rPr>
          <w:lang w:val="uk-UA"/>
        </w:rPr>
        <w:t>Таблиця 7.1 – Тестування ефективності методів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1559"/>
        <w:gridCol w:w="1985"/>
        <w:gridCol w:w="1383"/>
      </w:tblGrid>
      <w:tr w:rsidR="00090FF5" w:rsidTr="006B0A2F">
        <w:trPr>
          <w:trHeight w:val="79"/>
        </w:trPr>
        <w:tc>
          <w:tcPr>
            <w:tcW w:w="1668" w:type="dxa"/>
            <w:vMerge w:val="restart"/>
            <w:vAlign w:val="center"/>
          </w:tcPr>
          <w:p w:rsidR="00090FF5" w:rsidRPr="00DA486F" w:rsidRDefault="00AC6273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A486F">
              <w:rPr>
                <w:rFonts w:cs="Times New Roman"/>
                <w:szCs w:val="28"/>
              </w:rPr>
              <w:br w:type="page"/>
            </w:r>
            <w:r w:rsidR="00090FF5" w:rsidRPr="00DA486F">
              <w:rPr>
                <w:rFonts w:cs="Times New Roman"/>
                <w:szCs w:val="28"/>
              </w:rPr>
              <w:t>Розмірність системи</w:t>
            </w:r>
          </w:p>
        </w:tc>
        <w:tc>
          <w:tcPr>
            <w:tcW w:w="3260" w:type="dxa"/>
            <w:vMerge w:val="restart"/>
            <w:vAlign w:val="center"/>
          </w:tcPr>
          <w:p w:rsidR="00090FF5" w:rsidRPr="00DA486F" w:rsidRDefault="00090FF5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A486F">
              <w:rPr>
                <w:rFonts w:cs="Times New Roman"/>
                <w:szCs w:val="28"/>
              </w:rPr>
              <w:t>Параметри тестування</w:t>
            </w:r>
          </w:p>
        </w:tc>
        <w:tc>
          <w:tcPr>
            <w:tcW w:w="4927" w:type="dxa"/>
            <w:gridSpan w:val="3"/>
            <w:vAlign w:val="center"/>
          </w:tcPr>
          <w:p w:rsidR="00090FF5" w:rsidRPr="00DA486F" w:rsidRDefault="00090FF5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A486F">
              <w:rPr>
                <w:rFonts w:cs="Times New Roman"/>
                <w:szCs w:val="28"/>
              </w:rPr>
              <w:t>Методи</w:t>
            </w:r>
          </w:p>
        </w:tc>
      </w:tr>
      <w:tr w:rsidR="00090FF5" w:rsidTr="006B0A2F">
        <w:trPr>
          <w:trHeight w:val="186"/>
        </w:trPr>
        <w:tc>
          <w:tcPr>
            <w:tcW w:w="1668" w:type="dxa"/>
            <w:vMerge/>
            <w:vAlign w:val="center"/>
          </w:tcPr>
          <w:p w:rsidR="00090FF5" w:rsidRPr="00DA486F" w:rsidRDefault="00090FF5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Merge/>
            <w:vAlign w:val="center"/>
          </w:tcPr>
          <w:p w:rsidR="00090FF5" w:rsidRPr="00DA486F" w:rsidRDefault="00090FF5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90FF5" w:rsidRPr="00DA486F" w:rsidRDefault="00090FF5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A486F">
              <w:rPr>
                <w:rFonts w:cs="Times New Roman"/>
                <w:szCs w:val="28"/>
              </w:rPr>
              <w:t>Гауса</w:t>
            </w:r>
          </w:p>
        </w:tc>
        <w:tc>
          <w:tcPr>
            <w:tcW w:w="1985" w:type="dxa"/>
            <w:vAlign w:val="center"/>
          </w:tcPr>
          <w:p w:rsidR="00090FF5" w:rsidRPr="00DA486F" w:rsidRDefault="00090FF5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A486F">
              <w:rPr>
                <w:rFonts w:cs="Times New Roman"/>
                <w:szCs w:val="28"/>
              </w:rPr>
              <w:t>Жордана-Гауса</w:t>
            </w:r>
            <w:proofErr w:type="spellEnd"/>
          </w:p>
        </w:tc>
        <w:tc>
          <w:tcPr>
            <w:tcW w:w="1383" w:type="dxa"/>
            <w:vAlign w:val="center"/>
          </w:tcPr>
          <w:p w:rsidR="00090FF5" w:rsidRPr="00DA486F" w:rsidRDefault="00090FF5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A486F">
              <w:rPr>
                <w:rFonts w:cs="Times New Roman"/>
                <w:szCs w:val="28"/>
              </w:rPr>
              <w:t>Обертань</w:t>
            </w:r>
          </w:p>
        </w:tc>
      </w:tr>
      <w:tr w:rsidR="0090491D" w:rsidTr="006B0A2F">
        <w:trPr>
          <w:trHeight w:val="101"/>
        </w:trPr>
        <w:tc>
          <w:tcPr>
            <w:tcW w:w="1668" w:type="dxa"/>
            <w:vMerge w:val="restart"/>
            <w:vAlign w:val="center"/>
          </w:tcPr>
          <w:p w:rsidR="0090491D" w:rsidRPr="00DA486F" w:rsidRDefault="0090491D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:rsidR="0090491D" w:rsidRPr="00DA486F" w:rsidRDefault="0090491D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Кількість елементарних операцій додавання </w:t>
            </w:r>
          </w:p>
        </w:tc>
        <w:tc>
          <w:tcPr>
            <w:tcW w:w="1559" w:type="dxa"/>
            <w:vAlign w:val="center"/>
          </w:tcPr>
          <w:p w:rsidR="0090491D" w:rsidRPr="00DA486F" w:rsidRDefault="0090491D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90491D" w:rsidRPr="00DA486F" w:rsidRDefault="0090491D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383" w:type="dxa"/>
            <w:vAlign w:val="center"/>
          </w:tcPr>
          <w:p w:rsidR="0090491D" w:rsidRPr="00DA486F" w:rsidRDefault="0090491D" w:rsidP="00DA486F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90491D" w:rsidTr="00254B1C">
        <w:tc>
          <w:tcPr>
            <w:tcW w:w="1668" w:type="dxa"/>
            <w:vMerge/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Кількість елементарних операцій віднімання </w:t>
            </w:r>
          </w:p>
        </w:tc>
        <w:tc>
          <w:tcPr>
            <w:tcW w:w="1559" w:type="dxa"/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85" w:type="dxa"/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383" w:type="dxa"/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90491D" w:rsidTr="00254B1C">
        <w:tc>
          <w:tcPr>
            <w:tcW w:w="1668" w:type="dxa"/>
            <w:vMerge/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елементарних операцій множення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</w:tr>
      <w:tr w:rsidR="0090491D" w:rsidTr="00254B1C">
        <w:tc>
          <w:tcPr>
            <w:tcW w:w="1668" w:type="dxa"/>
            <w:vMerge/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елементарних операцій ділення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90491D" w:rsidRPr="00DA486F" w:rsidRDefault="0090491D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6B0A2F" w:rsidTr="00254B1C">
        <w:tc>
          <w:tcPr>
            <w:tcW w:w="1668" w:type="dxa"/>
            <w:vMerge w:val="restart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Кількість елементарних операцій додавання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</w:tr>
      <w:tr w:rsidR="006B0A2F" w:rsidTr="00254B1C">
        <w:tc>
          <w:tcPr>
            <w:tcW w:w="1668" w:type="dxa"/>
            <w:vMerge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Кількість елементарних операцій віднімання 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383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</w:tr>
    </w:tbl>
    <w:p w:rsidR="006B0A2F" w:rsidRDefault="006B0A2F">
      <w:pPr>
        <w:rPr>
          <w:lang w:val="uk-UA"/>
        </w:rPr>
      </w:pPr>
      <w:r>
        <w:br w:type="page"/>
      </w:r>
    </w:p>
    <w:p w:rsidR="006B0A2F" w:rsidRPr="006B0A2F" w:rsidRDefault="006B0A2F" w:rsidP="006B0A2F">
      <w:pPr>
        <w:ind w:firstLine="0"/>
        <w:rPr>
          <w:lang w:val="uk-UA"/>
        </w:rPr>
      </w:pPr>
      <w:r>
        <w:rPr>
          <w:lang w:val="uk-UA"/>
        </w:rPr>
        <w:lastRenderedPageBreak/>
        <w:t>Продовження таблиці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1559"/>
        <w:gridCol w:w="1985"/>
        <w:gridCol w:w="1383"/>
      </w:tblGrid>
      <w:tr w:rsidR="006B0A2F" w:rsidTr="00254B1C">
        <w:tc>
          <w:tcPr>
            <w:tcW w:w="1668" w:type="dxa"/>
            <w:vMerge w:val="restart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елементарних операцій множення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1383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126</w:t>
            </w:r>
          </w:p>
        </w:tc>
      </w:tr>
      <w:tr w:rsidR="006B0A2F" w:rsidTr="00254B1C">
        <w:tc>
          <w:tcPr>
            <w:tcW w:w="1668" w:type="dxa"/>
            <w:vMerge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елементарних операцій ділення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383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6B0A2F" w:rsidTr="00254B1C">
        <w:tc>
          <w:tcPr>
            <w:tcW w:w="1668" w:type="dxa"/>
            <w:vMerge w:val="restart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Кількість елементарних операцій додавання 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383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</w:tr>
      <w:tr w:rsidR="006B0A2F" w:rsidTr="00254B1C">
        <w:tc>
          <w:tcPr>
            <w:tcW w:w="1668" w:type="dxa"/>
            <w:vMerge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Кількість елементарних операцій віднімання 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91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105</w:t>
            </w:r>
          </w:p>
        </w:tc>
        <w:tc>
          <w:tcPr>
            <w:tcW w:w="1383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111</w:t>
            </w:r>
          </w:p>
        </w:tc>
      </w:tr>
      <w:tr w:rsidR="006B0A2F" w:rsidTr="00254B1C">
        <w:tc>
          <w:tcPr>
            <w:tcW w:w="1668" w:type="dxa"/>
            <w:vMerge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елементарних операцій множення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210</w:t>
            </w:r>
          </w:p>
        </w:tc>
        <w:tc>
          <w:tcPr>
            <w:tcW w:w="1383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435</w:t>
            </w:r>
          </w:p>
        </w:tc>
      </w:tr>
      <w:tr w:rsidR="006B0A2F" w:rsidTr="00254B1C">
        <w:tc>
          <w:tcPr>
            <w:tcW w:w="1668" w:type="dxa"/>
            <w:vMerge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елементарних операцій ділення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1383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6B0A2F" w:rsidRPr="006E2F9A" w:rsidTr="0090491D">
        <w:tc>
          <w:tcPr>
            <w:tcW w:w="1668" w:type="dxa"/>
            <w:vMerge w:val="restart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Кількість елементарних операцій додавання 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383" w:type="dxa"/>
            <w:vAlign w:val="center"/>
          </w:tcPr>
          <w:p w:rsidR="006B0A2F" w:rsidRPr="006E2F9A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280</w:t>
            </w:r>
          </w:p>
        </w:tc>
      </w:tr>
      <w:tr w:rsidR="006B0A2F" w:rsidRPr="006E2F9A" w:rsidTr="0090491D">
        <w:tc>
          <w:tcPr>
            <w:tcW w:w="1668" w:type="dxa"/>
            <w:vMerge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Кількість елементарних операцій віднімання 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204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252</w:t>
            </w:r>
          </w:p>
        </w:tc>
        <w:tc>
          <w:tcPr>
            <w:tcW w:w="1383" w:type="dxa"/>
            <w:vAlign w:val="center"/>
          </w:tcPr>
          <w:p w:rsidR="006B0A2F" w:rsidRPr="006E2F9A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260</w:t>
            </w:r>
          </w:p>
        </w:tc>
      </w:tr>
      <w:tr w:rsidR="006B0A2F" w:rsidRPr="006E2F9A" w:rsidTr="0090491D">
        <w:tc>
          <w:tcPr>
            <w:tcW w:w="1668" w:type="dxa"/>
            <w:vMerge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елементарних операцій множення</w:t>
            </w:r>
          </w:p>
        </w:tc>
        <w:tc>
          <w:tcPr>
            <w:tcW w:w="1559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224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504</w:t>
            </w:r>
          </w:p>
        </w:tc>
        <w:tc>
          <w:tcPr>
            <w:tcW w:w="1383" w:type="dxa"/>
            <w:vAlign w:val="center"/>
          </w:tcPr>
          <w:p w:rsidR="006B0A2F" w:rsidRPr="006E2F9A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1036</w:t>
            </w:r>
          </w:p>
        </w:tc>
      </w:tr>
      <w:tr w:rsidR="006B0A2F" w:rsidRPr="006E2F9A" w:rsidTr="0090491D">
        <w:tc>
          <w:tcPr>
            <w:tcW w:w="1668" w:type="dxa"/>
            <w:vMerge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елементарних операцій ділення</w:t>
            </w:r>
          </w:p>
        </w:tc>
        <w:tc>
          <w:tcPr>
            <w:tcW w:w="1559" w:type="dxa"/>
            <w:vAlign w:val="center"/>
          </w:tcPr>
          <w:p w:rsidR="006B0A2F" w:rsidRPr="00F13836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1985" w:type="dxa"/>
            <w:vAlign w:val="center"/>
          </w:tcPr>
          <w:p w:rsidR="006B0A2F" w:rsidRPr="00DA486F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72</w:t>
            </w:r>
          </w:p>
        </w:tc>
        <w:tc>
          <w:tcPr>
            <w:tcW w:w="1383" w:type="dxa"/>
            <w:vAlign w:val="center"/>
          </w:tcPr>
          <w:p w:rsidR="006B0A2F" w:rsidRPr="006E2F9A" w:rsidRDefault="006B0A2F" w:rsidP="00254B1C">
            <w:pPr>
              <w:spacing w:after="200" w:line="27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</w:tr>
    </w:tbl>
    <w:p w:rsidR="00AC6273" w:rsidRDefault="00AC6273" w:rsidP="0090491D">
      <w:pPr>
        <w:ind w:firstLine="0"/>
        <w:jc w:val="center"/>
        <w:rPr>
          <w:lang w:val="uk-UA"/>
        </w:rPr>
      </w:pPr>
      <w:r>
        <w:rPr>
          <w:lang w:val="uk-UA"/>
        </w:rPr>
        <w:lastRenderedPageBreak/>
        <w:t xml:space="preserve">Візуалізація результатів </w:t>
      </w:r>
      <w:proofErr w:type="spellStart"/>
      <w:r>
        <w:rPr>
          <w:lang w:val="uk-UA"/>
        </w:rPr>
        <w:t>табилиці</w:t>
      </w:r>
      <w:proofErr w:type="spellEnd"/>
      <w:r>
        <w:rPr>
          <w:lang w:val="uk-UA"/>
        </w:rPr>
        <w:t xml:space="preserve"> 7.1 наведено на рисунку 7.1:</w:t>
      </w:r>
      <w:r w:rsidR="00FF60F2">
        <w:rPr>
          <w:noProof/>
          <w:lang w:eastAsia="ru-RU"/>
        </w:rPr>
        <w:drawing>
          <wp:inline distT="0" distB="0" distL="0" distR="0" wp14:anchorId="10B60623" wp14:editId="32161866">
            <wp:extent cx="5486400" cy="32004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C6273" w:rsidRDefault="00AC6273" w:rsidP="00AC627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– </w:t>
      </w:r>
      <w:r w:rsidRPr="00351F7A">
        <w:rPr>
          <w:lang w:val="uk-UA"/>
        </w:rPr>
        <w:t>Графік</w:t>
      </w:r>
      <w:r>
        <w:rPr>
          <w:lang w:val="uk-UA"/>
        </w:rPr>
        <w:t xml:space="preserve"> залежності кількості </w:t>
      </w:r>
      <w:r w:rsidR="00FF60F2">
        <w:rPr>
          <w:lang w:val="uk-UA"/>
        </w:rPr>
        <w:t>арифметичних операцій</w:t>
      </w:r>
      <w:r>
        <w:rPr>
          <w:lang w:val="uk-UA"/>
        </w:rPr>
        <w:t xml:space="preserve"> методу </w:t>
      </w:r>
      <w:r w:rsidR="00FF60F2">
        <w:rPr>
          <w:lang w:val="uk-UA"/>
        </w:rPr>
        <w:t xml:space="preserve">Гауса від розміру вхідної </w:t>
      </w:r>
      <w:proofErr w:type="spellStart"/>
      <w:r w:rsidR="00FF60F2">
        <w:rPr>
          <w:lang w:val="uk-UA"/>
        </w:rPr>
        <w:t>слар</w:t>
      </w:r>
      <w:proofErr w:type="spellEnd"/>
    </w:p>
    <w:p w:rsidR="00FF60F2" w:rsidRDefault="00FF60F2" w:rsidP="00AC6273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F60F2" w:rsidRDefault="00FF60F2" w:rsidP="00AC627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7.2 - </w:t>
      </w:r>
      <w:r w:rsidRPr="00351F7A">
        <w:rPr>
          <w:lang w:val="uk-UA"/>
        </w:rPr>
        <w:t>Графік</w:t>
      </w:r>
      <w:r>
        <w:rPr>
          <w:lang w:val="uk-UA"/>
        </w:rPr>
        <w:t xml:space="preserve"> залежності кількості арифметичних операцій методу </w:t>
      </w:r>
      <w:proofErr w:type="spellStart"/>
      <w:r>
        <w:rPr>
          <w:lang w:val="uk-UA"/>
        </w:rPr>
        <w:t>Жордана-</w:t>
      </w:r>
      <w:r>
        <w:rPr>
          <w:lang w:val="uk-UA"/>
        </w:rPr>
        <w:t>Гауса</w:t>
      </w:r>
      <w:proofErr w:type="spellEnd"/>
      <w:r>
        <w:rPr>
          <w:lang w:val="uk-UA"/>
        </w:rPr>
        <w:t xml:space="preserve"> від розміру вхідної </w:t>
      </w:r>
      <w:proofErr w:type="spellStart"/>
      <w:r>
        <w:rPr>
          <w:lang w:val="uk-UA"/>
        </w:rPr>
        <w:t>слар</w:t>
      </w:r>
      <w:proofErr w:type="spellEnd"/>
    </w:p>
    <w:p w:rsidR="006E2F9A" w:rsidRDefault="006E2F9A" w:rsidP="00AC6273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19050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C6273" w:rsidRPr="006E2F9A" w:rsidRDefault="00FF60F2" w:rsidP="006E2F9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7.3 - </w:t>
      </w:r>
      <w:r w:rsidRPr="00351F7A">
        <w:rPr>
          <w:lang w:val="uk-UA"/>
        </w:rPr>
        <w:t>Графік</w:t>
      </w:r>
      <w:r>
        <w:rPr>
          <w:lang w:val="uk-UA"/>
        </w:rPr>
        <w:t xml:space="preserve"> залежності кількості арифметичних операцій</w:t>
      </w:r>
      <w:r>
        <w:rPr>
          <w:lang w:val="uk-UA"/>
        </w:rPr>
        <w:t xml:space="preserve"> методу обертань</w:t>
      </w:r>
      <w:r>
        <w:rPr>
          <w:lang w:val="uk-UA"/>
        </w:rPr>
        <w:t xml:space="preserve"> від розміру вхідної </w:t>
      </w:r>
      <w:proofErr w:type="spellStart"/>
      <w:r>
        <w:rPr>
          <w:lang w:val="uk-UA"/>
        </w:rPr>
        <w:t>слар</w:t>
      </w:r>
      <w:proofErr w:type="spellEnd"/>
    </w:p>
    <w:p w:rsidR="00AC6273" w:rsidRPr="006E2F9A" w:rsidRDefault="00AC6273" w:rsidP="00AC6273">
      <w:pPr>
        <w:rPr>
          <w:lang w:val="uk-UA"/>
        </w:rPr>
      </w:pPr>
    </w:p>
    <w:p w:rsidR="00AC6273" w:rsidRDefault="00AC6273" w:rsidP="00AC6273">
      <w:pPr>
        <w:rPr>
          <w:lang w:val="uk-UA"/>
        </w:rPr>
      </w:pPr>
      <w:r>
        <w:rPr>
          <w:lang w:val="uk-UA"/>
        </w:rPr>
        <w:t>За результатами тестування можна зробити та</w:t>
      </w:r>
      <w:bookmarkStart w:id="1" w:name="_GoBack"/>
      <w:bookmarkEnd w:id="1"/>
      <w:r>
        <w:rPr>
          <w:lang w:val="uk-UA"/>
        </w:rPr>
        <w:t>кі висновки:</w:t>
      </w:r>
    </w:p>
    <w:p w:rsidR="00AC6273" w:rsidRPr="006B0A2F" w:rsidRDefault="00AC6273" w:rsidP="00AC6273">
      <w:pPr>
        <w:ind w:left="1418" w:hanging="709"/>
        <w:rPr>
          <w:lang w:val="uk-UA"/>
        </w:rPr>
      </w:pPr>
      <w:r w:rsidRPr="006B0A2F">
        <w:rPr>
          <w:lang w:val="uk-UA"/>
        </w:rPr>
        <w:t>а)</w:t>
      </w:r>
      <w:r w:rsidRPr="006B0A2F">
        <w:rPr>
          <w:lang w:val="uk-UA"/>
        </w:rPr>
        <w:tab/>
        <w:t xml:space="preserve">Всі розглянуті методи дозволяють знаходити розв’язки </w:t>
      </w:r>
      <w:r w:rsidR="006E2F9A" w:rsidRPr="006B0A2F">
        <w:rPr>
          <w:lang w:val="uk-UA"/>
        </w:rPr>
        <w:t>СЛАР розмірності в межах від 2-х до 8-ми</w:t>
      </w:r>
      <w:r w:rsidRPr="006B0A2F">
        <w:rPr>
          <w:lang w:val="uk-UA"/>
        </w:rPr>
        <w:t>.</w:t>
      </w:r>
    </w:p>
    <w:p w:rsidR="00AC6273" w:rsidRPr="006B0A2F" w:rsidRDefault="00AC6273" w:rsidP="00AC6273">
      <w:pPr>
        <w:ind w:left="1418" w:hanging="709"/>
        <w:rPr>
          <w:rFonts w:eastAsiaTheme="minorEastAsia"/>
          <w:lang w:val="uk-UA"/>
        </w:rPr>
      </w:pPr>
      <w:r w:rsidRPr="006B0A2F">
        <w:rPr>
          <w:lang w:val="uk-UA"/>
        </w:rPr>
        <w:t>б)</w:t>
      </w:r>
      <w:r w:rsidRPr="006B0A2F">
        <w:rPr>
          <w:lang w:val="uk-UA"/>
        </w:rPr>
        <w:tab/>
        <w:t>Складність всіх розглянутих методів є квадратичною, тобто –</w:t>
      </w:r>
      <w:r w:rsidRPr="006B0A2F">
        <w:rPr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>O</m:t>
        </m:r>
        <m:r>
          <w:rPr>
            <w:rFonts w:ascii="Cambria Math" w:hAnsi="Cambria Math"/>
            <w:lang w:val="uk-UA"/>
          </w:rPr>
          <m:t>(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3</m:t>
            </m:r>
          </m:sup>
        </m:sSup>
        <m:r>
          <w:rPr>
            <w:rFonts w:ascii="Cambria Math" w:hAnsi="Cambria Math"/>
            <w:lang w:val="uk-UA"/>
          </w:rPr>
          <m:t>)</m:t>
        </m:r>
      </m:oMath>
      <w:r w:rsidRPr="006B0A2F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 w:rsidRPr="006B0A2F">
        <w:rPr>
          <w:rFonts w:eastAsiaTheme="minorEastAsia"/>
          <w:lang w:val="uk-UA"/>
        </w:rPr>
        <w:t xml:space="preserve"> – розмір СЛАР.</w:t>
      </w:r>
    </w:p>
    <w:p w:rsidR="00AC6273" w:rsidRPr="00EA720C" w:rsidRDefault="00AC6273" w:rsidP="00AC6273">
      <w:pPr>
        <w:ind w:left="1418" w:hanging="709"/>
        <w:rPr>
          <w:i/>
          <w:lang w:val="uk-UA"/>
        </w:rPr>
      </w:pPr>
      <w:r w:rsidRPr="006B0A2F">
        <w:rPr>
          <w:rFonts w:eastAsiaTheme="minorEastAsia"/>
          <w:lang w:val="uk-UA"/>
        </w:rPr>
        <w:t>в)</w:t>
      </w:r>
      <w:r w:rsidRPr="006B0A2F">
        <w:rPr>
          <w:rFonts w:eastAsiaTheme="minorEastAsia"/>
          <w:lang w:val="uk-UA"/>
        </w:rPr>
        <w:tab/>
        <w:t>З розглянутих методів найоптимальнішим для практичн</w:t>
      </w:r>
      <w:r w:rsidR="006B0A2F" w:rsidRPr="006B0A2F">
        <w:rPr>
          <w:rFonts w:eastAsiaTheme="minorEastAsia"/>
          <w:lang w:val="uk-UA"/>
        </w:rPr>
        <w:t>ого використання є метод  Гауса</w:t>
      </w:r>
      <w:r w:rsidRPr="006B0A2F">
        <w:rPr>
          <w:rFonts w:eastAsiaTheme="minorEastAsia"/>
          <w:lang w:val="uk-UA"/>
        </w:rPr>
        <w:t>, оск</w:t>
      </w:r>
      <w:r w:rsidR="0090491D">
        <w:rPr>
          <w:rFonts w:eastAsiaTheme="minorEastAsia"/>
          <w:lang w:val="uk-UA"/>
        </w:rPr>
        <w:t>ільки він виконується найшвидше</w:t>
      </w:r>
      <w:r w:rsidR="006B0A2F">
        <w:rPr>
          <w:rFonts w:eastAsiaTheme="minorEastAsia"/>
          <w:lang w:val="uk-UA"/>
        </w:rPr>
        <w:t>.</w:t>
      </w:r>
    </w:p>
    <w:sectPr w:rsidR="00AC6273" w:rsidRPr="00EA72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3525334"/>
    <w:multiLevelType w:val="hybridMultilevel"/>
    <w:tmpl w:val="65C23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62"/>
    <w:rsid w:val="00074DBD"/>
    <w:rsid w:val="00090FF5"/>
    <w:rsid w:val="006476DA"/>
    <w:rsid w:val="00667862"/>
    <w:rsid w:val="006B0A2F"/>
    <w:rsid w:val="006E2F9A"/>
    <w:rsid w:val="00716F65"/>
    <w:rsid w:val="0090491D"/>
    <w:rsid w:val="00932E88"/>
    <w:rsid w:val="00A740FD"/>
    <w:rsid w:val="00AC6273"/>
    <w:rsid w:val="00DA486F"/>
    <w:rsid w:val="00F13836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C6273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6273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273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C6273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273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6273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6273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AC6273"/>
    <w:rPr>
      <w:rFonts w:ascii="Times New Roman" w:eastAsiaTheme="majorEastAsia" w:hAnsi="Times New Roman" w:cstheme="majorBidi"/>
      <w:bCs/>
      <w:iCs/>
      <w:sz w:val="28"/>
    </w:rPr>
  </w:style>
  <w:style w:type="table" w:styleId="a3">
    <w:name w:val="Table Grid"/>
    <w:basedOn w:val="a1"/>
    <w:uiPriority w:val="59"/>
    <w:rsid w:val="00AC627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6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2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4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C6273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6273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273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C6273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273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6273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6273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AC6273"/>
    <w:rPr>
      <w:rFonts w:ascii="Times New Roman" w:eastAsiaTheme="majorEastAsia" w:hAnsi="Times New Roman" w:cstheme="majorBidi"/>
      <w:bCs/>
      <w:iCs/>
      <w:sz w:val="28"/>
    </w:rPr>
  </w:style>
  <w:style w:type="table" w:styleId="a3">
    <w:name w:val="Table Grid"/>
    <w:basedOn w:val="a1"/>
    <w:uiPriority w:val="59"/>
    <w:rsid w:val="00AC627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6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2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сума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6</c:v>
                </c:pt>
                <c:pt idx="2">
                  <c:v>15</c:v>
                </c:pt>
                <c:pt idx="3">
                  <c:v>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різниця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11</c:v>
                </c:pt>
                <c:pt idx="1">
                  <c:v>30</c:v>
                </c:pt>
                <c:pt idx="2">
                  <c:v>91</c:v>
                </c:pt>
                <c:pt idx="3">
                  <c:v>204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добуток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10</c:v>
                </c:pt>
                <c:pt idx="1">
                  <c:v>32</c:v>
                </c:pt>
                <c:pt idx="2">
                  <c:v>100</c:v>
                </c:pt>
                <c:pt idx="3">
                  <c:v>224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ділення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21</c:v>
                </c:pt>
                <c:pt idx="3">
                  <c:v>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544128"/>
        <c:axId val="442545664"/>
      </c:lineChart>
      <c:catAx>
        <c:axId val="442544128"/>
        <c:scaling>
          <c:orientation val="minMax"/>
        </c:scaling>
        <c:delete val="0"/>
        <c:axPos val="b"/>
        <c:majorTickMark val="out"/>
        <c:minorTickMark val="none"/>
        <c:tickLblPos val="nextTo"/>
        <c:crossAx val="442545664"/>
        <c:crosses val="autoZero"/>
        <c:auto val="1"/>
        <c:lblAlgn val="ctr"/>
        <c:lblOffset val="100"/>
        <c:noMultiLvlLbl val="0"/>
      </c:catAx>
      <c:valAx>
        <c:axId val="442545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2544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сума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різниця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</c:v>
                </c:pt>
                <c:pt idx="1">
                  <c:v>30</c:v>
                </c:pt>
                <c:pt idx="2">
                  <c:v>105</c:v>
                </c:pt>
                <c:pt idx="3">
                  <c:v>252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добуток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12</c:v>
                </c:pt>
                <c:pt idx="1">
                  <c:v>60</c:v>
                </c:pt>
                <c:pt idx="2">
                  <c:v>210</c:v>
                </c:pt>
                <c:pt idx="3">
                  <c:v>504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ділення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8</c:v>
                </c:pt>
                <c:pt idx="1">
                  <c:v>20</c:v>
                </c:pt>
                <c:pt idx="2">
                  <c:v>42</c:v>
                </c:pt>
                <c:pt idx="3">
                  <c:v>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563968"/>
        <c:axId val="467092608"/>
      </c:lineChart>
      <c:catAx>
        <c:axId val="442563968"/>
        <c:scaling>
          <c:orientation val="minMax"/>
        </c:scaling>
        <c:delete val="0"/>
        <c:axPos val="b"/>
        <c:majorTickMark val="out"/>
        <c:minorTickMark val="none"/>
        <c:tickLblPos val="nextTo"/>
        <c:crossAx val="467092608"/>
        <c:crosses val="autoZero"/>
        <c:auto val="1"/>
        <c:lblAlgn val="ctr"/>
        <c:lblOffset val="100"/>
        <c:noMultiLvlLbl val="0"/>
      </c:catAx>
      <c:valAx>
        <c:axId val="467092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2563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сума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36</c:v>
                </c:pt>
                <c:pt idx="2">
                  <c:v>120</c:v>
                </c:pt>
                <c:pt idx="3">
                  <c:v>280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різниця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11</c:v>
                </c:pt>
                <c:pt idx="1">
                  <c:v>34</c:v>
                </c:pt>
                <c:pt idx="2">
                  <c:v>111</c:v>
                </c:pt>
                <c:pt idx="3">
                  <c:v>260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добуток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19</c:v>
                </c:pt>
                <c:pt idx="1">
                  <c:v>126</c:v>
                </c:pt>
                <c:pt idx="2">
                  <c:v>435</c:v>
                </c:pt>
                <c:pt idx="3">
                  <c:v>1036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ділення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к-ть змінних:2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4221952"/>
        <c:axId val="644260608"/>
      </c:lineChart>
      <c:catAx>
        <c:axId val="644221952"/>
        <c:scaling>
          <c:orientation val="minMax"/>
        </c:scaling>
        <c:delete val="0"/>
        <c:axPos val="b"/>
        <c:majorTickMark val="out"/>
        <c:minorTickMark val="none"/>
        <c:tickLblPos val="nextTo"/>
        <c:crossAx val="644260608"/>
        <c:crosses val="autoZero"/>
        <c:auto val="1"/>
        <c:lblAlgn val="ctr"/>
        <c:lblOffset val="100"/>
        <c:noMultiLvlLbl val="0"/>
      </c:catAx>
      <c:valAx>
        <c:axId val="644260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44221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3</cp:revision>
  <dcterms:created xsi:type="dcterms:W3CDTF">2021-06-07T13:53:00Z</dcterms:created>
  <dcterms:modified xsi:type="dcterms:W3CDTF">2021-06-08T16:38:00Z</dcterms:modified>
</cp:coreProperties>
</file>