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SmartFHIR: Generative AI-Powered Universal Health Data Ingestion &amp; Automated Blockly Mapping</w:t>
      </w:r>
    </w:p>
    <w:p>
      <w:pPr>
        <w:pStyle w:val="Subtitle"/>
      </w:pPr>
      <w:r>
        <w:t xml:space="preserve">AI Product Innovation Blueprint, Technical Architecture &amp; Submission Proposal</w:t>
      </w:r>
    </w:p>
    <w:p>
      <w:pPr>
        <w:pStyle w:val="Callout"/>
      </w:pPr>
      <w:r>
        <w:rPr>
          <w:i/>
        </w:rPr>
        <w:t xml:space="preserve">EXECUTIVE SUMMARY: SmartFHIR is an intelligent data transformation engine designed to seamlessly integrate into our existing healthcare platform. Currently, transforming hospital data into standardized HL7 FHIR format requires manual format selection and labor-intensive field mapping using Blockly. SmartFHIR introduces autonomous schema detection, medical terminology normalization (LOINC, SNOMED, RxNorm), and AI-synthesized Blockly workspaces. This slashes hospital integration time from days to minutes while keeping 100% human explainability and FHIR R4/R5 standard compliance.</w:t>
      </w:r>
    </w:p>
    <w:p>
      <w:pPr>
        <w:pStyle w:val="Heading1"/>
      </w:pPr>
      <w:r>
        <w:t xml:space="preserve">1. Background &amp; Current Problem Statement</w:t>
      </w:r>
    </w:p>
    <w:p>
      <w:r>
        <w:t xml:space="preserve">Healthcare interoperability relies heavily on standardizing diverse clinical feeds into HL7 FHIR (Fast Healthcare Interoperability Resources). Our current application provides transformation capabilities through the following steps:</w:t>
      </w:r>
    </w:p>
    <w:p>
      <w:pPr>
        <w:pStyle w:val="ListBullet"/>
      </w:pPr>
      <w:r>
        <w:rPr>
          <w:b/>
          <w:color w:val="0B5394"/>
        </w:rPr>
        <w:t xml:space="preserve">Step 1 (Manual Selection): </w:t>
      </w:r>
      <w:r>
        <w:t xml:space="preserve">The operator manually chooses the incoming data format (e.g., CSV, HL7 v2, C-CDA XML).</w:t>
      </w:r>
    </w:p>
    <w:p>
      <w:pPr>
        <w:pStyle w:val="ListBullet"/>
      </w:pPr>
      <w:r>
        <w:rPr>
          <w:b/>
          <w:color w:val="0B5394"/>
        </w:rPr>
        <w:t xml:space="preserve">Step 2 (Upload): </w:t>
      </w:r>
      <w:r>
        <w:t xml:space="preserve">The raw hospital data payload is uploaded into the workspace.</w:t>
      </w:r>
    </w:p>
    <w:p>
      <w:pPr>
        <w:pStyle w:val="ListBullet"/>
      </w:pPr>
      <w:r>
        <w:rPr>
          <w:b/>
          <w:color w:val="0B5394"/>
        </w:rPr>
        <w:t xml:space="preserve">Step 3 (Manual Blockly Mapping): </w:t>
      </w:r>
      <w:r>
        <w:t xml:space="preserve">The operator manually locates target FHIR resources, drags blocks onto the Blockly canvas, creates connectors, and writes logic for date formatting, string splitting, and value conversions.</w:t>
      </w:r>
    </w:p>
    <w:p>
      <w:pPr>
        <w:pStyle w:val="ListBullet"/>
      </w:pPr>
      <w:r>
        <w:rPr>
          <w:b/>
          <w:color w:val="0B5394"/>
        </w:rPr>
        <w:t xml:space="preserve">Step 4 (Submission): </w:t>
      </w:r>
      <w:r>
        <w:t xml:space="preserve">Transformed bundles are sent to the target FHIR endpoint.</w:t>
      </w:r>
    </w:p>
    <w:p>
      <w:pPr>
        <w:pStyle w:val="Heading2"/>
      </w:pPr>
      <w:r>
        <w:t xml:space="preserve">Key Bottlenecks in the Current Architecture:</w:t>
      </w:r>
    </w:p>
    <w:p>
      <w:pPr>
        <w:pStyle w:val="ListBullet"/>
      </w:pPr>
      <w:r>
        <w:rPr>
          <w:b/>
          <w:color w:val="0B5394"/>
        </w:rPr>
        <w:t xml:space="preserve">Labor-Intensive &amp; Slow Onboarding: </w:t>
      </w:r>
      <w:r>
        <w:t xml:space="preserve">Hospitals use disparate schemas, custom column names (e.g., 'pt_dob', 'BIRTH_DATE', 'DOB', 'patient_bday'), and nested structures. Mapping a 50+ column file takes 8 to 16 hours of manual effort per hospital format.</w:t>
      </w:r>
    </w:p>
    <w:p>
      <w:pPr>
        <w:pStyle w:val="ListBullet"/>
      </w:pPr>
      <w:r>
        <w:rPr>
          <w:b/>
          <w:color w:val="0B5394"/>
        </w:rPr>
        <w:t xml:space="preserve">Clinical Terminology Complexity: </w:t>
      </w:r>
      <w:r>
        <w:t xml:space="preserve">Translating local hospital codes (e.g., 'GLUC_FST') to standard terminologies (LOINC 1558-6, SNOMED CT, RxNorm) requires specialized medical coding expertise and is prone to human error.</w:t>
      </w:r>
    </w:p>
    <w:p>
      <w:pPr>
        <w:pStyle w:val="ListBullet"/>
      </w:pPr>
      <w:r>
        <w:rPr>
          <w:b/>
          <w:color w:val="0B5394"/>
        </w:rPr>
        <w:t xml:space="preserve">Schema Drift &amp; Fragility: </w:t>
      </w:r>
      <w:r>
        <w:t xml:space="preserve">Whenever a hospital updates an EHR export (e.g., adding columns or changing timestamp formatting), the static Blockly mapping breaks and requires manual maintenance.</w:t>
      </w:r>
    </w:p>
    <w:p>
      <w:pPr>
        <w:pStyle w:val="Heading1"/>
      </w:pPr>
      <w:r>
        <w:t xml:space="preserve">2. End-to-End AI Workflow Architecture</w:t>
      </w:r>
    </w:p>
    <w:p>
      <w:r>
        <w:t xml:space="preserve">SmartFHIR transforms the platform into an autonomous, self-learning pipeline with six interconnected stages:</w:t>
      </w:r>
    </w:p>
    <w:p>
      <w:pPr>
        <w:pStyle w:val="Heading2"/>
      </w:pPr>
      <w:r>
        <w:t xml:space="preserve">Stage 1: Multi-Format Ingestion &amp; Preprocessing</w:t>
      </w:r>
    </w:p>
    <w:p>
      <w:r>
        <w:t xml:space="preserve">Provides a universal drag-and-drop dropzone supporting CSV, Excel (.xlsx/.xls), HL7 v2.x (ADT, ORU, MDM), C-CDA XML, JSON, DICOM metadata, and unstructured clinical notes/PDFs. The preprocessor handles character encoding, file delimiters, and executes HIPAA-compliant PII/PHI masking.</w:t>
      </w:r>
    </w:p>
    <w:p>
      <w:pPr>
        <w:pStyle w:val="Heading2"/>
      </w:pPr>
      <w:r>
        <w:t xml:space="preserve">Stage 2: AI Schema Inference &amp; Clinical Entity Normalization</w:t>
      </w:r>
    </w:p>
    <w:p>
      <w:r>
        <w:t xml:space="preserve">Powered by Foundation Models (Gemini 2.5 / 1.5 Pro) with Retrieval-Augmented Generation (RAG) over FHIR Implementation Guides (US Core, mCODE):</w:t>
      </w:r>
    </w:p>
    <w:p>
      <w:pPr>
        <w:pStyle w:val="ListBullet"/>
      </w:pPr>
      <w:r>
        <w:rPr>
          <w:b/>
          <w:color w:val="0B5394"/>
        </w:rPr>
        <w:t xml:space="preserve">Semantic Header Disambiguation: </w:t>
      </w:r>
      <w:r>
        <w:t xml:space="preserve">Discovers implied semantics of fields regardless of naming conventions.</w:t>
      </w:r>
    </w:p>
    <w:p>
      <w:pPr>
        <w:pStyle w:val="ListBullet"/>
      </w:pPr>
      <w:r>
        <w:rPr>
          <w:b/>
          <w:color w:val="0B5394"/>
        </w:rPr>
        <w:t xml:space="preserve">Clinical Terminology Auto-Coding: </w:t>
      </w:r>
      <w:r>
        <w:t xml:space="preserve">Binds medical terms to LOINC (Labs/Vitals), SNOMED CT (Conditions/Procedures), RxNorm (Medications), and ICD-10-CM (Diagnoses).</w:t>
      </w:r>
    </w:p>
    <w:p>
      <w:pPr>
        <w:pStyle w:val="ListBullet"/>
      </w:pPr>
      <w:r>
        <w:rPr>
          <w:b/>
          <w:color w:val="0B5394"/>
        </w:rPr>
        <w:t xml:space="preserve">Transformation Rule Synthesis: </w:t>
      </w:r>
      <w:r>
        <w:t xml:space="preserve">Detects unit discrepancies (e.g., lbs to kg, mg/dL to mmol/L) and formulates data conversion logic.</w:t>
      </w:r>
    </w:p>
    <w:p>
      <w:pPr>
        <w:pStyle w:val="Heading2"/>
      </w:pPr>
      <w:r>
        <w:t xml:space="preserve">Stage 3: AI-to-Blockly Visual Workspace Synthesis</w:t>
      </w:r>
    </w:p>
    <w:p>
      <w:r>
        <w:t xml:space="preserve">Rather than using a black-box AI model that obscures transformation logic, the AI compiles its mapping graph directly into the standard Blockly serialization format (XML / JSON). When the operator opens the visual editor, all blocks, connectors, and transformation rules are already constructed and color-coded by confidence level.</w:t>
      </w:r>
    </w:p>
    <w:p>
      <w:pPr>
        <w:pStyle w:val="Heading2"/>
      </w:pPr>
      <w:r>
        <w:t xml:space="preserve">Stage 4: Interactive Human-in-the-Loop (HITL) Review &amp; Co-Pilot Studio</w:t>
      </w:r>
    </w:p>
    <w:p>
      <w:r>
        <w:t xml:space="preserve">The operator reviews the generated workspace with high-productivity tools:</w:t>
      </w:r>
    </w:p>
    <w:p>
      <w:pPr>
        <w:pStyle w:val="ListBullet"/>
      </w:pPr>
      <w:r>
        <w:rPr>
          <w:b/>
          <w:color w:val="0B5394"/>
        </w:rPr>
        <w:t xml:space="preserve">Confidence Indicators: </w:t>
      </w:r>
      <w:r>
        <w:t xml:space="preserve">High-confidence mappings (&gt;95%) are marked in green; ambiguous fields are flagged for quick verification.</w:t>
      </w:r>
    </w:p>
    <w:p>
      <w:pPr>
        <w:pStyle w:val="ListBullet"/>
      </w:pPr>
      <w:r>
        <w:rPr>
          <w:b/>
          <w:color w:val="0B5394"/>
        </w:rPr>
        <w:t xml:space="preserve">Side-by-Side Live Diff: </w:t>
      </w:r>
      <w:r>
        <w:t xml:space="preserve">Displays source record values directly next to generated FHIR JSON resources in real time.</w:t>
      </w:r>
    </w:p>
    <w:p>
      <w:pPr>
        <w:pStyle w:val="ListBullet"/>
      </w:pPr>
      <w:r>
        <w:rPr>
          <w:b/>
          <w:color w:val="0B5394"/>
        </w:rPr>
        <w:t xml:space="preserve">Natural Language Co-Pilot: </w:t>
      </w:r>
      <w:r>
        <w:t xml:space="preserve">Operators can type prompts such as 'Extract systolic and diastolic values into separate Observation components' to dynamically update the Blockly canvas.</w:t>
      </w:r>
    </w:p>
    <w:p>
      <w:pPr>
        <w:pStyle w:val="Heading2"/>
      </w:pPr>
      <w:r>
        <w:t xml:space="preserve">Stage 5: FHIR Transformation &amp; Strict Schema Validation</w:t>
      </w:r>
    </w:p>
    <w:p>
      <w:r>
        <w:t xml:space="preserve">The engine executes the mapping logic and validates output against official FHIR R4/R5 schema profiles (e.g., HAPI FHIR Validator, US Core) to ensure 100% compliance before dispatch.</w:t>
      </w:r>
    </w:p>
    <w:p>
      <w:pPr>
        <w:pStyle w:val="Heading2"/>
      </w:pPr>
      <w:r>
        <w:t xml:space="preserve">Stage 6: Submission &amp; Self-Learning Feedback Loop</w:t>
      </w:r>
    </w:p>
    <w:p>
      <w:r>
        <w:t xml:space="preserve">Validated FHIR bundles are transmitted via REST API to the destination FHIR server. Verified mappings are saved to a hospital-specific knowledge store, enabling 100% automated zero-touch processing for future uploads with that schema.</w:t>
      </w:r>
    </w:p>
    <w:p>
      <w:pPr>
        <w:pStyle w:val="Heading1"/>
      </w:pPr>
      <w:r>
        <w:t xml:space="preserve">3. Key Ideas &amp; Core Innovations</w:t>
      </w:r>
    </w:p>
    <w:tbl>
      <w:tblPr>
        <w:tblW w:w="0" w:type="auto"/>
        <w:tblBorders>
          <w:top w:val="single" w:sz="8" w:space="0" w:color="D3D3D3"/>
          <w:left w:val="none"/>
          <w:bottom w:val="single" w:sz="8" w:space="0" w:color="D3D3D3"/>
          <w:right w:val="none"/>
          <w:insideH w:val="single" w:sz="6" w:space="0" w:color="E2E8F0"/>
          <w:insideV w:val="none"/>
        </w:tblBorders>
        <w:tblCellMar>
          <w:top w:w="120" w:type="dxa"/>
          <w:left w:w="160" w:type="dxa"/>
          <w:bottom w:w="120" w:type="dxa"/>
          <w:right w:w="160" w:type="dxa"/>
        </w:tblCellMar>
      </w:tblPr>
      <w:tr>
        <w:trPr>
          <w:tblHeader/>
        </w:trPr>
        <w:tc>
          <w:tcPr>
            <w:tcW w:w="2400" w:type="dxa"/>
            <w:shd w:val="clear" w:color="auto" w:fill="0B5394"/>
          </w:tcPr>
          <w:p>
            <w:pPr>
              <w:spacing w:after="40" w:before="40"/>
            </w:pPr>
            <w:r>
              <w:rPr>
                <w:b/>
                <w:color w:val="FFFFFF"/>
              </w:rPr>
              <w:t xml:space="preserve">Innovation Feature</w:t>
            </w:r>
          </w:p>
        </w:tc>
        <w:tc>
          <w:tcPr>
            <w:tcW w:w="3800" w:type="dxa"/>
            <w:shd w:val="clear" w:color="auto" w:fill="0B5394"/>
          </w:tcPr>
          <w:p>
            <w:pPr>
              <w:spacing w:after="40" w:before="40"/>
            </w:pPr>
            <w:r>
              <w:rPr>
                <w:b/>
                <w:color w:val="FFFFFF"/>
              </w:rPr>
              <w:t xml:space="preserve">Description</w:t>
            </w:r>
          </w:p>
        </w:tc>
        <w:tc>
          <w:tcPr>
            <w:tcW w:w="3000" w:type="dxa"/>
            <w:shd w:val="clear" w:color="auto" w:fill="0B5394"/>
          </w:tcPr>
          <w:p>
            <w:pPr>
              <w:spacing w:after="40" w:before="40"/>
            </w:pPr>
            <w:r>
              <w:rPr>
                <w:b/>
                <w:color w:val="FFFFFF"/>
              </w:rPr>
              <w:t xml:space="preserve">Operational Impact</w:t>
            </w:r>
          </w:p>
        </w:tc>
      </w:tr>
      <w:tr>
        <w:tc>
          <w:tcPr>
            <w:tcW w:w="2400" w:type="dxa"/>
            <w:shd w:val="clear" w:color="auto" w:fill="F8FAFC"/>
          </w:tcPr>
          <w:p>
            <w:pPr>
              <w:spacing w:after="40" w:before="40"/>
            </w:pPr>
            <w:r>
              <w:t xml:space="preserve">1. AI-to-Blockly Synthesis</w:t>
            </w:r>
          </w:p>
        </w:tc>
        <w:tc>
          <w:tcPr>
            <w:tcW w:w="3800" w:type="dxa"/>
            <w:shd w:val="clear" w:color="auto" w:fill="F8FAFC"/>
          </w:tcPr>
          <w:p>
            <w:pPr>
              <w:spacing w:after="40" w:before="40"/>
            </w:pPr>
            <w:r>
              <w:t xml:space="preserve">Generates pre-connected Blockly visual workspace blocks from LLM reasoning.</w:t>
            </w:r>
          </w:p>
        </w:tc>
        <w:tc>
          <w:tcPr>
            <w:tcW w:w="3000" w:type="dxa"/>
            <w:shd w:val="clear" w:color="auto" w:fill="F8FAFC"/>
          </w:tcPr>
          <w:p>
            <w:pPr>
              <w:spacing w:after="40" w:before="40"/>
            </w:pPr>
            <w:r>
              <w:t xml:space="preserve">Retains full human explainability while automating 95% of manual dragging &amp; dropping.</w:t>
            </w:r>
          </w:p>
        </w:tc>
      </w:tr>
      <w:tr>
        <w:tc>
          <w:tcPr>
            <w:tcW w:w="2400" w:type="dxa"/>
          </w:tcPr>
          <w:p>
            <w:pPr>
              <w:spacing w:after="40" w:before="40"/>
            </w:pPr>
            <w:r>
              <w:t xml:space="preserve">2. Universal Clinical Parser</w:t>
            </w:r>
          </w:p>
        </w:tc>
        <w:tc>
          <w:tcPr>
            <w:tcW w:w="3800" w:type="dxa"/>
          </w:tcPr>
          <w:p>
            <w:pPr>
              <w:spacing w:after="40" w:before="40"/>
            </w:pPr>
            <w:r>
              <w:t xml:space="preserve">Processes structured tables as well as unstructured PDF summaries &amp; scanned notes.</w:t>
            </w:r>
          </w:p>
        </w:tc>
        <w:tc>
          <w:tcPr>
            <w:tcW w:w="3000" w:type="dxa"/>
          </w:tcPr>
          <w:p>
            <w:pPr>
              <w:spacing w:after="40" w:before="40"/>
            </w:pPr>
            <w:r>
              <w:t xml:space="preserve">Expands platform intake from rigid CSV/HL7 to any document generated by an EHR.</w:t>
            </w:r>
          </w:p>
        </w:tc>
      </w:tr>
      <w:tr>
        <w:tc>
          <w:tcPr>
            <w:tcW w:w="2400" w:type="dxa"/>
            <w:shd w:val="clear" w:color="auto" w:fill="F8FAFC"/>
          </w:tcPr>
          <w:p>
            <w:pPr>
              <w:spacing w:after="40" w:before="40"/>
            </w:pPr>
            <w:r>
              <w:t xml:space="preserve">3. Clinical Terminology Normalizer</w:t>
            </w:r>
          </w:p>
        </w:tc>
        <w:tc>
          <w:tcPr>
            <w:tcW w:w="3800" w:type="dxa"/>
            <w:shd w:val="clear" w:color="auto" w:fill="F8FAFC"/>
          </w:tcPr>
          <w:p>
            <w:pPr>
              <w:spacing w:after="40" w:before="40"/>
            </w:pPr>
            <w:r>
              <w:t xml:space="preserve">Vector RAG over LOINC, SNOMED, RxNorm, and ICD-10 dictionaries.</w:t>
            </w:r>
          </w:p>
        </w:tc>
        <w:tc>
          <w:tcPr>
            <w:tcW w:w="3000" w:type="dxa"/>
            <w:shd w:val="clear" w:color="auto" w:fill="F8FAFC"/>
          </w:tcPr>
          <w:p>
            <w:pPr>
              <w:spacing w:after="40" w:before="40"/>
            </w:pPr>
            <w:r>
              <w:t xml:space="preserve">Eliminates manual medical dictionary lookups and prevents coding errors.</w:t>
            </w:r>
          </w:p>
        </w:tc>
      </w:tr>
      <w:tr>
        <w:tc>
          <w:tcPr>
            <w:tcW w:w="2400" w:type="dxa"/>
          </w:tcPr>
          <w:p>
            <w:pPr>
              <w:spacing w:after="40" w:before="40"/>
            </w:pPr>
            <w:r>
              <w:t xml:space="preserve">4. Schema Drift Self-Healing</w:t>
            </w:r>
          </w:p>
        </w:tc>
        <w:tc>
          <w:tcPr>
            <w:tcW w:w="3800" w:type="dxa"/>
          </w:tcPr>
          <w:p>
            <w:pPr>
              <w:spacing w:after="40" w:before="40"/>
            </w:pPr>
            <w:r>
              <w:t xml:space="preserve">Detects structural shifts in incoming feeds and auto-adjusts Blockly blocks.</w:t>
            </w:r>
          </w:p>
        </w:tc>
        <w:tc>
          <w:tcPr>
            <w:tcW w:w="3000" w:type="dxa"/>
          </w:tcPr>
          <w:p>
            <w:pPr>
              <w:spacing w:after="40" w:before="40"/>
            </w:pPr>
            <w:r>
              <w:t xml:space="preserve">Zero pipeline failure when hospital IT changes export columns.</w:t>
            </w:r>
          </w:p>
        </w:tc>
      </w:tr>
      <w:tr>
        <w:tc>
          <w:tcPr>
            <w:tcW w:w="2400" w:type="dxa"/>
            <w:shd w:val="clear" w:color="auto" w:fill="F8FAFC"/>
          </w:tcPr>
          <w:p>
            <w:pPr>
              <w:spacing w:after="40" w:before="40"/>
            </w:pPr>
            <w:r>
              <w:t xml:space="preserve">5. Natural Language Mapping Co-Pilot</w:t>
            </w:r>
          </w:p>
        </w:tc>
        <w:tc>
          <w:tcPr>
            <w:tcW w:w="3800" w:type="dxa"/>
            <w:shd w:val="clear" w:color="auto" w:fill="F8FAFC"/>
          </w:tcPr>
          <w:p>
            <w:pPr>
              <w:spacing w:after="40" w:before="40"/>
            </w:pPr>
            <w:r>
              <w:t xml:space="preserve">Interactive chat sidebar inside Blockly for natural language adjustments.</w:t>
            </w:r>
          </w:p>
        </w:tc>
        <w:tc>
          <w:tcPr>
            <w:tcW w:w="3000" w:type="dxa"/>
            <w:shd w:val="clear" w:color="auto" w:fill="F8FAFC"/>
          </w:tcPr>
          <w:p>
            <w:pPr>
              <w:spacing w:after="40" w:before="40"/>
            </w:pPr>
            <w:r>
              <w:t xml:space="preserve">Enables non-technical business/clinical analysts to modify complex mappings.</w:t>
            </w:r>
          </w:p>
        </w:tc>
      </w:tr>
    </w:tbl>
    <w:p>
      <w:pPr>
        <w:pStyle w:val="Heading1"/>
      </w:pPr>
      <w:r>
        <w:t xml:space="preserve">4. Recommended Tools &amp; Technology Stack</w:t>
      </w:r>
    </w:p>
    <w:tbl>
      <w:tblPr>
        <w:tblW w:w="0" w:type="auto"/>
        <w:tblBorders>
          <w:top w:val="single" w:sz="8" w:space="0" w:color="D3D3D3"/>
          <w:left w:val="none"/>
          <w:bottom w:val="single" w:sz="8" w:space="0" w:color="D3D3D3"/>
          <w:right w:val="none"/>
          <w:insideH w:val="single" w:sz="6" w:space="0" w:color="E2E8F0"/>
          <w:insideV w:val="none"/>
        </w:tblBorders>
        <w:tblCellMar>
          <w:top w:w="120" w:type="dxa"/>
          <w:left w:w="160" w:type="dxa"/>
          <w:bottom w:w="120" w:type="dxa"/>
          <w:right w:w="160" w:type="dxa"/>
        </w:tblCellMar>
      </w:tblPr>
      <w:tr>
        <w:trPr>
          <w:tblHeader/>
        </w:trPr>
        <w:tc>
          <w:tcPr>
            <w:tcW w:w="2200" w:type="dxa"/>
            <w:shd w:val="clear" w:color="auto" w:fill="0B5394"/>
          </w:tcPr>
          <w:p>
            <w:pPr>
              <w:spacing w:after="40" w:before="40"/>
            </w:pPr>
            <w:r>
              <w:rPr>
                <w:b/>
                <w:color w:val="FFFFFF"/>
              </w:rPr>
              <w:t xml:space="preserve">Layer / Component</w:t>
            </w:r>
          </w:p>
        </w:tc>
        <w:tc>
          <w:tcPr>
            <w:tcW w:w="3000" w:type="dxa"/>
            <w:shd w:val="clear" w:color="auto" w:fill="0B5394"/>
          </w:tcPr>
          <w:p>
            <w:pPr>
              <w:spacing w:after="40" w:before="40"/>
            </w:pPr>
            <w:r>
              <w:rPr>
                <w:b/>
                <w:color w:val="FFFFFF"/>
              </w:rPr>
              <w:t xml:space="preserve">Recommended Technology</w:t>
            </w:r>
          </w:p>
        </w:tc>
        <w:tc>
          <w:tcPr>
            <w:tcW w:w="4000" w:type="dxa"/>
            <w:shd w:val="clear" w:color="auto" w:fill="0B5394"/>
          </w:tcPr>
          <w:p>
            <w:pPr>
              <w:spacing w:after="40" w:before="40"/>
            </w:pPr>
            <w:r>
              <w:rPr>
                <w:b/>
                <w:color w:val="FFFFFF"/>
              </w:rPr>
              <w:t xml:space="preserve">Purpose &amp; Architectural Role</w:t>
            </w:r>
          </w:p>
        </w:tc>
      </w:tr>
      <w:tr>
        <w:tc>
          <w:tcPr>
            <w:tcW w:w="2200" w:type="dxa"/>
            <w:shd w:val="clear" w:color="auto" w:fill="F8FAFC"/>
          </w:tcPr>
          <w:p>
            <w:pPr>
              <w:spacing w:after="40" w:before="40"/>
            </w:pPr>
            <w:r>
              <w:t xml:space="preserve">AI &amp; Foundation Models</w:t>
            </w:r>
          </w:p>
        </w:tc>
        <w:tc>
          <w:tcPr>
            <w:tcW w:w="3000" w:type="dxa"/>
            <w:shd w:val="clear" w:color="auto" w:fill="F8FAFC"/>
          </w:tcPr>
          <w:p>
            <w:pPr>
              <w:spacing w:after="40" w:before="40"/>
            </w:pPr>
            <w:r>
              <w:t xml:space="preserve">Gemini 2.5 / 1.5 Pro &amp; Flash</w:t>
            </w:r>
          </w:p>
        </w:tc>
        <w:tc>
          <w:tcPr>
            <w:tcW w:w="4000" w:type="dxa"/>
            <w:shd w:val="clear" w:color="auto" w:fill="F8FAFC"/>
          </w:tcPr>
          <w:p>
            <w:pPr>
              <w:spacing w:after="40" w:before="40"/>
            </w:pPr>
            <w:r>
              <w:t xml:space="preserve">Multi-modal schema reasoning, large context window (1M+ tokens), strict structured JSON output (response_schema).</w:t>
            </w:r>
          </w:p>
        </w:tc>
      </w:tr>
      <w:tr>
        <w:tc>
          <w:tcPr>
            <w:tcW w:w="2200" w:type="dxa"/>
          </w:tcPr>
          <w:p>
            <w:pPr>
              <w:spacing w:after="40" w:before="40"/>
            </w:pPr>
            <w:r>
              <w:t xml:space="preserve">Clinical Embeddings</w:t>
            </w:r>
          </w:p>
        </w:tc>
        <w:tc>
          <w:tcPr>
            <w:tcW w:w="3000" w:type="dxa"/>
          </w:tcPr>
          <w:p>
            <w:pPr>
              <w:spacing w:after="40" w:before="40"/>
            </w:pPr>
            <w:r>
              <w:t xml:space="preserve">Med-BERT / Clinical-BERT / text-embedding-004</w:t>
            </w:r>
          </w:p>
        </w:tc>
        <w:tc>
          <w:tcPr>
            <w:tcW w:w="4000" w:type="dxa"/>
          </w:tcPr>
          <w:p>
            <w:pPr>
              <w:spacing w:after="40" w:before="40"/>
            </w:pPr>
            <w:r>
              <w:t xml:space="preserve">High-accuracy semantic similarity for medical terminology matching.</w:t>
            </w:r>
          </w:p>
        </w:tc>
      </w:tr>
      <w:tr>
        <w:tc>
          <w:tcPr>
            <w:tcW w:w="2200" w:type="dxa"/>
            <w:shd w:val="clear" w:color="auto" w:fill="F8FAFC"/>
          </w:tcPr>
          <w:p>
            <w:pPr>
              <w:spacing w:after="40" w:before="40"/>
            </w:pPr>
            <w:r>
              <w:t xml:space="preserve">RAG &amp; Vector Database</w:t>
            </w:r>
          </w:p>
        </w:tc>
        <w:tc>
          <w:tcPr>
            <w:tcW w:w="3000" w:type="dxa"/>
            <w:shd w:val="clear" w:color="auto" w:fill="F8FAFC"/>
          </w:tcPr>
          <w:p>
            <w:pPr>
              <w:spacing w:after="40" w:before="40"/>
            </w:pPr>
            <w:r>
              <w:t xml:space="preserve">Qdrant / Chroma / pgvector</w:t>
            </w:r>
          </w:p>
        </w:tc>
        <w:tc>
          <w:tcPr>
            <w:tcW w:w="4000" w:type="dxa"/>
            <w:shd w:val="clear" w:color="auto" w:fill="F8FAFC"/>
          </w:tcPr>
          <w:p>
            <w:pPr>
              <w:spacing w:after="40" w:before="40"/>
            </w:pPr>
            <w:r>
              <w:t xml:space="preserve">Stores FHIR R4 schemas, US Core Implementation Guides, and LOINC/SNOMED vocabularies.</w:t>
            </w:r>
          </w:p>
        </w:tc>
      </w:tr>
      <w:tr>
        <w:tc>
          <w:tcPr>
            <w:tcW w:w="2200" w:type="dxa"/>
          </w:tcPr>
          <w:p>
            <w:pPr>
              <w:spacing w:after="40" w:before="40"/>
            </w:pPr>
            <w:r>
              <w:t xml:space="preserve">Agent Framework</w:t>
            </w:r>
          </w:p>
        </w:tc>
        <w:tc>
          <w:tcPr>
            <w:tcW w:w="3000" w:type="dxa"/>
          </w:tcPr>
          <w:p>
            <w:pPr>
              <w:spacing w:after="40" w:before="40"/>
            </w:pPr>
            <w:r>
              <w:t xml:space="preserve">Google GenAI SDK / LangChain</w:t>
            </w:r>
          </w:p>
        </w:tc>
        <w:tc>
          <w:tcPr>
            <w:tcW w:w="4000" w:type="dxa"/>
          </w:tcPr>
          <w:p>
            <w:pPr>
              <w:spacing w:after="40" w:before="40"/>
            </w:pPr>
            <w:r>
              <w:t xml:space="preserve">Orchestrates multi-step schema extraction, validation, and Blockly XML synthesis.</w:t>
            </w:r>
          </w:p>
        </w:tc>
      </w:tr>
      <w:tr>
        <w:tc>
          <w:tcPr>
            <w:tcW w:w="2200" w:type="dxa"/>
            <w:shd w:val="clear" w:color="auto" w:fill="F8FAFC"/>
          </w:tcPr>
          <w:p>
            <w:pPr>
              <w:spacing w:after="40" w:before="40"/>
            </w:pPr>
            <w:r>
              <w:t xml:space="preserve">FHIR Validation Engine</w:t>
            </w:r>
          </w:p>
        </w:tc>
        <w:tc>
          <w:tcPr>
            <w:tcW w:w="3000" w:type="dxa"/>
            <w:shd w:val="clear" w:color="auto" w:fill="F8FAFC"/>
          </w:tcPr>
          <w:p>
            <w:pPr>
              <w:spacing w:after="40" w:before="40"/>
            </w:pPr>
            <w:r>
              <w:t xml:space="preserve">HAPI FHIR / fhir.resources / Firely SDK</w:t>
            </w:r>
          </w:p>
        </w:tc>
        <w:tc>
          <w:tcPr>
            <w:tcW w:w="4000" w:type="dxa"/>
            <w:shd w:val="clear" w:color="auto" w:fill="F8FAFC"/>
          </w:tcPr>
          <w:p>
            <w:pPr>
              <w:spacing w:after="40" w:before="40"/>
            </w:pPr>
            <w:r>
              <w:t xml:space="preserve">Guarantees strict schema conformity, cardinality checks, and profile constraints.</w:t>
            </w:r>
          </w:p>
        </w:tc>
      </w:tr>
      <w:tr>
        <w:tc>
          <w:tcPr>
            <w:tcW w:w="2200" w:type="dxa"/>
          </w:tcPr>
          <w:p>
            <w:pPr>
              <w:spacing w:after="40" w:before="40"/>
            </w:pPr>
            <w:r>
              <w:t xml:space="preserve">Visual Mapping Interface</w:t>
            </w:r>
          </w:p>
        </w:tc>
        <w:tc>
          <w:tcPr>
            <w:tcW w:w="3000" w:type="dxa"/>
          </w:tcPr>
          <w:p>
            <w:pPr>
              <w:spacing w:after="40" w:before="40"/>
            </w:pPr>
            <w:r>
              <w:t xml:space="preserve">Google Blockly API</w:t>
            </w:r>
          </w:p>
        </w:tc>
        <w:tc>
          <w:tcPr>
            <w:tcW w:w="4000" w:type="dxa"/>
          </w:tcPr>
          <w:p>
            <w:pPr>
              <w:spacing w:after="40" w:before="40"/>
            </w:pPr>
            <w:r>
              <w:t xml:space="preserve">Visual drag-and-drop workspace populated programmatically via Blockly.serialization.</w:t>
            </w:r>
          </w:p>
        </w:tc>
      </w:tr>
      <w:tr>
        <w:tc>
          <w:tcPr>
            <w:tcW w:w="2200" w:type="dxa"/>
            <w:shd w:val="clear" w:color="auto" w:fill="F8FAFC"/>
          </w:tcPr>
          <w:p>
            <w:pPr>
              <w:spacing w:after="40" w:before="40"/>
            </w:pPr>
            <w:r>
              <w:t xml:space="preserve">PHI / PII Protection</w:t>
            </w:r>
          </w:p>
        </w:tc>
        <w:tc>
          <w:tcPr>
            <w:tcW w:w="3000" w:type="dxa"/>
            <w:shd w:val="clear" w:color="auto" w:fill="F8FAFC"/>
          </w:tcPr>
          <w:p>
            <w:pPr>
              <w:spacing w:after="40" w:before="40"/>
            </w:pPr>
            <w:r>
              <w:t xml:space="preserve">Microsoft Presidio / Google Cloud DLP</w:t>
            </w:r>
          </w:p>
        </w:tc>
        <w:tc>
          <w:tcPr>
            <w:tcW w:w="4000" w:type="dxa"/>
            <w:shd w:val="clear" w:color="auto" w:fill="F8FAFC"/>
          </w:tcPr>
          <w:p>
            <w:pPr>
              <w:spacing w:after="40" w:before="40"/>
            </w:pPr>
            <w:r>
              <w:t xml:space="preserve">Automated de-identification and redaction before LLM inference.</w:t>
            </w:r>
          </w:p>
        </w:tc>
      </w:tr>
      <w:tr>
        <w:tc>
          <w:tcPr>
            <w:tcW w:w="2200" w:type="dxa"/>
          </w:tcPr>
          <w:p>
            <w:pPr>
              <w:spacing w:after="40" w:before="40"/>
            </w:pPr>
            <w:r>
              <w:t xml:space="preserve">Cloud &amp; Compliance</w:t>
            </w:r>
          </w:p>
        </w:tc>
        <w:tc>
          <w:tcPr>
            <w:tcW w:w="3000" w:type="dxa"/>
          </w:tcPr>
          <w:p>
            <w:pPr>
              <w:spacing w:after="40" w:before="40"/>
            </w:pPr>
            <w:r>
              <w:t xml:space="preserve">GCP Vertex AI / Azure OpenAI (with BAA)</w:t>
            </w:r>
          </w:p>
        </w:tc>
        <w:tc>
          <w:tcPr>
            <w:tcW w:w="4000" w:type="dxa"/>
          </w:tcPr>
          <w:p>
            <w:pPr>
              <w:spacing w:after="40" w:before="40"/>
            </w:pPr>
            <w:r>
              <w:t xml:space="preserve">HIPAA-compliant, zero-data-retention enterprise cloud endpoints.</w:t>
            </w:r>
          </w:p>
        </w:tc>
      </w:tr>
    </w:tbl>
    <w:p>
      <w:pPr>
        <w:pStyle w:val="Heading1"/>
      </w:pPr>
      <w:r>
        <w:t xml:space="preserve">5. Completed Hackathon Idea Submission Form</w:t>
      </w:r>
    </w:p>
    <w:p>
      <w:r>
        <w:t xml:space="preserve">Below is the completed proposal structured to align with the organization's idea submission form:</w:t>
      </w:r>
    </w:p>
    <w:p>
      <w:pPr>
        <w:pStyle w:val="Heading2"/>
      </w:pPr>
      <w:r>
        <w:t xml:space="preserve">1. Basic Information</w:t>
      </w:r>
    </w:p>
    <w:p>
      <w:pPr>
        <w:pStyle w:val="ListBullet"/>
      </w:pPr>
      <w:r>
        <w:rPr>
          <w:b/>
          <w:color w:val="0B5394"/>
        </w:rPr>
        <w:t xml:space="preserve">Idea Title: </w:t>
      </w:r>
      <w:r>
        <w:t xml:space="preserve">SmartFHIR: Generative AI-Powered Universal Health Data Ingestion &amp; Automated Blockly Mapping</w:t>
      </w:r>
    </w:p>
    <w:p>
      <w:pPr>
        <w:pStyle w:val="ListBullet"/>
      </w:pPr>
      <w:r>
        <w:rPr>
          <w:b/>
          <w:color w:val="0B5394"/>
        </w:rPr>
        <w:t xml:space="preserve">Product Name: </w:t>
      </w:r>
      <w:r>
        <w:t xml:space="preserve">Existing Healthcare Interoperability Platform (SmartFHIR Module)</w:t>
      </w:r>
    </w:p>
    <w:p>
      <w:pPr>
        <w:pStyle w:val="ListBullet"/>
      </w:pPr>
      <w:r>
        <w:rPr>
          <w:b/>
          <w:color w:val="0B5394"/>
        </w:rPr>
        <w:t xml:space="preserve">Submitted By: </w:t>
      </w:r>
      <w:r>
        <w:t xml:space="preserve">Vinay V</w:t>
      </w:r>
    </w:p>
    <w:p>
      <w:pPr>
        <w:pStyle w:val="ListBullet"/>
      </w:pPr>
      <w:r>
        <w:rPr>
          <w:b/>
          <w:color w:val="0B5394"/>
        </w:rPr>
        <w:t xml:space="preserve">Department: </w:t>
      </w:r>
      <w:r>
        <w:t xml:space="preserve">AI &amp; Healthcare Engineering</w:t>
      </w:r>
    </w:p>
    <w:p>
      <w:pPr>
        <w:pStyle w:val="ListBullet"/>
      </w:pPr>
      <w:r>
        <w:rPr>
          <w:b/>
          <w:color w:val="0B5394"/>
        </w:rPr>
        <w:t xml:space="preserve">Submission Type: </w:t>
      </w:r>
      <w:r>
        <w:t xml:space="preserve">Team / Individual</w:t>
      </w:r>
    </w:p>
    <w:p>
      <w:pPr>
        <w:pStyle w:val="Heading2"/>
      </w:pPr>
      <w:r>
        <w:t xml:space="preserve">2. Problem Statement</w:t>
      </w:r>
    </w:p>
    <w:p>
      <w:r>
        <w:t xml:space="preserve">What problem are you trying to solve?</w:t>
      </w:r>
    </w:p>
    <w:p>
      <w:r>
        <w:t xml:space="preserve">Healthcare data transformation into HL7 FHIR currently requires manual format selection and slow, error-prone field mapping using Blockly. Onboarding each hospital format takes days of manual effort, demands specialized medical coding expertise (LOINC/SNOMED/RxNorm), and easily breaks when hospital IT modifies data feeds.</w:t>
      </w:r>
    </w:p>
    <w:p>
      <w:pPr>
        <w:pStyle w:val="Heading2"/>
      </w:pPr>
      <w:r>
        <w:t xml:space="preserve">3. Proposed AI Solution</w:t>
      </w:r>
    </w:p>
    <w:p>
      <w:r>
        <w:t xml:space="preserve">Describe your AI idea and how AI will solve the problem.</w:t>
      </w:r>
    </w:p>
    <w:p>
      <w:r>
        <w:t xml:space="preserve">SmartFHIR augments the existing platform with an intelligent AI layer that: (1) Accepts any file format without manual format selection; (2) Uses Gemini models and RAG to automatically infer schemas and normalize clinical codes; (3) Programmatically generates pre-configured Blockly visual blocks with confidence badges; (4) Offers an interactive Co-pilot for natural language adjustments; and (5) Retains learned mappings in a vector store for future zero-touch automation.</w:t>
      </w:r>
    </w:p>
    <w:p>
      <w:pPr>
        <w:pStyle w:val="Heading2"/>
      </w:pPr>
      <w:r>
        <w:t xml:space="preserve">4. Expected Benefits</w:t>
      </w:r>
    </w:p>
    <w:p>
      <w:pPr>
        <w:pStyle w:val="ListBullet"/>
      </w:pPr>
      <w:r>
        <w:rPr>
          <w:b/>
          <w:color w:val="0B5394"/>
        </w:rPr>
        <w:t xml:space="preserve">Customer Benefits: </w:t>
      </w:r>
      <w:r>
        <w:t xml:space="preserve">Onboarding time reduced from days to under 15 minutes; universal file format intake; guaranteed FHIR R4 compliance and higher data quality.</w:t>
      </w:r>
    </w:p>
    <w:p>
      <w:pPr>
        <w:pStyle w:val="ListBullet"/>
      </w:pPr>
      <w:r>
        <w:rPr>
          <w:b/>
          <w:color w:val="0B5394"/>
        </w:rPr>
        <w:t xml:space="preserve">Business Benefits: </w:t>
      </w:r>
      <w:r>
        <w:t xml:space="preserve">[X] ROI  |  [X] Reduce Operational Cost  |  [X] Improve Productivity  |  [X] Improve Customer Experience  |  [X] Reduce Manual Effort  |  [X] Competitive Advantage</w:t>
      </w:r>
    </w:p>
    <w:p>
      <w:pPr>
        <w:pStyle w:val="Heading2"/>
      </w:pPr>
      <w:r>
        <w:t xml:space="preserve">5. ROI (Return on Investment)</w:t>
      </w:r>
    </w:p>
    <w:p>
      <w:r>
        <w:t xml:space="preserve">Brief ROI Justification:</w:t>
      </w:r>
    </w:p>
    <w:p>
      <w:pPr>
        <w:pStyle w:val="ListBullet"/>
      </w:pPr>
      <w:r>
        <w:rPr>
          <w:b/>
          <w:color w:val="0B5394"/>
        </w:rPr>
        <w:t xml:space="preserve">90%+ Reduction in Mapping Time: </w:t>
      </w:r>
      <w:r>
        <w:t xml:space="preserve">Cuts manual mapping effort from 8–16 hours per hospital feed to under 15 minutes of review.</w:t>
      </w:r>
    </w:p>
    <w:p>
      <w:pPr>
        <w:pStyle w:val="ListBullet"/>
      </w:pPr>
      <w:r>
        <w:rPr>
          <w:b/>
          <w:color w:val="0B5394"/>
        </w:rPr>
        <w:t xml:space="preserve">70% Operational Cost Reduction: </w:t>
      </w:r>
      <w:r>
        <w:t xml:space="preserve">Minimizes reliance on specialized integration engineers for repetitive mapping tasks.</w:t>
      </w:r>
    </w:p>
    <w:p>
      <w:pPr>
        <w:pStyle w:val="ListBullet"/>
      </w:pPr>
      <w:r>
        <w:rPr>
          <w:b/>
          <w:color w:val="0B5394"/>
        </w:rPr>
        <w:t xml:space="preserve">5x–10x Faster Time-to-Revenue: </w:t>
      </w:r>
      <w:r>
        <w:t xml:space="preserve">Accelerates client onboarding and reduces time-to-market for new hospital partnerships.</w:t>
      </w:r>
    </w:p>
    <w:p>
      <w:pPr>
        <w:pStyle w:val="Heading2"/>
      </w:pPr>
      <w:r>
        <w:t xml:space="preserve">6. Technical Feasibility</w:t>
      </w:r>
    </w:p>
    <w:p>
      <w:pPr>
        <w:pStyle w:val="ListBullet"/>
      </w:pPr>
      <w:r>
        <w:rPr>
          <w:b/>
          <w:color w:val="0B5394"/>
        </w:rPr>
        <w:t xml:space="preserve">Implementation Complexity: </w:t>
      </w:r>
      <w:r>
        <w:t xml:space="preserve">Medium. The solution integrates directly into the existing Blockly visualization and FHIR submission architecture rather than rebuilding from scratch.</w:t>
      </w:r>
    </w:p>
    <w:p>
      <w:pPr>
        <w:pStyle w:val="ListBullet"/>
      </w:pPr>
      <w:r>
        <w:rPr>
          <w:b/>
          <w:color w:val="0B5394"/>
        </w:rPr>
        <w:t xml:space="preserve">Privacy &amp; Security: </w:t>
      </w:r>
      <w:r>
        <w:t xml:space="preserve">Guaranteed by using HIPAA-compliant zero-data-retention enterprise LLM instances and automated pre-LLM PII/PHI de-identification.</w:t>
      </w:r>
    </w:p>
    <w:p>
      <w:pPr>
        <w:pStyle w:val="ListBullet"/>
      </w:pPr>
      <w:r>
        <w:rPr>
          <w:b/>
          <w:color w:val="0B5394"/>
        </w:rPr>
        <w:t xml:space="preserve">Reliability &amp; Validation: </w:t>
      </w:r>
      <w:r>
        <w:t xml:space="preserve">Enforced via strict JSON schema outputs, HAPI FHIR validation, and human-in-the-loop review for low-confidence mappings.</w:t>
      </w:r>
    </w:p>
    <w:p>
      <w:pPr>
        <w:pStyle w:val="Heading2"/>
      </w:pPr>
      <w:r>
        <w:t xml:space="preserve">7. UI Mock-Up &amp; Interaction Flow</w:t>
      </w:r>
    </w:p>
    <w:p>
      <w:pPr>
        <w:pStyle w:val="ListBullet"/>
      </w:pPr>
      <w:r>
        <w:rPr>
          <w:b/>
          <w:color w:val="0B5394"/>
        </w:rPr>
        <w:t xml:space="preserve">Step 1 (Dropzone): </w:t>
      </w:r>
      <w:r>
        <w:t xml:space="preserve">A clean drag-and-drop zone accepting any file type.</w:t>
      </w:r>
    </w:p>
    <w:p>
      <w:pPr>
        <w:pStyle w:val="ListBullet"/>
      </w:pPr>
      <w:r>
        <w:rPr>
          <w:b/>
          <w:color w:val="0B5394"/>
        </w:rPr>
        <w:t xml:space="preserve">Step 2 (Auto-Analysis): </w:t>
      </w:r>
      <w:r>
        <w:t xml:space="preserve">Real-time visual progress indicator: 'Analyzing Schema' -&gt; 'Matching FHIR Resources' -&gt; 'Generating Blockly Blocks'.</w:t>
      </w:r>
    </w:p>
    <w:p>
      <w:pPr>
        <w:pStyle w:val="ListBullet"/>
      </w:pPr>
      <w:r>
        <w:rPr>
          <w:b/>
          <w:color w:val="0B5394"/>
        </w:rPr>
        <w:t xml:space="preserve">Step 3 (Blockly Studio): </w:t>
      </w:r>
      <w:r>
        <w:t xml:space="preserve">Canvas loads with all blocks connected. Green badges indicate high confidence (&gt;95%). An AI Co-pilot chat assistant is available in the side panel.</w:t>
      </w:r>
    </w:p>
    <w:p>
      <w:pPr>
        <w:pStyle w:val="ListBullet"/>
      </w:pPr>
      <w:r>
        <w:rPr>
          <w:b/>
          <w:color w:val="0B5394"/>
        </w:rPr>
        <w:t xml:space="preserve">Step 4 (Side-by-Side Diff): </w:t>
      </w:r>
      <w:r>
        <w:t xml:space="preserve">Live comparison between raw source data rows and validated FHIR R4 JSON bundle.</w:t>
      </w:r>
    </w:p>
    <w:p>
      <w:pPr>
        <w:pStyle w:val="ListBullet"/>
      </w:pPr>
      <w:r>
        <w:rPr>
          <w:b/>
          <w:color w:val="0B5394"/>
        </w:rPr>
        <w:t xml:space="preserve">Step 5 (1-Click Dispatch): </w:t>
      </w:r>
      <w:r>
        <w:t xml:space="preserve">Direct submission to downstream FHIR endpoints with complete audit logs.</w:t>
      </w:r>
    </w:p>
    <w:p>
      <w:pPr>
        <w:pStyle w:val="Heading1"/>
      </w:pPr>
      <w:r>
        <w:t xml:space="preserve">6. Phased Implementation Roadmap</w:t>
      </w:r>
    </w:p>
    <w:tbl>
      <w:tblPr>
        <w:tblW w:w="0" w:type="auto"/>
        <w:tblBorders>
          <w:top w:val="single" w:sz="8" w:space="0" w:color="D3D3D3"/>
          <w:left w:val="none"/>
          <w:bottom w:val="single" w:sz="8" w:space="0" w:color="D3D3D3"/>
          <w:right w:val="none"/>
          <w:insideH w:val="single" w:sz="6" w:space="0" w:color="E2E8F0"/>
          <w:insideV w:val="none"/>
        </w:tblBorders>
        <w:tblCellMar>
          <w:top w:w="120" w:type="dxa"/>
          <w:left w:w="160" w:type="dxa"/>
          <w:bottom w:w="120" w:type="dxa"/>
          <w:right w:w="160" w:type="dxa"/>
        </w:tblCellMar>
      </w:tblPr>
      <w:tr>
        <w:trPr>
          <w:tblHeader/>
        </w:trPr>
        <w:tc>
          <w:tcPr>
            <w:tcW w:w="2200" w:type="dxa"/>
            <w:shd w:val="clear" w:color="auto" w:fill="0B5394"/>
          </w:tcPr>
          <w:p>
            <w:pPr>
              <w:spacing w:after="40" w:before="40"/>
            </w:pPr>
            <w:r>
              <w:rPr>
                <w:b/>
                <w:color w:val="FFFFFF"/>
              </w:rPr>
              <w:t xml:space="preserve">Phase</w:t>
            </w:r>
          </w:p>
        </w:tc>
        <w:tc>
          <w:tcPr>
            <w:tcW w:w="1800" w:type="dxa"/>
            <w:shd w:val="clear" w:color="auto" w:fill="0B5394"/>
          </w:tcPr>
          <w:p>
            <w:pPr>
              <w:spacing w:after="40" w:before="40"/>
            </w:pPr>
            <w:r>
              <w:rPr>
                <w:b/>
                <w:color w:val="FFFFFF"/>
              </w:rPr>
              <w:t xml:space="preserve">Duration</w:t>
            </w:r>
          </w:p>
        </w:tc>
        <w:tc>
          <w:tcPr>
            <w:tcW w:w="5200" w:type="dxa"/>
            <w:shd w:val="clear" w:color="auto" w:fill="0B5394"/>
          </w:tcPr>
          <w:p>
            <w:pPr>
              <w:spacing w:after="40" w:before="40"/>
            </w:pPr>
            <w:r>
              <w:rPr>
                <w:b/>
                <w:color w:val="FFFFFF"/>
              </w:rPr>
              <w:t xml:space="preserve">Core Objectives &amp; Deliverables</w:t>
            </w:r>
          </w:p>
        </w:tc>
      </w:tr>
      <w:tr>
        <w:tc>
          <w:tcPr>
            <w:tcW w:w="2200" w:type="dxa"/>
            <w:shd w:val="clear" w:color="auto" w:fill="F8FAFC"/>
          </w:tcPr>
          <w:p>
            <w:pPr>
              <w:spacing w:after="40" w:before="40"/>
            </w:pPr>
            <w:r>
              <w:t xml:space="preserve">Phase 1: Foundation &amp; PoC</w:t>
            </w:r>
          </w:p>
        </w:tc>
        <w:tc>
          <w:tcPr>
            <w:tcW w:w="1800" w:type="dxa"/>
            <w:shd w:val="clear" w:color="auto" w:fill="F8FAFC"/>
          </w:tcPr>
          <w:p>
            <w:pPr>
              <w:spacing w:after="40" w:before="40"/>
            </w:pPr>
            <w:r>
              <w:t xml:space="preserve">Weeks 1 - 4</w:t>
            </w:r>
          </w:p>
        </w:tc>
        <w:tc>
          <w:tcPr>
            <w:tcW w:w="5200" w:type="dxa"/>
            <w:shd w:val="clear" w:color="auto" w:fill="F8FAFC"/>
          </w:tcPr>
          <w:p>
            <w:pPr>
              <w:spacing w:after="40" w:before="40"/>
            </w:pPr>
            <w:r>
              <w:t xml:space="preserve">Build Gemini-based schema detector and AI-to-Blockly XML generator for CSV and HL7 v2 formats.</w:t>
            </w:r>
          </w:p>
        </w:tc>
      </w:tr>
      <w:tr>
        <w:tc>
          <w:tcPr>
            <w:tcW w:w="2200" w:type="dxa"/>
          </w:tcPr>
          <w:p>
            <w:pPr>
              <w:spacing w:after="40" w:before="40"/>
            </w:pPr>
            <w:r>
              <w:t xml:space="preserve">Phase 2: Terminology RAG &amp; Co-Pilot</w:t>
            </w:r>
          </w:p>
        </w:tc>
        <w:tc>
          <w:tcPr>
            <w:tcW w:w="1800" w:type="dxa"/>
          </w:tcPr>
          <w:p>
            <w:pPr>
              <w:spacing w:after="40" w:before="40"/>
            </w:pPr>
            <w:r>
              <w:t xml:space="preserve">Weeks 5 - 8</w:t>
            </w:r>
          </w:p>
        </w:tc>
        <w:tc>
          <w:tcPr>
            <w:tcW w:w="5200" w:type="dxa"/>
          </w:tcPr>
          <w:p>
            <w:pPr>
              <w:spacing w:after="40" w:before="40"/>
            </w:pPr>
            <w:r>
              <w:t xml:space="preserve">Integrate Qdrant vector store with LOINC/SNOMED vocabularies and implement the natural language Blockly Co-pilot.</w:t>
            </w:r>
          </w:p>
        </w:tc>
      </w:tr>
      <w:tr>
        <w:tc>
          <w:tcPr>
            <w:tcW w:w="2200" w:type="dxa"/>
            <w:shd w:val="clear" w:color="auto" w:fill="F8FAFC"/>
          </w:tcPr>
          <w:p>
            <w:pPr>
              <w:spacing w:after="40" w:before="40"/>
            </w:pPr>
            <w:r>
              <w:t xml:space="preserve">Phase 3: Unstructured Parsing &amp; Hardening</w:t>
            </w:r>
          </w:p>
        </w:tc>
        <w:tc>
          <w:tcPr>
            <w:tcW w:w="1800" w:type="dxa"/>
            <w:shd w:val="clear" w:color="auto" w:fill="F8FAFC"/>
          </w:tcPr>
          <w:p>
            <w:pPr>
              <w:spacing w:after="40" w:before="40"/>
            </w:pPr>
            <w:r>
              <w:t xml:space="preserve">Weeks 9 - 12</w:t>
            </w:r>
          </w:p>
        </w:tc>
        <w:tc>
          <w:tcPr>
            <w:tcW w:w="5200" w:type="dxa"/>
            <w:shd w:val="clear" w:color="auto" w:fill="F8FAFC"/>
          </w:tcPr>
          <w:p>
            <w:pPr>
              <w:spacing w:after="40" w:before="40"/>
            </w:pPr>
            <w:r>
              <w:t xml:space="preserve">Add PDF/clinical note parsing, integrate HAPI FHIR profile validator, and implement tenant memory store.</w:t>
            </w:r>
          </w:p>
        </w:tc>
      </w:tr>
    </w:tbl>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80" w:hanging="240"/>
      </w:pPr>
      <w:rPr>
        <w:rFonts w:ascii="Arial" w:hAnsi="Arial"/>
        <w:color w:val="0B5394"/>
      </w:rPr>
    </w:lvl>
  </w:abstractNum>
  <w:num w:numId="1">
    <w:abstractNumId w:val="0"/>
  </w:num>
</w:numbering>
</file>

<file path=word/styles.xml><?xml version="1.0" encoding="utf-8"?>
<w:styles xmlns:w="http://schemas.openxmlformats.org/wordprocessingml/2006/main">
  <w:docDefaults>
    <w:rPrDefault>
      <w:rPr>
        <w:rFonts w:ascii="Segoe UI" w:hAnsi="Segoe UI" w:cs="Segoe UI"/>
        <w:sz w:val="22"/>
        <w:color w:val="2D3748"/>
      </w:rPr>
    </w:rPrDefault>
    <w:pPrDefault>
      <w:pPr>
        <w:spacing w:after="140" w:line="270" w:lineRule="auto"/>
      </w:pPr>
    </w:pPrDefault>
  </w:docDefaults>
  <w:style w:type="paragraph" w:styleId="Normal" w:default="1">
    <w:name w:val="Normal"/>
  </w:style>
  <w:style w:type="paragraph" w:styleId="Title">
    <w:name w:val="Title"/>
    <w:pPr>
      <w:spacing w:before="240" w:after="80"/>
      <w:jc w:val="center"/>
    </w:pPr>
    <w:rPr>
      <w:rFonts w:ascii="Segoe UI Semibold" w:hAnsi="Segoe UI Semibold"/>
      <w:b/>
      <w:sz w:val="44"/>
      <w:color w:val="0B5394"/>
    </w:rPr>
  </w:style>
  <w:style w:type="paragraph" w:styleId="Subtitle">
    <w:name w:val="Subtitle"/>
    <w:pPr>
      <w:spacing w:after="320"/>
      <w:jc w:val="center"/>
    </w:pPr>
    <w:rPr>
      <w:i/>
      <w:sz w:val="24"/>
      <w:color w:val="718096"/>
    </w:rPr>
  </w:style>
  <w:style w:type="paragraph" w:styleId="Heading1">
    <w:name w:val="heading 1"/>
    <w:pPr>
      <w:spacing w:before="360" w:after="140"/>
      <w:keepNext/>
    </w:pPr>
    <w:rPr>
      <w:rFonts w:ascii="Segoe UI Semibold" w:hAnsi="Segoe UI Semibold"/>
      <w:b/>
      <w:sz w:val="30"/>
      <w:color w:val="0B5394"/>
    </w:rPr>
  </w:style>
  <w:style w:type="paragraph" w:styleId="Heading2">
    <w:name w:val="heading 2"/>
    <w:pPr>
      <w:spacing w:before="240" w:after="100"/>
      <w:keepNext/>
    </w:pPr>
    <w:rPr>
      <w:rFonts w:ascii="Segoe UI Semibold" w:hAnsi="Segoe UI Semibold"/>
      <w:b/>
      <w:sz w:val="24"/>
      <w:color w:val="134F5C"/>
    </w:rPr>
  </w:style>
  <w:style w:type="paragraph" w:styleId="Heading3">
    <w:name w:val="heading 3"/>
    <w:pPr>
      <w:spacing w:before="180" w:after="60"/>
      <w:keepNext/>
    </w:pPr>
    <w:rPr>
      <w:b/>
      <w:sz w:val="22"/>
      <w:color w:val="2D3748"/>
    </w:rPr>
  </w:style>
  <w:style w:type="paragraph" w:styleId="ListBullet">
    <w:name w:val="List Bullet"/>
    <w:pPr>
      <w:numPr>
        <w:ilvl w:val="0"/>
        <w:numId w:val="1"/>
      </w:numPr>
      <w:spacing w:after="80"/>
    </w:pPr>
  </w:style>
  <w:style w:type="paragraph" w:styleId="Callout">
    <w:name w:val="Callout"/>
    <w:pPr>
      <w:pBdr>
        <w:left w:val="single" w:sz="24" w:space="12" w:color="0B5394"/>
      </w:pBdr>
      <w:shd w:val="clear" w:color="auto" w:fill="F0F4F8"/>
      <w:spacing w:before="140" w:after="140"/>
      <w:ind w:left="240" w:right="240"/>
    </w:pPr>
    <w:rPr>
      <w:color w:val="1C3D5A"/>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SmartFHIR: AI-Powered Universal Health Data Ingestion &amp; Automated Blockly Mapping</dc:title>
  <dc:creator>Vinay V &amp; AI Team</dc:creator>
  <cp:lastModifiedBy>Vinay V</cp:lastModifiedBy>
  <dcterms:created xsi:type="dcterms:W3CDTF">2026-09-02T20:30:00Z</dcterms:created>
  <dcterms:modified xsi:type="dcterms:W3CDTF">2026-09-02T20:30:00Z</dcterms:modified>
</cp:coreProperties>
</file>