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DB2BE">
      <w:pPr>
        <w:pStyle w:val="8"/>
      </w:pPr>
      <w:r>
        <w:t>AI Product Innovation Hackathon 2026</w:t>
      </w:r>
    </w:p>
    <w:p w14:paraId="3C62031D">
      <w:pPr>
        <w:pStyle w:val="7"/>
      </w:pPr>
      <w:r>
        <w:t>AI Idea Submission Form</w:t>
      </w:r>
    </w:p>
    <w:p w14:paraId="0181C00C">
      <w:pPr>
        <w:pStyle w:val="2"/>
      </w:pPr>
      <w:r>
        <w:t>1. Basic Information</w:t>
      </w:r>
    </w:p>
    <w:tbl>
      <w:tblPr>
        <w:tblStyle w:val="5"/>
        <w:tblW w:w="0" w:type="auto"/>
        <w:tblInd w:w="0" w:type="dxa"/>
        <w:tblBorders>
          <w:top w:val="single" w:color="CBD5E1" w:sz="8" w:space="0"/>
          <w:left w:val="single" w:color="CBD5E1" w:sz="8" w:space="0"/>
          <w:bottom w:val="single" w:color="CBD5E1" w:sz="8" w:space="0"/>
          <w:right w:val="single" w:color="CBD5E1" w:sz="8" w:space="0"/>
          <w:insideH w:val="single" w:color="E2E8F0" w:sz="6" w:space="0"/>
          <w:insideV w:val="single" w:color="E2E8F0" w:sz="6" w:space="0"/>
        </w:tblBorders>
        <w:tblLayout w:type="autofit"/>
        <w:tblCellMar>
          <w:top w:w="120" w:type="dxa"/>
          <w:left w:w="140" w:type="dxa"/>
          <w:bottom w:w="120" w:type="dxa"/>
          <w:right w:w="140" w:type="dxa"/>
        </w:tblCellMar>
      </w:tblPr>
      <w:tblGrid>
        <w:gridCol w:w="2307"/>
        <w:gridCol w:w="6279"/>
      </w:tblGrid>
      <w:tr w14:paraId="3D780674">
        <w:tblPrEx>
          <w:tblBorders>
            <w:top w:val="single" w:color="CBD5E1" w:sz="8" w:space="0"/>
            <w:left w:val="single" w:color="CBD5E1" w:sz="8" w:space="0"/>
            <w:bottom w:val="single" w:color="CBD5E1" w:sz="8" w:space="0"/>
            <w:right w:val="single" w:color="CBD5E1" w:sz="8" w:space="0"/>
            <w:insideH w:val="single" w:color="E2E8F0" w:sz="6" w:space="0"/>
            <w:insideV w:val="single" w:color="E2E8F0" w:sz="6" w:space="0"/>
          </w:tblBorders>
          <w:tblCellMar>
            <w:top w:w="120" w:type="dxa"/>
            <w:left w:w="140" w:type="dxa"/>
            <w:bottom w:w="120" w:type="dxa"/>
            <w:right w:w="140" w:type="dxa"/>
          </w:tblCellMar>
        </w:tblPrEx>
        <w:tc>
          <w:tcPr>
            <w:tcW w:w="2307" w:type="dxa"/>
            <w:shd w:val="clear" w:color="auto" w:fill="F1F5F9"/>
          </w:tcPr>
          <w:p w14:paraId="717CD5F5">
            <w:pPr>
              <w:spacing w:before="40" w:after="40"/>
            </w:pPr>
            <w:r>
              <w:rPr>
                <w:b/>
                <w:color w:val="0B5394"/>
              </w:rPr>
              <w:t>Idea Title</w:t>
            </w:r>
          </w:p>
        </w:tc>
        <w:tc>
          <w:tcPr>
            <w:tcW w:w="6279" w:type="dxa"/>
            <w:shd w:val="clear" w:color="auto" w:fill="FFFFFF"/>
          </w:tcPr>
          <w:p w14:paraId="79B51B87">
            <w:pPr>
              <w:spacing w:before="40" w:after="40"/>
            </w:pPr>
            <w:r>
              <w:t>SmartFHIR: Generative AI-Powered Universal Health Data Ingestion &amp; Automated Blockly Mapping</w:t>
            </w:r>
          </w:p>
        </w:tc>
      </w:tr>
      <w:tr w14:paraId="45591F4D">
        <w:tblPrEx>
          <w:tblBorders>
            <w:top w:val="single" w:color="CBD5E1" w:sz="8" w:space="0"/>
            <w:left w:val="single" w:color="CBD5E1" w:sz="8" w:space="0"/>
            <w:bottom w:val="single" w:color="CBD5E1" w:sz="8" w:space="0"/>
            <w:right w:val="single" w:color="CBD5E1" w:sz="8" w:space="0"/>
            <w:insideH w:val="single" w:color="E2E8F0" w:sz="6" w:space="0"/>
            <w:insideV w:val="single" w:color="E2E8F0" w:sz="6" w:space="0"/>
          </w:tblBorders>
          <w:tblCellMar>
            <w:top w:w="120" w:type="dxa"/>
            <w:left w:w="140" w:type="dxa"/>
            <w:bottom w:w="120" w:type="dxa"/>
            <w:right w:w="140" w:type="dxa"/>
          </w:tblCellMar>
        </w:tblPrEx>
        <w:tc>
          <w:tcPr>
            <w:tcW w:w="2307" w:type="dxa"/>
            <w:shd w:val="clear" w:color="auto" w:fill="F1F5F9"/>
          </w:tcPr>
          <w:p w14:paraId="6A003AB3">
            <w:pPr>
              <w:spacing w:before="40" w:after="40"/>
            </w:pPr>
            <w:r>
              <w:rPr>
                <w:b/>
                <w:color w:val="0B5394"/>
              </w:rPr>
              <w:t>Product Name</w:t>
            </w:r>
          </w:p>
        </w:tc>
        <w:tc>
          <w:tcPr>
            <w:tcW w:w="6279" w:type="dxa"/>
            <w:shd w:val="clear" w:color="auto" w:fill="FFFFFF"/>
          </w:tcPr>
          <w:p w14:paraId="477E66E8">
            <w:pPr>
              <w:spacing w:before="40" w:after="40"/>
            </w:pPr>
            <w:r>
              <w:t>HealthData Transform Platform (SmartFHIR Module)</w:t>
            </w:r>
          </w:p>
        </w:tc>
      </w:tr>
      <w:tr w14:paraId="265A8469">
        <w:tblPrEx>
          <w:tblBorders>
            <w:top w:val="single" w:color="CBD5E1" w:sz="8" w:space="0"/>
            <w:left w:val="single" w:color="CBD5E1" w:sz="8" w:space="0"/>
            <w:bottom w:val="single" w:color="CBD5E1" w:sz="8" w:space="0"/>
            <w:right w:val="single" w:color="CBD5E1" w:sz="8" w:space="0"/>
            <w:insideH w:val="single" w:color="E2E8F0" w:sz="6" w:space="0"/>
            <w:insideV w:val="single" w:color="E2E8F0" w:sz="6" w:space="0"/>
          </w:tblBorders>
          <w:tblCellMar>
            <w:top w:w="120" w:type="dxa"/>
            <w:left w:w="140" w:type="dxa"/>
            <w:bottom w:w="120" w:type="dxa"/>
            <w:right w:w="140" w:type="dxa"/>
          </w:tblCellMar>
        </w:tblPrEx>
        <w:tc>
          <w:tcPr>
            <w:tcW w:w="2307" w:type="dxa"/>
            <w:shd w:val="clear" w:color="auto" w:fill="F1F5F9"/>
          </w:tcPr>
          <w:p w14:paraId="5E04DBA6">
            <w:pPr>
              <w:spacing w:before="40" w:after="40"/>
            </w:pPr>
            <w:r>
              <w:rPr>
                <w:b/>
                <w:color w:val="0B5394"/>
              </w:rPr>
              <w:t>Department</w:t>
            </w:r>
          </w:p>
        </w:tc>
        <w:tc>
          <w:tcPr>
            <w:tcW w:w="6279" w:type="dxa"/>
            <w:shd w:val="clear" w:color="auto" w:fill="FFFFFF"/>
          </w:tcPr>
          <w:p w14:paraId="7CD4A007">
            <w:pPr>
              <w:spacing w:before="40" w:after="40"/>
            </w:pPr>
          </w:p>
        </w:tc>
      </w:tr>
      <w:tr w14:paraId="0B000BBE">
        <w:tblPrEx>
          <w:tblBorders>
            <w:top w:val="single" w:color="CBD5E1" w:sz="8" w:space="0"/>
            <w:left w:val="single" w:color="CBD5E1" w:sz="8" w:space="0"/>
            <w:bottom w:val="single" w:color="CBD5E1" w:sz="8" w:space="0"/>
            <w:right w:val="single" w:color="CBD5E1" w:sz="8" w:space="0"/>
            <w:insideH w:val="single" w:color="E2E8F0" w:sz="6" w:space="0"/>
            <w:insideV w:val="single" w:color="E2E8F0" w:sz="6" w:space="0"/>
          </w:tblBorders>
          <w:tblCellMar>
            <w:top w:w="120" w:type="dxa"/>
            <w:left w:w="140" w:type="dxa"/>
            <w:bottom w:w="120" w:type="dxa"/>
            <w:right w:w="140" w:type="dxa"/>
          </w:tblCellMar>
        </w:tblPrEx>
        <w:tc>
          <w:tcPr>
            <w:tcW w:w="2307" w:type="dxa"/>
            <w:shd w:val="clear" w:color="auto" w:fill="F1F5F9"/>
          </w:tcPr>
          <w:p w14:paraId="6E1D5D41">
            <w:pPr>
              <w:spacing w:before="40" w:after="40"/>
            </w:pPr>
            <w:r>
              <w:rPr>
                <w:b/>
                <w:color w:val="0B5394"/>
              </w:rPr>
              <w:t>Submission Type</w:t>
            </w:r>
          </w:p>
        </w:tc>
        <w:tc>
          <w:tcPr>
            <w:tcW w:w="6279" w:type="dxa"/>
            <w:shd w:val="clear" w:color="auto" w:fill="FFFFFF"/>
          </w:tcPr>
          <w:p w14:paraId="414A7B6A">
            <w:pPr>
              <w:spacing w:before="40" w:after="40"/>
            </w:pPr>
            <w:r>
              <w:t>[  ] Individual    [ X ] Team</w:t>
            </w:r>
          </w:p>
        </w:tc>
      </w:tr>
      <w:tr w14:paraId="4B1093A1">
        <w:tblPrEx>
          <w:tblBorders>
            <w:top w:val="single" w:color="CBD5E1" w:sz="8" w:space="0"/>
            <w:left w:val="single" w:color="CBD5E1" w:sz="8" w:space="0"/>
            <w:bottom w:val="single" w:color="CBD5E1" w:sz="8" w:space="0"/>
            <w:right w:val="single" w:color="CBD5E1" w:sz="8" w:space="0"/>
            <w:insideH w:val="single" w:color="E2E8F0" w:sz="6" w:space="0"/>
            <w:insideV w:val="single" w:color="E2E8F0" w:sz="6" w:space="0"/>
          </w:tblBorders>
          <w:tblCellMar>
            <w:top w:w="120" w:type="dxa"/>
            <w:left w:w="140" w:type="dxa"/>
            <w:bottom w:w="120" w:type="dxa"/>
            <w:right w:w="140" w:type="dxa"/>
          </w:tblCellMar>
        </w:tblPrEx>
        <w:tc>
          <w:tcPr>
            <w:tcW w:w="2307" w:type="dxa"/>
            <w:shd w:val="clear" w:color="auto" w:fill="F1F5F9"/>
          </w:tcPr>
          <w:p w14:paraId="055C44AA">
            <w:pPr>
              <w:spacing w:before="40" w:after="40"/>
            </w:pPr>
            <w:r>
              <w:rPr>
                <w:b/>
                <w:color w:val="0B5394"/>
              </w:rPr>
              <w:t>Team Name</w:t>
            </w:r>
          </w:p>
        </w:tc>
        <w:tc>
          <w:tcPr>
            <w:tcW w:w="6279" w:type="dxa"/>
            <w:shd w:val="clear" w:color="auto" w:fill="FFFFFF"/>
          </w:tcPr>
          <w:p w14:paraId="379F6BB7">
            <w:pPr>
              <w:spacing w:before="40" w:after="40"/>
            </w:pPr>
            <w:bookmarkStart w:id="0" w:name="_GoBack"/>
            <w:bookmarkEnd w:id="0"/>
          </w:p>
        </w:tc>
      </w:tr>
      <w:tr w14:paraId="7A0796A0">
        <w:tblPrEx>
          <w:tblBorders>
            <w:top w:val="single" w:color="CBD5E1" w:sz="8" w:space="0"/>
            <w:left w:val="single" w:color="CBD5E1" w:sz="8" w:space="0"/>
            <w:bottom w:val="single" w:color="CBD5E1" w:sz="8" w:space="0"/>
            <w:right w:val="single" w:color="CBD5E1" w:sz="8" w:space="0"/>
            <w:insideH w:val="single" w:color="E2E8F0" w:sz="6" w:space="0"/>
            <w:insideV w:val="single" w:color="E2E8F0" w:sz="6" w:space="0"/>
          </w:tblBorders>
          <w:tblCellMar>
            <w:top w:w="120" w:type="dxa"/>
            <w:left w:w="140" w:type="dxa"/>
            <w:bottom w:w="120" w:type="dxa"/>
            <w:right w:w="140" w:type="dxa"/>
          </w:tblCellMar>
        </w:tblPrEx>
        <w:tc>
          <w:tcPr>
            <w:tcW w:w="2307" w:type="dxa"/>
            <w:shd w:val="clear" w:color="auto" w:fill="F1F5F9"/>
          </w:tcPr>
          <w:p w14:paraId="0E738AB8">
            <w:pPr>
              <w:spacing w:before="40" w:after="40"/>
            </w:pPr>
            <w:r>
              <w:rPr>
                <w:b/>
                <w:color w:val="0B5394"/>
              </w:rPr>
              <w:t>Team Members</w:t>
            </w:r>
          </w:p>
        </w:tc>
        <w:tc>
          <w:tcPr>
            <w:tcW w:w="6279" w:type="dxa"/>
            <w:shd w:val="clear" w:color="auto" w:fill="FFFFFF"/>
          </w:tcPr>
          <w:p w14:paraId="78DEB1ED">
            <w:pPr>
              <w:spacing w:before="40" w:after="40"/>
            </w:pPr>
            <w:r>
              <w:t>Nithun, Favas, Aby, Amrutha, Vinay</w:t>
            </w:r>
          </w:p>
        </w:tc>
      </w:tr>
    </w:tbl>
    <w:p w14:paraId="17EA1B6F">
      <w:pPr>
        <w:pStyle w:val="2"/>
      </w:pPr>
      <w:r>
        <w:t>2. Problem Statement</w:t>
      </w:r>
    </w:p>
    <w:p w14:paraId="6AEC6EF8">
      <w:pPr>
        <w:pStyle w:val="3"/>
      </w:pPr>
      <w:r>
        <w:t>What problem are you trying to solve?</w:t>
      </w:r>
    </w:p>
    <w:p w14:paraId="49790895">
      <w:r>
        <w:t>Modern healthcare interoperability requires converting disparate, non-standard hospital data exports into standardized HL7 FHIR (Fast Healthcare Interoperability Resources) format.</w:t>
      </w:r>
    </w:p>
    <w:p w14:paraId="347F9455">
      <w:r>
        <w:t>Currently, our application relies on a completely manual onboarding and transformation process:</w:t>
      </w:r>
    </w:p>
    <w:p w14:paraId="6BDF7526">
      <w:pPr>
        <w:pStyle w:val="6"/>
      </w:pPr>
      <w:r>
        <w:rPr>
          <w:b/>
          <w:color w:val="0B5394"/>
        </w:rPr>
        <w:t xml:space="preserve">1. Manual Format Selection: </w:t>
      </w:r>
      <w:r>
        <w:t>Users must manually identify and select the incoming format type (CSV, Excel, HL7 v2, C-CDA XML, JSON) before uploading.</w:t>
      </w:r>
    </w:p>
    <w:p w14:paraId="4269AD82">
      <w:pPr>
        <w:pStyle w:val="6"/>
      </w:pPr>
      <w:r>
        <w:rPr>
          <w:b/>
          <w:color w:val="0B5394"/>
        </w:rPr>
        <w:t xml:space="preserve">2. Labor-Intensive Blockly Drag-and-Drop Mapping: </w:t>
      </w:r>
      <w:r>
        <w:t>Operators must manually locate destination FHIR resources, drag dozens of visual Blockly blocks onto a blank canvas, create connections, and configure data transformations for 50+ fields per file. Onboarding a single hospital format takes 8 to 16 hours of tedious manual effort.</w:t>
      </w:r>
    </w:p>
    <w:p w14:paraId="2DC6228F">
      <w:pPr>
        <w:pStyle w:val="6"/>
      </w:pPr>
      <w:r>
        <w:rPr>
          <w:b/>
          <w:color w:val="0B5394"/>
        </w:rPr>
        <w:t xml:space="preserve">3. Medical Terminology Complexity: </w:t>
      </w:r>
      <w:r>
        <w:t>Proprietary hospital lab and vital codes (e.g., 'GLUC_FST', 'BP_SYS') must be researched and manually mapped to clinical terminologies (LOINC, SNOMED CT, RxNorm, ICD-10), which is slow and error-prone.</w:t>
      </w:r>
    </w:p>
    <w:p w14:paraId="287C5801">
      <w:pPr>
        <w:pStyle w:val="6"/>
      </w:pPr>
      <w:r>
        <w:rPr>
          <w:b/>
          <w:color w:val="0B5394"/>
        </w:rPr>
        <w:t xml:space="preserve">4. Schema Drift Fragility: </w:t>
      </w:r>
      <w:r>
        <w:t>Whenever a hospital IT team updates its export layout (e.g., reordering columns, changing date formats), the static Blockly configuration breaks, requiring immediate manual intervention.</w:t>
      </w:r>
    </w:p>
    <w:p w14:paraId="0DD7B084">
      <w:pPr>
        <w:pStyle w:val="2"/>
      </w:pPr>
      <w:r>
        <w:t>3. Proposed AI Solution</w:t>
      </w:r>
    </w:p>
    <w:p w14:paraId="795CF18B">
      <w:pPr>
        <w:pStyle w:val="3"/>
      </w:pPr>
      <w:r>
        <w:t>Describe your AI idea and how AI will solve the problem.</w:t>
      </w:r>
    </w:p>
    <w:p w14:paraId="151A88E0">
      <w:r>
        <w:t>SmartFHIR introduces an autonomous, AI-driven ingestion and mapping layer directly integrated into our existing application architecture:</w:t>
      </w:r>
    </w:p>
    <w:p w14:paraId="376144EB">
      <w:pPr>
        <w:pStyle w:val="6"/>
      </w:pPr>
      <w:r>
        <w:rPr>
          <w:b/>
          <w:color w:val="0B5394"/>
        </w:rPr>
        <w:t xml:space="preserve">1. Universal Format-Agnostic Ingestion: </w:t>
      </w:r>
      <w:r>
        <w:t>A single drag-and-drop dropzone accepts any uploaded file (CSV, Excel, HL7 v2 messages, XML, JSON, or clinical PDFs). The system automatically detects file encoding, delimiters, and structural layout.</w:t>
      </w:r>
    </w:p>
    <w:p w14:paraId="764EA619">
      <w:pPr>
        <w:pStyle w:val="6"/>
      </w:pPr>
      <w:r>
        <w:rPr>
          <w:b/>
          <w:color w:val="0B5394"/>
        </w:rPr>
        <w:t xml:space="preserve">2. AI Schema Detection &amp; Clinical Entity Extraction: </w:t>
      </w:r>
      <w:r>
        <w:t>Leveraging Gemini 2.5 Flash with strict Structured Outputs (response_schema), the AI inspects source data samples, infers target FHIR resources (Patient, Observation, Encounter, Condition, MedicationRequest), and normalizes medical codes (LOINC, SNOMED CT, RxNorm).</w:t>
      </w:r>
    </w:p>
    <w:p w14:paraId="60FAC287">
      <w:pPr>
        <w:pStyle w:val="6"/>
      </w:pPr>
      <w:r>
        <w:rPr>
          <w:b/>
          <w:color w:val="0B5394"/>
        </w:rPr>
        <w:t xml:space="preserve">3. Automated Blockly Workspace Synthesis: </w:t>
      </w:r>
      <w:r>
        <w:t>Instead of replacing Blockly with an unexplainable black-box model, the AI compiles its mapping graph directly into standard Blockly workspace JSON. When the user opens the canvas, all visual blocks, connections, and conversion logic are already assembled and ready.</w:t>
      </w:r>
    </w:p>
    <w:p w14:paraId="19C37AFB">
      <w:pPr>
        <w:pStyle w:val="6"/>
      </w:pPr>
      <w:r>
        <w:rPr>
          <w:b/>
          <w:color w:val="0B5394"/>
        </w:rPr>
        <w:t xml:space="preserve">4. Interactive Human-in-the-Loop (HITL) Studio &amp; Co-Pilot: </w:t>
      </w:r>
      <w:r>
        <w:t>Blocks are color-coded by confidence (Green = &gt;90% confidence, Amber = Review recommended). A side-drawer AI Co-pilot allows users to refine mappings using natural language (e.g., 'Combine FirstName and LastName into Patient.name').</w:t>
      </w:r>
    </w:p>
    <w:p w14:paraId="4ECD1FBB">
      <w:pPr>
        <w:pStyle w:val="6"/>
      </w:pPr>
      <w:r>
        <w:rPr>
          <w:b/>
          <w:color w:val="0B5394"/>
        </w:rPr>
        <w:t xml:space="preserve">5. Real-Time FHIR Validation &amp; 1-Click Submission: </w:t>
      </w:r>
      <w:r>
        <w:t>Provides an instant side-by-side diff comparing raw source rows against validated FHIR R4 JSON bundles before 1-click dispatch to the destination FHIR server.</w:t>
      </w:r>
    </w:p>
    <w:p w14:paraId="0B506E8B">
      <w:pPr>
        <w:pStyle w:val="6"/>
      </w:pPr>
      <w:r>
        <w:rPr>
          <w:b/>
          <w:color w:val="0B5394"/>
        </w:rPr>
        <w:t xml:space="preserve">6. Continuous Learning &amp; Tenant Memory: </w:t>
      </w:r>
      <w:r>
        <w:t>Approved mapping configurations are saved in a tenant knowledge store, enabling 100% automated zero-touch ingestion for all future uploads matching that format.</w:t>
      </w:r>
    </w:p>
    <w:p w14:paraId="5E8DA944">
      <w:pPr>
        <w:pStyle w:val="2"/>
      </w:pPr>
      <w:r>
        <w:t>4. Expected Benefits</w:t>
      </w:r>
    </w:p>
    <w:p w14:paraId="76D74597">
      <w:pPr>
        <w:pStyle w:val="3"/>
      </w:pPr>
      <w:r>
        <w:t>Customer Benefits:</w:t>
      </w:r>
    </w:p>
    <w:p w14:paraId="31E5B4B7">
      <w:pPr>
        <w:pStyle w:val="6"/>
      </w:pPr>
      <w:r>
        <w:rPr>
          <w:b/>
          <w:color w:val="0B5394"/>
        </w:rPr>
        <w:t xml:space="preserve">Instant Hospital Onboarding: </w:t>
      </w:r>
      <w:r>
        <w:t>Reduces new hospital feed setup from days down to under 15 minutes.</w:t>
      </w:r>
    </w:p>
    <w:p w14:paraId="4C1E4E3E">
      <w:pPr>
        <w:pStyle w:val="6"/>
      </w:pPr>
      <w:r>
        <w:rPr>
          <w:b/>
          <w:color w:val="0B5394"/>
        </w:rPr>
        <w:t xml:space="preserve">Universal File Support: </w:t>
      </w:r>
      <w:r>
        <w:t>No need for hospitals to conform to rigid templates or pre-select formats.</w:t>
      </w:r>
    </w:p>
    <w:p w14:paraId="069FEA3F">
      <w:pPr>
        <w:pStyle w:val="6"/>
      </w:pPr>
      <w:r>
        <w:rPr>
          <w:b/>
          <w:color w:val="0B5394"/>
        </w:rPr>
        <w:t xml:space="preserve">Higher Clinical Data Quality: </w:t>
      </w:r>
      <w:r>
        <w:t>Eliminates human error in clinical code bindings and ensures 100% FHIR R4/R5 schema compliance.</w:t>
      </w:r>
    </w:p>
    <w:p w14:paraId="3FE97718">
      <w:pPr>
        <w:pStyle w:val="3"/>
      </w:pPr>
      <w:r>
        <w:t>Business Benefits:</w:t>
      </w:r>
    </w:p>
    <w:p w14:paraId="6520FEFC">
      <w:pPr>
        <w:pStyle w:val="6"/>
      </w:pPr>
      <w:r>
        <w:rPr>
          <w:b/>
          <w:color w:val="0B5394"/>
        </w:rPr>
        <w:t xml:space="preserve">[ X ] ROI </w:t>
      </w:r>
      <w:r>
        <w:t>Drastic reduction in integration costs and accelerated time-to-revenue.</w:t>
      </w:r>
    </w:p>
    <w:p w14:paraId="69B681BE">
      <w:pPr>
        <w:pStyle w:val="6"/>
      </w:pPr>
      <w:r>
        <w:rPr>
          <w:b/>
          <w:color w:val="0B5394"/>
        </w:rPr>
        <w:t xml:space="preserve">[ X ] Reduce Operational Cost </w:t>
      </w:r>
      <w:r>
        <w:t>Eliminates thousands of hours of manual mapping engineering per year.</w:t>
      </w:r>
    </w:p>
    <w:p w14:paraId="379B6D57">
      <w:pPr>
        <w:pStyle w:val="6"/>
      </w:pPr>
      <w:r>
        <w:rPr>
          <w:b/>
          <w:color w:val="0B5394"/>
        </w:rPr>
        <w:t xml:space="preserve">[ X ] Improve Productivity </w:t>
      </w:r>
      <w:r>
        <w:t>Integration teams can handle 10x more hospital client integrations simultaneously.</w:t>
      </w:r>
    </w:p>
    <w:p w14:paraId="52E15245">
      <w:pPr>
        <w:pStyle w:val="6"/>
      </w:pPr>
      <w:r>
        <w:rPr>
          <w:b/>
          <w:color w:val="0B5394"/>
        </w:rPr>
        <w:t xml:space="preserve">[ X ] Improve Customer Experience </w:t>
      </w:r>
      <w:r>
        <w:t>Frictionless, rapid onboarding experience for hospital IT partners.</w:t>
      </w:r>
    </w:p>
    <w:p w14:paraId="246220D3">
      <w:pPr>
        <w:pStyle w:val="6"/>
      </w:pPr>
      <w:r>
        <w:rPr>
          <w:b/>
          <w:color w:val="0B5394"/>
        </w:rPr>
        <w:t xml:space="preserve">[ X ] Reduce Manual Effort </w:t>
      </w:r>
      <w:r>
        <w:t>95%+ reduction in manual dragging, dropping, and configuring Blockly blocks.</w:t>
      </w:r>
    </w:p>
    <w:p w14:paraId="353DFF8E">
      <w:pPr>
        <w:pStyle w:val="6"/>
      </w:pPr>
      <w:r>
        <w:rPr>
          <w:b/>
          <w:color w:val="0B5394"/>
        </w:rPr>
        <w:t xml:space="preserve">[ X ] Competitive Advantage </w:t>
      </w:r>
      <w:r>
        <w:t>First-to-market autonomous AI health data ingestion with transparent Blockly visual explainability.</w:t>
      </w:r>
    </w:p>
    <w:p w14:paraId="7A9867C7">
      <w:pPr>
        <w:pStyle w:val="2"/>
      </w:pPr>
      <w:r>
        <w:t>5. ROI (Return on Investment)</w:t>
      </w:r>
    </w:p>
    <w:p w14:paraId="34FDFD59">
      <w:pPr>
        <w:pStyle w:val="3"/>
      </w:pPr>
      <w:r>
        <w:t>Brief ROI Justification:</w:t>
      </w:r>
    </w:p>
    <w:p w14:paraId="4771FFB5">
      <w:pPr>
        <w:pStyle w:val="6"/>
      </w:pPr>
      <w:r>
        <w:rPr>
          <w:b/>
          <w:color w:val="0B5394"/>
        </w:rPr>
        <w:t xml:space="preserve">90%+ Reduction in Integration Time: </w:t>
      </w:r>
      <w:r>
        <w:t>Decreases hospital onboarding duration from an average of 8–16 hours down to under 15 minutes of review.</w:t>
      </w:r>
    </w:p>
    <w:p w14:paraId="21383B0B">
      <w:pPr>
        <w:pStyle w:val="6"/>
      </w:pPr>
      <w:r>
        <w:rPr>
          <w:b/>
          <w:color w:val="0B5394"/>
        </w:rPr>
        <w:t xml:space="preserve">Massive Cost Efficiency with Gemini 2.5 Flash: </w:t>
      </w:r>
      <w:r>
        <w:t>The AI executes only on schema metadata and sample rows to generate Blockly rules (not per-row). Cost per AI mapping run is ~$0.0008 (less than one-tenth of a cent). Onboarding 500 US hospitals across 5,000 unique feeds costs under $25 in total AI compute.</w:t>
      </w:r>
    </w:p>
    <w:p w14:paraId="0C7A9823">
      <w:pPr>
        <w:pStyle w:val="6"/>
      </w:pPr>
      <w:r>
        <w:rPr>
          <w:b/>
          <w:color w:val="0B5394"/>
        </w:rPr>
        <w:t xml:space="preserve">Over $2.5M in Operational Savings: </w:t>
      </w:r>
      <w:r>
        <w:t>Replaces manual engineering overhead ($500–$1,000 per format in labor) with automated synthesis, saving millions at enterprise scale.</w:t>
      </w:r>
    </w:p>
    <w:p w14:paraId="5D882B24">
      <w:pPr>
        <w:pStyle w:val="6"/>
      </w:pPr>
      <w:r>
        <w:rPr>
          <w:b/>
          <w:color w:val="0B5394"/>
        </w:rPr>
        <w:t xml:space="preserve">5x–10x Faster Time-to-Market: </w:t>
      </w:r>
      <w:r>
        <w:t>Enables sales and onboarding teams to activate new hospital revenue streams rapidly without technical backlogs.</w:t>
      </w:r>
    </w:p>
    <w:p w14:paraId="5D6DC233">
      <w:pPr>
        <w:pStyle w:val="2"/>
      </w:pPr>
      <w:r>
        <w:t>6. Technical Feasibility</w:t>
      </w:r>
    </w:p>
    <w:p w14:paraId="1399343E">
      <w:pPr>
        <w:pStyle w:val="3"/>
      </w:pPr>
      <w:r>
        <w:t>Implementation Complexity:    [  ] Low    [ X ] Medium    [  ] High</w:t>
      </w:r>
    </w:p>
    <w:p w14:paraId="02FE1203">
      <w:r>
        <w:t>Feasibility Justification:</w:t>
      </w:r>
    </w:p>
    <w:p w14:paraId="7BB70A3C">
      <w:r>
        <w:t>The complexity is Medium because we do not rebuild the core transformation or submission engines. The solution layers Gemini 2.5 Flash on top of our existing Blockly canvas by programmatically generating standard Blockly serialization JSON (Blockly.serialization.workspaces.load) and validating via standard FHIR R4 schemas.</w:t>
      </w:r>
    </w:p>
    <w:p w14:paraId="6AA7518D">
      <w:pPr>
        <w:pStyle w:val="3"/>
      </w:pPr>
      <w:r>
        <w:t>Dependencies, Risks &amp; Mitigations:</w:t>
      </w:r>
    </w:p>
    <w:p w14:paraId="3C1FB4AC">
      <w:pPr>
        <w:pStyle w:val="6"/>
      </w:pPr>
      <w:r>
        <w:rPr>
          <w:b/>
          <w:color w:val="0B5394"/>
        </w:rPr>
        <w:t xml:space="preserve">1. Data Privacy &amp; HIPAA Compliance: </w:t>
      </w:r>
      <w:r>
        <w:t>Mitigated by using HIPAA-compliant enterprise LLM endpoints (Google Cloud Vertex AI with Business Associate Agreement / BAA) with zero data retention for model training, combined with pre-LLM PII/PHI de-identification.</w:t>
      </w:r>
    </w:p>
    <w:p w14:paraId="14C98BA9">
      <w:pPr>
        <w:pStyle w:val="6"/>
      </w:pPr>
      <w:r>
        <w:rPr>
          <w:b/>
          <w:color w:val="0B5394"/>
        </w:rPr>
        <w:t xml:space="preserve">2. AI Accuracy &amp; Medical Safety: </w:t>
      </w:r>
      <w:r>
        <w:t>Mitigated through strict Pydantic JSON schema constraints (response_schema), automated HAPI FHIR profile validators, and Human-in-the-Loop review with visual confidence scoring.</w:t>
      </w:r>
    </w:p>
    <w:p w14:paraId="75426A87">
      <w:pPr>
        <w:pStyle w:val="6"/>
      </w:pPr>
      <w:r>
        <w:rPr>
          <w:b/>
          <w:color w:val="0B5394"/>
        </w:rPr>
        <w:t xml:space="preserve">3. Blockly API Compatibility: </w:t>
      </w:r>
      <w:r>
        <w:t>Mitigated by generating native Blockly workspace JSON objects matching our existing custom block definitions.</w:t>
      </w:r>
    </w:p>
    <w:p w14:paraId="5B527570">
      <w:pPr>
        <w:pStyle w:val="2"/>
      </w:pPr>
      <w:r>
        <w:t>7. Additional Notes / Mock-up (Optional)</w:t>
      </w:r>
    </w:p>
    <w:p w14:paraId="56216902">
      <w:pPr>
        <w:pStyle w:val="3"/>
      </w:pPr>
      <w:r>
        <w:t>End-to-End User Interaction Flow:</w:t>
      </w:r>
    </w:p>
    <w:p w14:paraId="317DAFA9">
      <w:pPr>
        <w:pStyle w:val="6"/>
      </w:pPr>
      <w:r>
        <w:rPr>
          <w:b/>
          <w:color w:val="0B5394"/>
        </w:rPr>
        <w:t xml:space="preserve">1. Universal Dropzone: </w:t>
      </w:r>
      <w:r>
        <w:t>Operator drops any unformatted hospital file (CSV, HL7 v2, XML, JSON, PDF).</w:t>
      </w:r>
    </w:p>
    <w:p w14:paraId="75DFFD41">
      <w:pPr>
        <w:pStyle w:val="6"/>
      </w:pPr>
      <w:r>
        <w:rPr>
          <w:b/>
          <w:color w:val="0B5394"/>
        </w:rPr>
        <w:t xml:space="preserve">2. Auto-Analysis (Sub-2s): </w:t>
      </w:r>
      <w:r>
        <w:t>Real-time indicator: 'Sniffing Format' -&gt; 'Inferring Schema &amp; LOINC Codes' -&gt; 'Assembling Blockly Blocks'.</w:t>
      </w:r>
    </w:p>
    <w:p w14:paraId="428512C5">
      <w:pPr>
        <w:pStyle w:val="6"/>
      </w:pPr>
      <w:r>
        <w:rPr>
          <w:b/>
          <w:color w:val="0B5394"/>
        </w:rPr>
        <w:t xml:space="preserve">3. Pre-Populated Blockly Studio: </w:t>
      </w:r>
      <w:r>
        <w:t>Canvas instantly loads with all blocks, connectors, and transformation rules in place. Green confidence badges (&gt;90%) highlight verified links; amber badges highlight fields needing quick review.</w:t>
      </w:r>
    </w:p>
    <w:p w14:paraId="3D1EEA79">
      <w:pPr>
        <w:pStyle w:val="6"/>
      </w:pPr>
      <w:r>
        <w:rPr>
          <w:b/>
          <w:color w:val="0B5394"/>
        </w:rPr>
        <w:t xml:space="preserve">4. AI Co-Pilot Assistant: </w:t>
      </w:r>
      <w:r>
        <w:t>Side panel chat allows natural language adjustments: 'Format birthDate as YYYY-MM-DD and set Encounter class to AMB'.</w:t>
      </w:r>
    </w:p>
    <w:p w14:paraId="764D2885">
      <w:pPr>
        <w:pStyle w:val="6"/>
      </w:pPr>
      <w:r>
        <w:rPr>
          <w:b/>
          <w:color w:val="0B5394"/>
        </w:rPr>
        <w:t xml:space="preserve">5. Side-by-Side Live Diff: </w:t>
      </w:r>
      <w:r>
        <w:t>Interactive split-screen showing raw input record vs. validated FHIR R4 JSON Bundle with a green 'Valid FHIR R4' badge.</w:t>
      </w:r>
    </w:p>
    <w:p w14:paraId="286336C2">
      <w:pPr>
        <w:pStyle w:val="6"/>
      </w:pPr>
      <w:r>
        <w:rPr>
          <w:b/>
          <w:color w:val="0B5394"/>
        </w:rPr>
        <w:t xml:space="preserve">6. 1-Click Submission: </w:t>
      </w:r>
      <w:r>
        <w:t>Operator clicks 'Submit to FHIR Server', and records are dispatched via REST API with immediate confirmation.</w:t>
      </w: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0" w:lineRule="auto"/>
      </w:pPr>
      <w:r>
        <w:separator/>
      </w:r>
    </w:p>
  </w:footnote>
  <w:footnote w:type="continuationSeparator" w:id="1">
    <w:p>
      <w:pPr>
        <w:spacing w:before="0" w:after="0" w:line="25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pStyle w:val="6"/>
      <w:lvlText w:val="•"/>
      <w:lvlJc w:val="left"/>
      <w:pPr>
        <w:ind w:left="480" w:hanging="240"/>
      </w:pPr>
      <w:rPr>
        <w:rFonts w:ascii="Arial" w:hAnsi="Arial"/>
        <w:color w:val="0B539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1B4435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EastAsia"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50" w:lineRule="auto"/>
    </w:pPr>
    <w:rPr>
      <w:rFonts w:ascii="Calibri" w:hAnsi="Calibri" w:cs="Calibri"/>
      <w:color w:val="262626"/>
      <w:sz w:val="22"/>
    </w:rPr>
  </w:style>
  <w:style w:type="paragraph" w:styleId="2">
    <w:name w:val="heading 1"/>
    <w:uiPriority w:val="0"/>
    <w:pPr>
      <w:keepNext/>
      <w:pBdr>
        <w:bottom w:val="single" w:color="0B5394" w:sz="12" w:space="6"/>
      </w:pBdr>
      <w:shd w:val="clear" w:color="auto" w:fill="F0F4F8"/>
      <w:spacing w:before="280" w:after="120" w:line="250" w:lineRule="auto"/>
      <w:ind w:left="120" w:right="120"/>
    </w:pPr>
    <w:rPr>
      <w:rFonts w:ascii="Calibri" w:hAnsi="Calibri" w:cs="Calibri"/>
      <w:b/>
      <w:color w:val="0B5394"/>
      <w:sz w:val="26"/>
    </w:rPr>
  </w:style>
  <w:style w:type="paragraph" w:styleId="3">
    <w:name w:val="heading 2"/>
    <w:uiPriority w:val="0"/>
    <w:pPr>
      <w:keepNext/>
      <w:spacing w:before="180" w:after="80" w:line="250" w:lineRule="auto"/>
    </w:pPr>
    <w:rPr>
      <w:rFonts w:ascii="Calibri" w:hAnsi="Calibri" w:cs="Calibri"/>
      <w:b/>
      <w:color w:val="134F5C"/>
      <w:sz w:val="2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List Bullet"/>
    <w:uiPriority w:val="0"/>
    <w:pPr>
      <w:numPr>
        <w:ilvl w:val="0"/>
        <w:numId w:val="1"/>
      </w:numPr>
      <w:spacing w:after="60" w:line="250" w:lineRule="auto"/>
    </w:pPr>
    <w:rPr>
      <w:rFonts w:ascii="Calibri" w:hAnsi="Calibri" w:cs="Calibri"/>
      <w:color w:val="262626"/>
      <w:sz w:val="22"/>
    </w:rPr>
  </w:style>
  <w:style w:type="paragraph" w:styleId="7">
    <w:name w:val="Title"/>
    <w:uiPriority w:val="0"/>
    <w:pPr>
      <w:spacing w:before="40" w:after="200" w:line="250" w:lineRule="auto"/>
      <w:jc w:val="center"/>
    </w:pPr>
    <w:rPr>
      <w:rFonts w:ascii="Calibri" w:hAnsi="Calibri" w:cs="Calibri"/>
      <w:b/>
      <w:color w:val="0B5394"/>
      <w:sz w:val="40"/>
    </w:rPr>
  </w:style>
  <w:style w:type="paragraph" w:customStyle="1" w:styleId="8">
    <w:name w:val="HeaderBanner"/>
    <w:uiPriority w:val="0"/>
    <w:pPr>
      <w:spacing w:before="180" w:after="40" w:line="250" w:lineRule="auto"/>
      <w:jc w:val="center"/>
    </w:pPr>
    <w:rPr>
      <w:rFonts w:ascii="Calibri" w:hAnsi="Calibri" w:cs="Calibri"/>
      <w:b/>
      <w:color w:val="718096"/>
      <w:sz w:val="24"/>
    </w:rPr>
  </w:style>
  <w:style w:type="paragraph" w:customStyle="1" w:styleId="9">
    <w:name w:val="Callout"/>
    <w:uiPriority w:val="0"/>
    <w:pPr>
      <w:pBdr>
        <w:left w:val="single" w:color="0B5394" w:sz="24" w:space="12"/>
      </w:pBdr>
      <w:shd w:val="clear" w:color="auto" w:fill="F8FAFC"/>
      <w:spacing w:before="100" w:after="100" w:line="250" w:lineRule="auto"/>
      <w:ind w:left="200" w:right="200"/>
    </w:pPr>
    <w:rPr>
      <w:rFonts w:ascii="Calibri" w:hAnsi="Calibri" w:cs="Calibri"/>
      <w:color w:val="1C3D5A"/>
      <w:sz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2026-09-03T20:20:00Z</dcterms:created>
  <dc:creator>Vinay, Nithun, Favas, Aby, Amrutha</dc:creator>
  <cp:lastModifiedBy>vinayv</cp:lastModifiedBy>
  <dcterms:modified xsi:type="dcterms:W3CDTF">2026-09-03T14:49:20Z</dcterms:modified>
  <dc:title>AI Idea Submission - SmartFHIR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962F90EF97B34B54AE866974BDC29275_12</vt:lpwstr>
  </property>
</Properties>
</file>