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DTGC V14 GOLD PAPER</w:t>
      </w:r>
    </w:p>
    <w:p>
      <w:pPr>
        <w:spacing w:after="400"/>
        <w:jc w:val="center"/>
      </w:pPr>
      <w:r>
        <w:rPr>
          <w:color w:val="666666"/>
          <w:sz w:val="28"/>
          <w:szCs w:val="28"/>
        </w:rPr>
        <w:t xml:space="preserve">DT GOLD COIN • DIAMOND+ EDITION</w:t>
      </w:r>
    </w:p>
    <w:p>
      <w:pPr>
        <w:spacing w:after="200"/>
        <w:jc w:val="center"/>
      </w:pPr>
      <w:r>
        <w:rPr>
          <w:color w:val="D4AF37"/>
        </w:rPr>
        <w:t xml:space="preserve">━━━━━━━━━━━━━━━━━━━━━━━━━━━━━━━━━━━━━━━━</w:t>
      </w:r>
    </w:p>
    <w:p>
      <w:pPr>
        <w:spacing w:after="200"/>
        <w:jc w:val="center"/>
      </w:pPr>
      <w:r>
        <w:rPr>
          <w:b/>
          <w:bCs/>
          <w:color w:val="D4AF37"/>
          <w:sz w:val="32"/>
          <w:szCs w:val="32"/>
        </w:rPr>
        <w:t xml:space="preserve">91% CONTROLLED SUPPLY • 9% FLOAT</w:t>
      </w:r>
    </w:p>
    <w:p>
      <w:pPr>
        <w:spacing w:after="200"/>
        <w:jc w:val="center"/>
      </w:pPr>
      <w:r>
        <w:rPr>
          <w:color w:val="00BCD4"/>
          <w:sz w:val="24"/>
          <w:szCs w:val="24"/>
        </w:rPr>
        <w:t xml:space="preserve">💎 Diamond (DTGC/PLS) • 1.5x Boost • 60% APR</w:t>
      </w:r>
    </w:p>
    <w:p>
      <w:pPr>
        <w:spacing w:after="600"/>
        <w:jc w:val="center"/>
      </w:pPr>
      <w:r>
        <w:rPr>
          <w:color w:val="9C27B0"/>
          <w:sz w:val="24"/>
          <w:szCs w:val="24"/>
        </w:rPr>
        <w:t xml:space="preserve">💎✨ Diamond+ (DTGC/URMOM) • 2x Boost • 100% APR</w:t>
      </w:r>
    </w:p>
    <w:p>
      <w:pPr>
        <w:spacing w:before="800"/>
        <w:jc w:val="center"/>
      </w:pPr>
      <w:r>
        <w:rPr>
          <w:color w:val="999999"/>
          <w:sz w:val="20"/>
          <w:szCs w:val="20"/>
        </w:rPr>
        <w:t xml:space="preserve">Version 14.0 • December 2025</w:t>
      </w:r>
    </w:p>
    <w:p>
      <w:r>
        <w:br w:type="page"/>
      </w:r>
    </w:p>
    <w:p>
      <w:pPr>
        <w:pStyle w:val="Heading1"/>
      </w:pPr>
      <w:r>
        <w:t xml:space="preserve">1. EXECUTIVE SUMMARY</w:t>
      </w:r>
    </w:p>
    <w:p>
      <w:pPr>
        <w:spacing w:after="200"/>
      </w:pPr>
      <w:r>
        <w:t xml:space="preserve">DT Gold Coin (DTGC) is a premium staking protocol on PulseChain designed to reward long-term holders while creating sustainable tokenomics through strategic supply control, tiered staking rewards, and DAO governance.</w:t>
      </w:r>
    </w:p>
    <w:p>
      <w:pPr>
        <w:spacing w:after="200"/>
      </w:pPr>
      <w:r>
        <w:rPr>
          <w:b/>
          <w:bCs/>
        </w:rPr>
        <w:t xml:space="preserve">V14 Diamond+ Edition Key Highlights:</w:t>
      </w:r>
    </w:p>
    <w:p>
      <w:pPr>
        <w:pStyle w:val="ListParagraph"/>
        <w:numPr>
          <w:ilvl w:val="0"/>
          <w:numId w:val="2"/>
        </w:numPr>
      </w:pPr>
      <w:r>
        <w:rPr>
          <w:b/>
          <w:bCs/>
        </w:rPr>
        <w:t xml:space="preserve">91% Controlled Supply</w:t>
      </w:r>
      <w:r>
        <w:t xml:space="preserve"> — Only 9% circulating float</w:t>
      </w:r>
    </w:p>
    <w:p>
      <w:pPr>
        <w:pStyle w:val="ListParagraph"/>
        <w:numPr>
          <w:ilvl w:val="0"/>
          <w:numId w:val="2"/>
        </w:numPr>
      </w:pPr>
      <w:r>
        <w:rPr>
          <w:b/>
          <w:bCs/>
        </w:rPr>
        <w:t xml:space="preserve">Diamond Tier (DTGC/PLS LP)</w:t>
      </w:r>
      <w:r>
        <w:t xml:space="preserve"> — 1.5x boost = 60% effective APR</w:t>
      </w:r>
    </w:p>
    <w:p>
      <w:pPr>
        <w:pStyle w:val="ListParagraph"/>
        <w:numPr>
          <w:ilvl w:val="0"/>
          <w:numId w:val="2"/>
        </w:numPr>
      </w:pPr>
      <w:r>
        <w:rPr>
          <w:b/>
          <w:bCs/>
        </w:rPr>
        <w:t xml:space="preserve">Diamond+ Tier (DTGC/URMOM LP)</w:t>
      </w:r>
      <w:r>
        <w:t xml:space="preserve"> — 2x boost = 100% effective APR</w:t>
      </w:r>
    </w:p>
    <w:p>
      <w:pPr>
        <w:pStyle w:val="ListParagraph"/>
        <w:numPr>
          <w:ilvl w:val="0"/>
          <w:numId w:val="2"/>
        </w:numPr>
      </w:pPr>
      <w:r>
        <w:rPr>
          <w:b/>
          <w:bCs/>
        </w:rPr>
        <w:t xml:space="preserve">Auto LP Injection</w:t>
      </w:r>
      <w:r>
        <w:t xml:space="preserve"> — Tax fees automatically strengthen liquidity</w:t>
      </w:r>
    </w:p>
    <w:p>
      <w:pPr>
        <w:pStyle w:val="ListParagraph"/>
        <w:numPr>
          <w:ilvl w:val="0"/>
          <w:numId w:val="2"/>
        </w:numPr>
      </w:pPr>
      <w:r>
        <w:rPr>
          <w:b/>
          <w:bCs/>
        </w:rPr>
        <w:t xml:space="preserve">DTGC Burn Mechanism</w:t>
      </w:r>
      <w:r>
        <w:t xml:space="preserve"> — 0.25% of every transaction burned forever</w:t>
      </w:r>
    </w:p>
    <w:p>
      <w:pPr>
        <w:pStyle w:val="ListParagraph"/>
        <w:numPr>
          <w:ilvl w:val="0"/>
          <w:numId w:val="2"/>
        </w:numPr>
        <w:spacing w:after="300"/>
      </w:pPr>
      <w:r>
        <w:rPr>
          <w:b/>
          <w:bCs/>
        </w:rPr>
        <w:t xml:space="preserve">Enhanced Security</w:t>
      </w:r>
      <w:r>
        <w:t xml:space="preserve"> — Multi-sig, audits, timelocks, and bug bounties</w:t>
      </w:r>
    </w:p>
    <w:p>
      <w:pPr>
        <w:pStyle w:val="Heading1"/>
      </w:pPr>
      <w:r>
        <w:t xml:space="preserve">2. TAX STRUCTURE</w:t>
      </w:r>
    </w:p>
    <w:p>
      <w:pPr>
        <w:pStyle w:val="Heading2"/>
      </w:pPr>
      <w:r>
        <w:t xml:space="preserve">2.1 Entry Tax (5% Total)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300"/>
      </w:tblGrid>
      <w:tr>
        <w:trPr>
          <w:tblHeader/>
        </w:trPr>
        <w:tc>
          <w:tcPr>
            <w:tcW w:type="dxa" w:w="3000"/>
            <w:tcBorders>
              <w:top w:val="single" w:color="D4AF37" w:sz="1"/>
              <w:left w:val="single" w:color="D4AF37" w:sz="1"/>
              <w:bottom w:val="single" w:color="D4AF37" w:sz="1"/>
              <w:right w:val="single" w:color="D4AF37" w:sz="1"/>
            </w:tcBorders>
            <w:shd w:fill="D4AF37" w:val="clear"/>
          </w:tcPr>
          <w:p>
            <w:pPr>
              <w:jc w:val="center"/>
            </w:pPr>
            <w:r>
              <w:rPr>
                <w:b/>
                <w:bCs/>
                <w:color w:val="FFFFFF"/>
              </w:rPr>
              <w:t xml:space="preserve">Recipient</w:t>
            </w:r>
          </w:p>
        </w:tc>
        <w:tc>
          <w:tcPr>
            <w:tcW w:type="dxa" w:w="1500"/>
            <w:tcBorders>
              <w:top w:val="single" w:color="D4AF37" w:sz="1"/>
              <w:left w:val="single" w:color="D4AF37" w:sz="1"/>
              <w:bottom w:val="single" w:color="D4AF37" w:sz="1"/>
              <w:right w:val="single" w:color="D4AF37" w:sz="1"/>
            </w:tcBorders>
            <w:shd w:fill="D4AF37" w:val="clear"/>
          </w:tcPr>
          <w:p>
            <w:pPr>
              <w:jc w:val="center"/>
            </w:pPr>
            <w:r>
              <w:rPr>
                <w:b/>
                <w:bCs/>
                <w:color w:val="FFFFFF"/>
              </w:rPr>
              <w:t xml:space="preserve">Rate</w:t>
            </w:r>
          </w:p>
        </w:tc>
        <w:tc>
          <w:tcPr>
            <w:tcW w:type="dxa" w:w="5300"/>
            <w:tcBorders>
              <w:top w:val="single" w:color="D4AF37" w:sz="1"/>
              <w:left w:val="single" w:color="D4AF37" w:sz="1"/>
              <w:bottom w:val="single" w:color="D4AF37" w:sz="1"/>
              <w:right w:val="single" w:color="D4AF37" w:sz="1"/>
            </w:tcBorders>
            <w:shd w:fill="D4AF37" w:val="clear"/>
          </w:tcPr>
          <w:p>
            <w:pPr>
              <w:jc w:val="center"/>
            </w:pPr>
            <w:r>
              <w:rPr>
                <w:b/>
                <w:bCs/>
                <w:color w:val="FFFFFF"/>
              </w:rPr>
              <w:t xml:space="preserve">Purpose</w:t>
            </w:r>
          </w:p>
        </w:tc>
      </w:tr>
      <w:tr>
        <w:tc>
          <w:tcPr>
            <w:tcW w:type="dxa" w:w="3000"/>
            <w:tcBorders>
              <w:top w:val="single" w:color="D4AF37" w:sz="1"/>
              <w:left w:val="single" w:color="D4AF37" w:sz="1"/>
              <w:bottom w:val="single" w:color="D4AF37" w:sz="1"/>
              <w:right w:val="single" w:color="D4AF37" w:sz="1"/>
            </w:tcBorders>
            <w:shd w:fill="FFF8E7" w:val="clear"/>
          </w:tcPr>
          <w:p>
            <w:r>
              <w:t xml:space="preserve">🏛️ DAO Treasury</w:t>
            </w:r>
          </w:p>
        </w:tc>
        <w:tc>
          <w:tcPr>
            <w:tcW w:type="dxa" w:w="1500"/>
            <w:tcBorders>
              <w:top w:val="single" w:color="D4AF37" w:sz="1"/>
              <w:left w:val="single" w:color="D4AF37" w:sz="1"/>
              <w:bottom w:val="single" w:color="D4AF37" w:sz="1"/>
              <w:right w:val="single" w:color="D4AF37" w:sz="1"/>
            </w:tcBorders>
            <w:shd w:fill="FFF8E7" w:val="clear"/>
          </w:tcPr>
          <w:p>
            <w:pPr>
              <w:jc w:val="center"/>
            </w:pPr>
            <w:r>
              <w:rPr>
                <w:b/>
                <w:bCs/>
              </w:rPr>
              <w:t xml:space="preserve">2.00%</w:t>
            </w:r>
          </w:p>
        </w:tc>
        <w:tc>
          <w:tcPr>
            <w:tcW w:type="dxa" w:w="5300"/>
            <w:tcBorders>
              <w:top w:val="single" w:color="D4AF37" w:sz="1"/>
              <w:left w:val="single" w:color="D4AF37" w:sz="1"/>
              <w:bottom w:val="single" w:color="D4AF37" w:sz="1"/>
              <w:right w:val="single" w:color="D4AF37" w:sz="1"/>
            </w:tcBorders>
            <w:shd w:fill="FFF8E7" w:val="clear"/>
          </w:tcPr>
          <w:p>
            <w:r>
              <w:t xml:space="preserve">Community governance, staking rewards, protocol growth</w:t>
            </w:r>
          </w:p>
        </w:tc>
      </w:tr>
      <w:tr>
        <w:tc>
          <w:tcPr>
            <w:tcW w:type="dxa" w:w="3000"/>
            <w:tcBorders>
              <w:top w:val="single" w:color="D4AF37" w:sz="1"/>
              <w:left w:val="single" w:color="D4AF37" w:sz="1"/>
              <w:bottom w:val="single" w:color="D4AF37" w:sz="1"/>
              <w:right w:val="single" w:color="D4AF37" w:sz="1"/>
            </w:tcBorders>
          </w:tcPr>
          <w:p>
            <w:r>
              <w:t xml:space="preserve">👨‍💻 Dev Wallet</w:t>
            </w:r>
          </w:p>
        </w:tc>
        <w:tc>
          <w:tcPr>
            <w:tcW w:type="dxa" w:w="1500"/>
            <w:tcBorders>
              <w:top w:val="single" w:color="D4AF37" w:sz="1"/>
              <w:left w:val="single" w:color="D4AF37" w:sz="1"/>
              <w:bottom w:val="single" w:color="D4AF37" w:sz="1"/>
              <w:right w:val="single" w:color="D4AF37" w:sz="1"/>
            </w:tcBorders>
          </w:tcPr>
          <w:p>
            <w:pPr>
              <w:jc w:val="center"/>
            </w:pPr>
            <w:r>
              <w:t xml:space="preserve">1.00%</w:t>
            </w:r>
          </w:p>
        </w:tc>
        <w:tc>
          <w:tcPr>
            <w:tcW w:type="dxa" w:w="5300"/>
            <w:tcBorders>
              <w:top w:val="single" w:color="D4AF37" w:sz="1"/>
              <w:left w:val="single" w:color="D4AF37" w:sz="1"/>
              <w:bottom w:val="single" w:color="D4AF37" w:sz="1"/>
              <w:right w:val="single" w:color="D4AF37" w:sz="1"/>
            </w:tcBorders>
          </w:tcPr>
          <w:p>
            <w:r>
              <w:t xml:space="preserve">Development, marketing, operations, audits</w:t>
            </w:r>
          </w:p>
        </w:tc>
      </w:tr>
      <w:tr>
        <w:tc>
          <w:tcPr>
            <w:tcW w:type="dxa" w:w="3000"/>
            <w:tcBorders>
              <w:top w:val="single" w:color="D4AF37" w:sz="1"/>
              <w:left w:val="single" w:color="D4AF37" w:sz="1"/>
              <w:bottom w:val="single" w:color="D4AF37" w:sz="1"/>
              <w:right w:val="single" w:color="D4AF37" w:sz="1"/>
            </w:tcBorders>
            <w:shd w:fill="FFF8E7" w:val="clear"/>
          </w:tcPr>
          <w:p>
            <w:r>
              <w:t xml:space="preserve">💧 Auto LP (DTGC/URMOM)</w:t>
            </w:r>
          </w:p>
        </w:tc>
        <w:tc>
          <w:tcPr>
            <w:tcW w:type="dxa" w:w="1500"/>
            <w:tcBorders>
              <w:top w:val="single" w:color="D4AF37" w:sz="1"/>
              <w:left w:val="single" w:color="D4AF37" w:sz="1"/>
              <w:bottom w:val="single" w:color="D4AF37" w:sz="1"/>
              <w:right w:val="single" w:color="D4AF37" w:sz="1"/>
            </w:tcBorders>
            <w:shd w:fill="FFF8E7" w:val="clear"/>
          </w:tcPr>
          <w:p>
            <w:pPr>
              <w:jc w:val="center"/>
            </w:pPr>
            <w:r>
              <w:t xml:space="preserve">1.00%</w:t>
            </w:r>
          </w:p>
        </w:tc>
        <w:tc>
          <w:tcPr>
            <w:tcW w:type="dxa" w:w="5300"/>
            <w:tcBorders>
              <w:top w:val="single" w:color="D4AF37" w:sz="1"/>
              <w:left w:val="single" w:color="D4AF37" w:sz="1"/>
              <w:bottom w:val="single" w:color="D4AF37" w:sz="1"/>
              <w:right w:val="single" w:color="D4AF37" w:sz="1"/>
            </w:tcBorders>
            <w:shd w:fill="FFF8E7" w:val="clear"/>
          </w:tcPr>
          <w:p>
            <w:r>
              <w:t xml:space="preserve">Auto-inject to DTGC/URMOM liquidity pool</w:t>
            </w:r>
          </w:p>
        </w:tc>
      </w:tr>
      <w:tr>
        <w:tc>
          <w:tcPr>
            <w:tcW w:type="dxa" w:w="3000"/>
            <w:tcBorders>
              <w:top w:val="single" w:color="D4AF37" w:sz="1"/>
              <w:left w:val="single" w:color="D4AF37" w:sz="1"/>
              <w:bottom w:val="single" w:color="D4AF37" w:sz="1"/>
              <w:right w:val="single" w:color="D4AF37" w:sz="1"/>
            </w:tcBorders>
          </w:tcPr>
          <w:p>
            <w:r>
              <w:t xml:space="preserve">💧 Auto LP (DTGC/PLS)</w:t>
            </w:r>
          </w:p>
        </w:tc>
        <w:tc>
          <w:tcPr>
            <w:tcW w:type="dxa" w:w="1500"/>
            <w:tcBorders>
              <w:top w:val="single" w:color="D4AF37" w:sz="1"/>
              <w:left w:val="single" w:color="D4AF37" w:sz="1"/>
              <w:bottom w:val="single" w:color="D4AF37" w:sz="1"/>
              <w:right w:val="single" w:color="D4AF37" w:sz="1"/>
            </w:tcBorders>
          </w:tcPr>
          <w:p>
            <w:pPr>
              <w:jc w:val="center"/>
            </w:pPr>
            <w:r>
              <w:t xml:space="preserve">0.75%</w:t>
            </w:r>
          </w:p>
        </w:tc>
        <w:tc>
          <w:tcPr>
            <w:tcW w:type="dxa" w:w="5300"/>
            <w:tcBorders>
              <w:top w:val="single" w:color="D4AF37" w:sz="1"/>
              <w:left w:val="single" w:color="D4AF37" w:sz="1"/>
              <w:bottom w:val="single" w:color="D4AF37" w:sz="1"/>
              <w:right w:val="single" w:color="D4AF37" w:sz="1"/>
            </w:tcBorders>
          </w:tcPr>
          <w:p>
            <w:r>
              <w:t xml:space="preserve">Auto-inject to DTGC/PLS liquidity pool</w:t>
            </w:r>
          </w:p>
        </w:tc>
      </w:tr>
      <w:tr>
        <w:tc>
          <w:tcPr>
            <w:tcW w:type="dxa" w:w="3000"/>
            <w:tcBorders>
              <w:top w:val="single" w:color="D4AF37" w:sz="1"/>
              <w:left w:val="single" w:color="D4AF37" w:sz="1"/>
              <w:bottom w:val="single" w:color="D4AF37" w:sz="1"/>
              <w:right w:val="single" w:color="D4AF37" w:sz="1"/>
            </w:tcBorders>
            <w:shd w:fill="FFEBEE" w:val="clear"/>
          </w:tcPr>
          <w:p>
            <w:r>
              <w:t xml:space="preserve">🔥 DTGC Burn</w:t>
            </w:r>
          </w:p>
        </w:tc>
        <w:tc>
          <w:tcPr>
            <w:tcW w:type="dxa" w:w="1500"/>
            <w:tcBorders>
              <w:top w:val="single" w:color="D4AF37" w:sz="1"/>
              <w:left w:val="single" w:color="D4AF37" w:sz="1"/>
              <w:bottom w:val="single" w:color="D4AF37" w:sz="1"/>
              <w:right w:val="single" w:color="D4AF37" w:sz="1"/>
            </w:tcBorders>
            <w:shd w:fill="FFEBEE" w:val="clear"/>
          </w:tcPr>
          <w:p>
            <w:pPr>
              <w:jc w:val="center"/>
            </w:pPr>
            <w:r>
              <w:rPr>
                <w:b/>
                <w:bCs/>
                <w:color w:val="F44336"/>
              </w:rPr>
              <w:t xml:space="preserve">0.25%</w:t>
            </w:r>
          </w:p>
        </w:tc>
        <w:tc>
          <w:tcPr>
            <w:tcW w:type="dxa" w:w="5300"/>
            <w:tcBorders>
              <w:top w:val="single" w:color="D4AF37" w:sz="1"/>
              <w:left w:val="single" w:color="D4AF37" w:sz="1"/>
              <w:bottom w:val="single" w:color="D4AF37" w:sz="1"/>
              <w:right w:val="single" w:color="D4AF37" w:sz="1"/>
            </w:tcBorders>
            <w:shd w:fill="FFEBEE" w:val="clear"/>
          </w:tcPr>
          <w:p>
            <w:r>
              <w:t xml:space="preserve">Permanently burned — deflationary mechanism</w:t>
            </w:r>
          </w:p>
        </w:tc>
      </w:tr>
    </w:tbl>
    <w:p>
      <w:pPr>
        <w:pStyle w:val="Heading2"/>
        <w:spacing w:before="400"/>
      </w:pPr>
      <w:r>
        <w:t xml:space="preserve">2.2 Exit Tax (5% Total)</w:t>
      </w:r>
    </w:p>
    <w:p>
      <w:pPr>
        <w:spacing w:after="200"/>
      </w:pPr>
      <w:r>
        <w:rPr>
          <w:i/>
          <w:iCs/>
        </w:rPr>
        <w:t xml:space="preserve">Same breakdown as Entry Tax. </w:t>
      </w:r>
      <w:r>
        <w:t xml:space="preserve">This creates consistent tokenomics and ensures protocol sustainability regardless of market direction.</w:t>
      </w:r>
    </w:p>
    <w:p>
      <w:pPr>
        <w:pStyle w:val="Heading2"/>
        <w:spacing w:before="400"/>
      </w:pPr>
      <w:r>
        <w:t xml:space="preserve">2.3 EES - Emergency End Stake (20% Total)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300"/>
      </w:tblGrid>
      <w:tr>
        <w:trPr>
          <w:tblHeader/>
        </w:trPr>
        <w:tc>
          <w:tcPr>
            <w:tcW w:type="dxa" w:w="3000"/>
            <w:tcBorders>
              <w:top w:val="single" w:color="D4AF37" w:sz="1"/>
              <w:left w:val="single" w:color="D4AF37" w:sz="1"/>
              <w:bottom w:val="single" w:color="D4AF37" w:sz="1"/>
              <w:right w:val="single" w:color="D4AF37" w:sz="1"/>
            </w:tcBorders>
            <w:shd w:fill="FF5722" w:val="clear"/>
          </w:tcPr>
          <w:p>
            <w:pPr>
              <w:jc w:val="center"/>
            </w:pPr>
            <w:r>
              <w:rPr>
                <w:b/>
                <w:bCs/>
                <w:color w:val="FFFFFF"/>
              </w:rPr>
              <w:t xml:space="preserve">Recipient</w:t>
            </w:r>
          </w:p>
        </w:tc>
        <w:tc>
          <w:tcPr>
            <w:tcW w:type="dxa" w:w="1500"/>
            <w:tcBorders>
              <w:top w:val="single" w:color="D4AF37" w:sz="1"/>
              <w:left w:val="single" w:color="D4AF37" w:sz="1"/>
              <w:bottom w:val="single" w:color="D4AF37" w:sz="1"/>
              <w:right w:val="single" w:color="D4AF37" w:sz="1"/>
            </w:tcBorders>
            <w:shd w:fill="FF5722" w:val="clear"/>
          </w:tcPr>
          <w:p>
            <w:pPr>
              <w:jc w:val="center"/>
            </w:pPr>
            <w:r>
              <w:rPr>
                <w:b/>
                <w:bCs/>
                <w:color w:val="FFFFFF"/>
              </w:rPr>
              <w:t xml:space="preserve">Rate</w:t>
            </w:r>
          </w:p>
        </w:tc>
        <w:tc>
          <w:tcPr>
            <w:tcW w:type="dxa" w:w="5300"/>
            <w:tcBorders>
              <w:top w:val="single" w:color="D4AF37" w:sz="1"/>
              <w:left w:val="single" w:color="D4AF37" w:sz="1"/>
              <w:bottom w:val="single" w:color="D4AF37" w:sz="1"/>
              <w:right w:val="single" w:color="D4AF37" w:sz="1"/>
            </w:tcBorders>
            <w:shd w:fill="FF5722" w:val="clear"/>
          </w:tcPr>
          <w:p>
            <w:pPr>
              <w:jc w:val="center"/>
            </w:pPr>
            <w:r>
              <w:rPr>
                <w:b/>
                <w:bCs/>
                <w:color w:val="FFFFFF"/>
              </w:rPr>
              <w:t xml:space="preserve">Purpose</w:t>
            </w:r>
          </w:p>
        </w:tc>
      </w:tr>
      <w:tr>
        <w:tc>
          <w:tcPr>
            <w:tcW w:type="dxa" w:w="3000"/>
            <w:tcBorders>
              <w:top w:val="single" w:color="D4AF37" w:sz="1"/>
              <w:left w:val="single" w:color="D4AF37" w:sz="1"/>
              <w:bottom w:val="single" w:color="D4AF37" w:sz="1"/>
              <w:right w:val="single" w:color="D4AF37" w:sz="1"/>
            </w:tcBorders>
          </w:tcPr>
          <w:p>
            <w:r>
              <w:t xml:space="preserve">🏛️ DAO Treasury</w:t>
            </w:r>
          </w:p>
        </w:tc>
        <w:tc>
          <w:tcPr>
            <w:tcW w:type="dxa" w:w="1500"/>
            <w:tcBorders>
              <w:top w:val="single" w:color="D4AF37" w:sz="1"/>
              <w:left w:val="single" w:color="D4AF37" w:sz="1"/>
              <w:bottom w:val="single" w:color="D4AF37" w:sz="1"/>
              <w:right w:val="single" w:color="D4AF37" w:sz="1"/>
            </w:tcBorders>
          </w:tcPr>
          <w:p>
            <w:pPr>
              <w:jc w:val="center"/>
            </w:pPr>
            <w:r>
              <w:rPr>
                <w:b/>
                <w:bCs/>
              </w:rPr>
              <w:t xml:space="preserve">11.00%</w:t>
            </w:r>
          </w:p>
        </w:tc>
        <w:tc>
          <w:tcPr>
            <w:tcW w:type="dxa" w:w="5300"/>
            <w:tcBorders>
              <w:top w:val="single" w:color="D4AF37" w:sz="1"/>
              <w:left w:val="single" w:color="D4AF37" w:sz="1"/>
              <w:bottom w:val="single" w:color="D4AF37" w:sz="1"/>
              <w:right w:val="single" w:color="D4AF37" w:sz="1"/>
            </w:tcBorders>
          </w:tcPr>
          <w:p>
            <w:r>
              <w:t xml:space="preserve">Compensates DAO for early exit impact</w:t>
            </w:r>
          </w:p>
        </w:tc>
      </w:tr>
      <w:tr>
        <w:tc>
          <w:tcPr>
            <w:tcW w:type="dxa" w:w="3000"/>
            <w:tcBorders>
              <w:top w:val="single" w:color="D4AF37" w:sz="1"/>
              <w:left w:val="single" w:color="D4AF37" w:sz="1"/>
              <w:bottom w:val="single" w:color="D4AF37" w:sz="1"/>
              <w:right w:val="single" w:color="D4AF37" w:sz="1"/>
            </w:tcBorders>
            <w:shd w:fill="FFF8E7" w:val="clear"/>
          </w:tcPr>
          <w:p>
            <w:r>
              <w:t xml:space="preserve">👨‍💻 Dev Wallet</w:t>
            </w:r>
          </w:p>
        </w:tc>
        <w:tc>
          <w:tcPr>
            <w:tcW w:type="dxa" w:w="1500"/>
            <w:tcBorders>
              <w:top w:val="single" w:color="D4AF37" w:sz="1"/>
              <w:left w:val="single" w:color="D4AF37" w:sz="1"/>
              <w:bottom w:val="single" w:color="D4AF37" w:sz="1"/>
              <w:right w:val="single" w:color="D4AF37" w:sz="1"/>
            </w:tcBorders>
            <w:shd w:fill="FFF8E7" w:val="clear"/>
          </w:tcPr>
          <w:p>
            <w:pPr>
              <w:jc w:val="center"/>
            </w:pPr>
            <w:r>
              <w:t xml:space="preserve">4.00%</w:t>
            </w:r>
          </w:p>
        </w:tc>
        <w:tc>
          <w:tcPr>
            <w:tcW w:type="dxa" w:w="5300"/>
            <w:tcBorders>
              <w:top w:val="single" w:color="D4AF37" w:sz="1"/>
              <w:left w:val="single" w:color="D4AF37" w:sz="1"/>
              <w:bottom w:val="single" w:color="D4AF37" w:sz="1"/>
              <w:right w:val="single" w:color="D4AF37" w:sz="1"/>
            </w:tcBorders>
            <w:shd w:fill="FFF8E7" w:val="clear"/>
          </w:tcPr>
          <w:p>
            <w:r>
              <w:t xml:space="preserve">Protocol maintenance and emergency response</w:t>
            </w:r>
          </w:p>
        </w:tc>
      </w:tr>
      <w:tr>
        <w:tc>
          <w:tcPr>
            <w:tcW w:type="dxa" w:w="3000"/>
            <w:tcBorders>
              <w:top w:val="single" w:color="D4AF37" w:sz="1"/>
              <w:left w:val="single" w:color="D4AF37" w:sz="1"/>
              <w:bottom w:val="single" w:color="D4AF37" w:sz="1"/>
              <w:right w:val="single" w:color="D4AF37" w:sz="1"/>
            </w:tcBorders>
          </w:tcPr>
          <w:p>
            <w:r>
              <w:t xml:space="preserve">💧 Auto LP Injection</w:t>
            </w:r>
          </w:p>
        </w:tc>
        <w:tc>
          <w:tcPr>
            <w:tcW w:type="dxa" w:w="1500"/>
            <w:tcBorders>
              <w:top w:val="single" w:color="D4AF37" w:sz="1"/>
              <w:left w:val="single" w:color="D4AF37" w:sz="1"/>
              <w:bottom w:val="single" w:color="D4AF37" w:sz="1"/>
              <w:right w:val="single" w:color="D4AF37" w:sz="1"/>
            </w:tcBorders>
          </w:tcPr>
          <w:p>
            <w:pPr>
              <w:jc w:val="center"/>
            </w:pPr>
            <w:r>
              <w:t xml:space="preserve">5.00%</w:t>
            </w:r>
          </w:p>
        </w:tc>
        <w:tc>
          <w:tcPr>
            <w:tcW w:type="dxa" w:w="5300"/>
            <w:tcBorders>
              <w:top w:val="single" w:color="D4AF37" w:sz="1"/>
              <w:left w:val="single" w:color="D4AF37" w:sz="1"/>
              <w:bottom w:val="single" w:color="D4AF37" w:sz="1"/>
              <w:right w:val="single" w:color="D4AF37" w:sz="1"/>
            </w:tcBorders>
          </w:tcPr>
          <w:p>
            <w:r>
              <w:t xml:space="preserve">Same proportional split as entry/exit (2% DTGC/URMOM, 1.5% DTGC/PLS, 0.5% burn, 1% dev)</w:t>
            </w:r>
          </w:p>
        </w:tc>
      </w:tr>
    </w:tbl>
    <w:p>
      <w:pPr>
        <w:spacing w:before="200" w:after="300"/>
      </w:pPr>
      <w:r>
        <w:rPr>
          <w:b/>
          <w:bCs/>
          <w:color w:val="FF5722"/>
        </w:rPr>
        <w:t xml:space="preserve">⚠️ EES Warning: </w:t>
      </w:r>
      <w:r>
        <w:t xml:space="preserve">Emergency End Stake is designed to discourage panic selling. Users who wait until their lock period completes only pay the standard 5% exit tax.</w:t>
      </w:r>
    </w:p>
    <w:p>
      <w:r>
        <w:br w:type="page"/>
      </w:r>
    </w:p>
    <w:p>
      <w:pPr>
        <w:pStyle w:val="Heading1"/>
      </w:pPr>
      <w:r>
        <w:t xml:space="preserve">3. STAKING TIERS</w:t>
      </w:r>
    </w:p>
    <w:p>
      <w:pPr>
        <w:pStyle w:val="Heading2"/>
      </w:pPr>
      <w:r>
        <w:t xml:space="preserve">3.1 DTGC Staking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800"/>
      </w:tblGrid>
      <w:tr>
        <w:trPr>
          <w:tblHeader/>
        </w:trPr>
        <w:tc>
          <w:tcPr>
            <w:tcW w:type="dxa" w:w="20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Tier</w:t>
            </w:r>
          </w:p>
        </w:tc>
        <w:tc>
          <w:tcPr>
            <w:tcW w:type="dxa" w:w="15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Min $</w:t>
            </w:r>
          </w:p>
        </w:tc>
        <w:tc>
          <w:tcPr>
            <w:tcW w:type="dxa" w:w="15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Lock</w:t>
            </w:r>
          </w:p>
        </w:tc>
        <w:tc>
          <w:tcPr>
            <w:tcW w:type="dxa" w:w="15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APR</w:t>
            </w:r>
          </w:p>
        </w:tc>
        <w:tc>
          <w:tcPr>
            <w:tcW w:type="dxa" w:w="15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Boost</w:t>
            </w:r>
          </w:p>
        </w:tc>
        <w:tc>
          <w:tcPr>
            <w:tcW w:type="dxa" w:w="18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Asset</w:t>
            </w:r>
          </w:p>
        </w:tc>
      </w:tr>
      <w:tr>
        <w:tc>
          <w:tcPr>
            <w:tcW w:type="dxa" w:w="2000"/>
            <w:tcBorders>
              <w:top w:val="single" w:color="D4AF37" w:sz="1"/>
              <w:left w:val="single" w:color="D4AF37" w:sz="1"/>
              <w:bottom w:val="single" w:color="D4AF37" w:sz="1"/>
              <w:right w:val="single" w:color="D4AF37" w:sz="1"/>
            </w:tcBorders>
            <w:shd w:fill="FFF8E7" w:val="clear"/>
          </w:tcPr>
          <w:p>
            <w:r>
              <w:rPr>
                <w:sz w:val="22"/>
                <w:szCs w:val="22"/>
              </w:rPr>
              <w:t xml:space="preserve">🥈 Silver</w:t>
            </w:r>
          </w:p>
        </w:tc>
        <w:tc>
          <w:tcPr>
            <w:tcW w:type="dxa" w:w="15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$200</w:t>
            </w:r>
          </w:p>
        </w:tc>
        <w:tc>
          <w:tcPr>
            <w:tcW w:type="dxa" w:w="15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30 days</w:t>
            </w:r>
          </w:p>
        </w:tc>
        <w:tc>
          <w:tcPr>
            <w:tcW w:type="dxa" w:w="15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15%</w:t>
            </w:r>
          </w:p>
        </w:tc>
        <w:tc>
          <w:tcPr>
            <w:tcW w:type="dxa" w:w="15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1x</w:t>
            </w:r>
          </w:p>
        </w:tc>
        <w:tc>
          <w:tcPr>
            <w:tcW w:type="dxa" w:w="18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DTGC</w:t>
            </w:r>
          </w:p>
        </w:tc>
      </w:tr>
      <w:tr>
        <w:tc>
          <w:tcPr>
            <w:tcW w:type="dxa" w:w="2000"/>
            <w:tcBorders>
              <w:top w:val="single" w:color="D4AF37" w:sz="1"/>
              <w:left w:val="single" w:color="D4AF37" w:sz="1"/>
              <w:bottom w:val="single" w:color="D4AF37" w:sz="1"/>
              <w:right w:val="single" w:color="D4AF37" w:sz="1"/>
            </w:tcBorders>
          </w:tcPr>
          <w:p>
            <w:r>
              <w:rPr>
                <w:sz w:val="22"/>
                <w:szCs w:val="22"/>
              </w:rPr>
              <w:t xml:space="preserve">🥇 Gold</w:t>
            </w:r>
          </w:p>
        </w:tc>
        <w:tc>
          <w:tcPr>
            <w:tcW w:type="dxa" w:w="1500"/>
            <w:tcBorders>
              <w:top w:val="single" w:color="D4AF37" w:sz="1"/>
              <w:left w:val="single" w:color="D4AF37" w:sz="1"/>
              <w:bottom w:val="single" w:color="D4AF37" w:sz="1"/>
              <w:right w:val="single" w:color="D4AF37" w:sz="1"/>
            </w:tcBorders>
          </w:tcPr>
          <w:p>
            <w:pPr>
              <w:jc w:val="center"/>
            </w:pPr>
            <w:r>
              <w:rPr>
                <w:sz w:val="22"/>
                <w:szCs w:val="22"/>
              </w:rPr>
              <w:t xml:space="preserve">$500</w:t>
            </w:r>
          </w:p>
        </w:tc>
        <w:tc>
          <w:tcPr>
            <w:tcW w:type="dxa" w:w="1500"/>
            <w:tcBorders>
              <w:top w:val="single" w:color="D4AF37" w:sz="1"/>
              <w:left w:val="single" w:color="D4AF37" w:sz="1"/>
              <w:bottom w:val="single" w:color="D4AF37" w:sz="1"/>
              <w:right w:val="single" w:color="D4AF37" w:sz="1"/>
            </w:tcBorders>
          </w:tcPr>
          <w:p>
            <w:pPr>
              <w:jc w:val="center"/>
            </w:pPr>
            <w:r>
              <w:rPr>
                <w:sz w:val="22"/>
                <w:szCs w:val="22"/>
              </w:rPr>
              <w:t xml:space="preserve">90 days</w:t>
            </w:r>
          </w:p>
        </w:tc>
        <w:tc>
          <w:tcPr>
            <w:tcW w:type="dxa" w:w="1500"/>
            <w:tcBorders>
              <w:top w:val="single" w:color="D4AF37" w:sz="1"/>
              <w:left w:val="single" w:color="D4AF37" w:sz="1"/>
              <w:bottom w:val="single" w:color="D4AF37" w:sz="1"/>
              <w:right w:val="single" w:color="D4AF37" w:sz="1"/>
            </w:tcBorders>
          </w:tcPr>
          <w:p>
            <w:pPr>
              <w:jc w:val="center"/>
            </w:pPr>
            <w:r>
              <w:rPr>
                <w:sz w:val="22"/>
                <w:szCs w:val="22"/>
              </w:rPr>
              <w:t xml:space="preserve">18%</w:t>
            </w:r>
          </w:p>
        </w:tc>
        <w:tc>
          <w:tcPr>
            <w:tcW w:type="dxa" w:w="1500"/>
            <w:tcBorders>
              <w:top w:val="single" w:color="D4AF37" w:sz="1"/>
              <w:left w:val="single" w:color="D4AF37" w:sz="1"/>
              <w:bottom w:val="single" w:color="D4AF37" w:sz="1"/>
              <w:right w:val="single" w:color="D4AF37" w:sz="1"/>
            </w:tcBorders>
          </w:tcPr>
          <w:p>
            <w:pPr>
              <w:jc w:val="center"/>
            </w:pPr>
            <w:r>
              <w:rPr>
                <w:sz w:val="22"/>
                <w:szCs w:val="22"/>
              </w:rPr>
              <w:t xml:space="preserve">1x</w:t>
            </w:r>
          </w:p>
        </w:tc>
        <w:tc>
          <w:tcPr>
            <w:tcW w:type="dxa" w:w="1800"/>
            <w:tcBorders>
              <w:top w:val="single" w:color="D4AF37" w:sz="1"/>
              <w:left w:val="single" w:color="D4AF37" w:sz="1"/>
              <w:bottom w:val="single" w:color="D4AF37" w:sz="1"/>
              <w:right w:val="single" w:color="D4AF37" w:sz="1"/>
            </w:tcBorders>
          </w:tcPr>
          <w:p>
            <w:pPr>
              <w:jc w:val="center"/>
            </w:pPr>
            <w:r>
              <w:rPr>
                <w:sz w:val="22"/>
                <w:szCs w:val="22"/>
              </w:rPr>
              <w:t xml:space="preserve">DTGC</w:t>
            </w:r>
          </w:p>
        </w:tc>
      </w:tr>
      <w:tr>
        <w:tc>
          <w:tcPr>
            <w:tcW w:type="dxa" w:w="2000"/>
            <w:tcBorders>
              <w:top w:val="single" w:color="D4AF37" w:sz="1"/>
              <w:left w:val="single" w:color="D4AF37" w:sz="1"/>
              <w:bottom w:val="single" w:color="D4AF37" w:sz="1"/>
              <w:right w:val="single" w:color="D4AF37" w:sz="1"/>
            </w:tcBorders>
            <w:shd w:fill="FFF8E7" w:val="clear"/>
          </w:tcPr>
          <w:p>
            <w:r>
              <w:rPr>
                <w:sz w:val="22"/>
                <w:szCs w:val="22"/>
              </w:rPr>
              <w:t xml:space="preserve">🐋 Whale</w:t>
            </w:r>
          </w:p>
        </w:tc>
        <w:tc>
          <w:tcPr>
            <w:tcW w:type="dxa" w:w="15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$10,000</w:t>
            </w:r>
          </w:p>
        </w:tc>
        <w:tc>
          <w:tcPr>
            <w:tcW w:type="dxa" w:w="15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180 days</w:t>
            </w:r>
          </w:p>
        </w:tc>
        <w:tc>
          <w:tcPr>
            <w:tcW w:type="dxa" w:w="15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18%</w:t>
            </w:r>
          </w:p>
        </w:tc>
        <w:tc>
          <w:tcPr>
            <w:tcW w:type="dxa" w:w="15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1x</w:t>
            </w:r>
          </w:p>
        </w:tc>
        <w:tc>
          <w:tcPr>
            <w:tcW w:type="dxa" w:w="1800"/>
            <w:tcBorders>
              <w:top w:val="single" w:color="D4AF37" w:sz="1"/>
              <w:left w:val="single" w:color="D4AF37" w:sz="1"/>
              <w:bottom w:val="single" w:color="D4AF37" w:sz="1"/>
              <w:right w:val="single" w:color="D4AF37" w:sz="1"/>
            </w:tcBorders>
            <w:shd w:fill="FFF8E7" w:val="clear"/>
          </w:tcPr>
          <w:p>
            <w:pPr>
              <w:jc w:val="center"/>
            </w:pPr>
            <w:r>
              <w:rPr>
                <w:sz w:val="22"/>
                <w:szCs w:val="22"/>
              </w:rPr>
              <w:t xml:space="preserve">DTGC</w:t>
            </w:r>
          </w:p>
        </w:tc>
      </w:tr>
    </w:tbl>
    <w:p>
      <w:pPr>
        <w:pStyle w:val="Heading2"/>
        <w:spacing w:before="400"/>
      </w:pPr>
      <w:r>
        <w:t xml:space="preserve">3.2 LP Staking Tiers (Premium)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2400"/>
      </w:tblGrid>
      <w:tr>
        <w:trPr>
          <w:tblHeader/>
        </w:trPr>
        <w:tc>
          <w:tcPr>
            <w:tcW w:type="dxa" w:w="22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Tier</w:t>
            </w:r>
          </w:p>
        </w:tc>
        <w:tc>
          <w:tcPr>
            <w:tcW w:type="dxa" w:w="13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Min $</w:t>
            </w:r>
          </w:p>
        </w:tc>
        <w:tc>
          <w:tcPr>
            <w:tcW w:type="dxa" w:w="13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Base APR</w:t>
            </w:r>
          </w:p>
        </w:tc>
        <w:tc>
          <w:tcPr>
            <w:tcW w:type="dxa" w:w="13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Boost</w:t>
            </w:r>
          </w:p>
        </w:tc>
        <w:tc>
          <w:tcPr>
            <w:tcW w:type="dxa" w:w="13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Effective</w:t>
            </w:r>
          </w:p>
        </w:tc>
        <w:tc>
          <w:tcPr>
            <w:tcW w:type="dxa" w:w="2400"/>
            <w:tcBorders>
              <w:top w:val="single" w:color="D4AF37" w:sz="1"/>
              <w:left w:val="single" w:color="D4AF37" w:sz="1"/>
              <w:bottom w:val="single" w:color="D4AF37" w:sz="1"/>
              <w:right w:val="single" w:color="D4AF37" w:sz="1"/>
            </w:tcBorders>
            <w:shd w:fill="D4AF37" w:val="clear"/>
          </w:tcPr>
          <w:p>
            <w:pPr>
              <w:jc w:val="center"/>
            </w:pPr>
            <w:r>
              <w:rPr>
                <w:b/>
                <w:bCs/>
                <w:color w:val="FFFFFF"/>
                <w:sz w:val="20"/>
                <w:szCs w:val="20"/>
              </w:rPr>
              <w:t xml:space="preserve">LP Pair</w:t>
            </w:r>
          </w:p>
        </w:tc>
      </w:tr>
      <w:tr>
        <w:tc>
          <w:tcPr>
            <w:tcW w:type="dxa" w:w="2200"/>
            <w:tcBorders>
              <w:top w:val="single" w:color="D4AF37" w:sz="1"/>
              <w:left w:val="single" w:color="D4AF37" w:sz="1"/>
              <w:bottom w:val="single" w:color="D4AF37" w:sz="1"/>
              <w:right w:val="single" w:color="D4AF37" w:sz="1"/>
            </w:tcBorders>
            <w:shd w:fill="E0F7FA" w:val="clear"/>
          </w:tcPr>
          <w:p>
            <w:r>
              <w:rPr>
                <w:b/>
                <w:bCs/>
                <w:sz w:val="22"/>
                <w:szCs w:val="22"/>
              </w:rPr>
              <w:t xml:space="preserve">💎 Diamond</w:t>
            </w:r>
          </w:p>
        </w:tc>
        <w:tc>
          <w:tcPr>
            <w:tcW w:type="dxa" w:w="1300"/>
            <w:tcBorders>
              <w:top w:val="single" w:color="D4AF37" w:sz="1"/>
              <w:left w:val="single" w:color="D4AF37" w:sz="1"/>
              <w:bottom w:val="single" w:color="D4AF37" w:sz="1"/>
              <w:right w:val="single" w:color="D4AF37" w:sz="1"/>
            </w:tcBorders>
            <w:shd w:fill="E0F7FA" w:val="clear"/>
          </w:tcPr>
          <w:p>
            <w:pPr>
              <w:jc w:val="center"/>
            </w:pPr>
            <w:r>
              <w:rPr>
                <w:sz w:val="22"/>
                <w:szCs w:val="22"/>
              </w:rPr>
              <w:t xml:space="preserve">$100</w:t>
            </w:r>
          </w:p>
        </w:tc>
        <w:tc>
          <w:tcPr>
            <w:tcW w:type="dxa" w:w="1300"/>
            <w:tcBorders>
              <w:top w:val="single" w:color="D4AF37" w:sz="1"/>
              <w:left w:val="single" w:color="D4AF37" w:sz="1"/>
              <w:bottom w:val="single" w:color="D4AF37" w:sz="1"/>
              <w:right w:val="single" w:color="D4AF37" w:sz="1"/>
            </w:tcBorders>
            <w:shd w:fill="E0F7FA" w:val="clear"/>
          </w:tcPr>
          <w:p>
            <w:pPr>
              <w:jc w:val="center"/>
            </w:pPr>
            <w:r>
              <w:rPr>
                <w:sz w:val="22"/>
                <w:szCs w:val="22"/>
              </w:rPr>
              <w:t xml:space="preserve">40%</w:t>
            </w:r>
          </w:p>
        </w:tc>
        <w:tc>
          <w:tcPr>
            <w:tcW w:type="dxa" w:w="1300"/>
            <w:tcBorders>
              <w:top w:val="single" w:color="D4AF37" w:sz="1"/>
              <w:left w:val="single" w:color="D4AF37" w:sz="1"/>
              <w:bottom w:val="single" w:color="D4AF37" w:sz="1"/>
              <w:right w:val="single" w:color="D4AF37" w:sz="1"/>
            </w:tcBorders>
            <w:shd w:fill="E0F7FA" w:val="clear"/>
          </w:tcPr>
          <w:p>
            <w:pPr>
              <w:jc w:val="center"/>
            </w:pPr>
            <w:r>
              <w:rPr>
                <w:b/>
                <w:bCs/>
                <w:color w:val="00BCD4"/>
                <w:sz w:val="22"/>
                <w:szCs w:val="22"/>
              </w:rPr>
              <w:t xml:space="preserve">1.5x</w:t>
            </w:r>
          </w:p>
        </w:tc>
        <w:tc>
          <w:tcPr>
            <w:tcW w:type="dxa" w:w="1300"/>
            <w:tcBorders>
              <w:top w:val="single" w:color="D4AF37" w:sz="1"/>
              <w:left w:val="single" w:color="D4AF37" w:sz="1"/>
              <w:bottom w:val="single" w:color="D4AF37" w:sz="1"/>
              <w:right w:val="single" w:color="D4AF37" w:sz="1"/>
            </w:tcBorders>
            <w:shd w:fill="E0F7FA" w:val="clear"/>
          </w:tcPr>
          <w:p>
            <w:pPr>
              <w:jc w:val="center"/>
            </w:pPr>
            <w:r>
              <w:rPr>
                <w:b/>
                <w:bCs/>
                <w:color w:val="00BCD4"/>
                <w:sz w:val="22"/>
                <w:szCs w:val="22"/>
              </w:rPr>
              <w:t xml:space="preserve">60%</w:t>
            </w:r>
          </w:p>
        </w:tc>
        <w:tc>
          <w:tcPr>
            <w:tcW w:type="dxa" w:w="2400"/>
            <w:tcBorders>
              <w:top w:val="single" w:color="D4AF37" w:sz="1"/>
              <w:left w:val="single" w:color="D4AF37" w:sz="1"/>
              <w:bottom w:val="single" w:color="D4AF37" w:sz="1"/>
              <w:right w:val="single" w:color="D4AF37" w:sz="1"/>
            </w:tcBorders>
            <w:shd w:fill="E0F7FA" w:val="clear"/>
          </w:tcPr>
          <w:p>
            <w:pPr>
              <w:jc w:val="center"/>
            </w:pPr>
            <w:r>
              <w:rPr>
                <w:sz w:val="22"/>
                <w:szCs w:val="22"/>
              </w:rPr>
              <w:t xml:space="preserve">DTGC/PLS</w:t>
            </w:r>
          </w:p>
        </w:tc>
      </w:tr>
      <w:tr>
        <w:tc>
          <w:tcPr>
            <w:tcW w:type="dxa" w:w="2200"/>
            <w:tcBorders>
              <w:top w:val="single" w:color="D4AF37" w:sz="1"/>
              <w:left w:val="single" w:color="D4AF37" w:sz="1"/>
              <w:bottom w:val="single" w:color="D4AF37" w:sz="1"/>
              <w:right w:val="single" w:color="D4AF37" w:sz="1"/>
            </w:tcBorders>
            <w:shd w:fill="F3E5F5" w:val="clear"/>
          </w:tcPr>
          <w:p>
            <w:r>
              <w:rPr>
                <w:b/>
                <w:bCs/>
                <w:color w:val="9C27B0"/>
                <w:sz w:val="22"/>
                <w:szCs w:val="22"/>
              </w:rPr>
              <w:t xml:space="preserve">💎✨ Diamond+</w:t>
            </w:r>
          </w:p>
        </w:tc>
        <w:tc>
          <w:tcPr>
            <w:tcW w:type="dxa" w:w="1300"/>
            <w:tcBorders>
              <w:top w:val="single" w:color="D4AF37" w:sz="1"/>
              <w:left w:val="single" w:color="D4AF37" w:sz="1"/>
              <w:bottom w:val="single" w:color="D4AF37" w:sz="1"/>
              <w:right w:val="single" w:color="D4AF37" w:sz="1"/>
            </w:tcBorders>
            <w:shd w:fill="F3E5F5" w:val="clear"/>
          </w:tcPr>
          <w:p>
            <w:pPr>
              <w:jc w:val="center"/>
            </w:pPr>
            <w:r>
              <w:rPr>
                <w:sz w:val="22"/>
                <w:szCs w:val="22"/>
              </w:rPr>
              <w:t xml:space="preserve">$100</w:t>
            </w:r>
          </w:p>
        </w:tc>
        <w:tc>
          <w:tcPr>
            <w:tcW w:type="dxa" w:w="1300"/>
            <w:tcBorders>
              <w:top w:val="single" w:color="D4AF37" w:sz="1"/>
              <w:left w:val="single" w:color="D4AF37" w:sz="1"/>
              <w:bottom w:val="single" w:color="D4AF37" w:sz="1"/>
              <w:right w:val="single" w:color="D4AF37" w:sz="1"/>
            </w:tcBorders>
            <w:shd w:fill="F3E5F5" w:val="clear"/>
          </w:tcPr>
          <w:p>
            <w:pPr>
              <w:jc w:val="center"/>
            </w:pPr>
            <w:r>
              <w:rPr>
                <w:sz w:val="22"/>
                <w:szCs w:val="22"/>
              </w:rPr>
              <w:t xml:space="preserve">50%</w:t>
            </w:r>
          </w:p>
        </w:tc>
        <w:tc>
          <w:tcPr>
            <w:tcW w:type="dxa" w:w="1300"/>
            <w:tcBorders>
              <w:top w:val="single" w:color="D4AF37" w:sz="1"/>
              <w:left w:val="single" w:color="D4AF37" w:sz="1"/>
              <w:bottom w:val="single" w:color="D4AF37" w:sz="1"/>
              <w:right w:val="single" w:color="D4AF37" w:sz="1"/>
            </w:tcBorders>
            <w:shd w:fill="F3E5F5" w:val="clear"/>
          </w:tcPr>
          <w:p>
            <w:pPr>
              <w:jc w:val="center"/>
            </w:pPr>
            <w:r>
              <w:rPr>
                <w:b/>
                <w:bCs/>
                <w:color w:val="9C27B0"/>
                <w:sz w:val="22"/>
                <w:szCs w:val="22"/>
              </w:rPr>
              <w:t xml:space="preserve">2x!</w:t>
            </w:r>
          </w:p>
        </w:tc>
        <w:tc>
          <w:tcPr>
            <w:tcW w:type="dxa" w:w="1300"/>
            <w:tcBorders>
              <w:top w:val="single" w:color="D4AF37" w:sz="1"/>
              <w:left w:val="single" w:color="D4AF37" w:sz="1"/>
              <w:bottom w:val="single" w:color="D4AF37" w:sz="1"/>
              <w:right w:val="single" w:color="D4AF37" w:sz="1"/>
            </w:tcBorders>
            <w:shd w:fill="F3E5F5" w:val="clear"/>
          </w:tcPr>
          <w:p>
            <w:pPr>
              <w:jc w:val="center"/>
            </w:pPr>
            <w:r>
              <w:rPr>
                <w:b/>
                <w:bCs/>
                <w:color w:val="9C27B0"/>
                <w:sz w:val="22"/>
                <w:szCs w:val="22"/>
              </w:rPr>
              <w:t xml:space="preserve">100%</w:t>
            </w:r>
          </w:p>
        </w:tc>
        <w:tc>
          <w:tcPr>
            <w:tcW w:type="dxa" w:w="2400"/>
            <w:tcBorders>
              <w:top w:val="single" w:color="D4AF37" w:sz="1"/>
              <w:left w:val="single" w:color="D4AF37" w:sz="1"/>
              <w:bottom w:val="single" w:color="D4AF37" w:sz="1"/>
              <w:right w:val="single" w:color="D4AF37" w:sz="1"/>
            </w:tcBorders>
            <w:shd w:fill="F3E5F5" w:val="clear"/>
          </w:tcPr>
          <w:p>
            <w:pPr>
              <w:jc w:val="center"/>
            </w:pPr>
            <w:r>
              <w:rPr>
                <w:color w:val="9C27B0"/>
                <w:sz w:val="22"/>
                <w:szCs w:val="22"/>
              </w:rPr>
              <w:t xml:space="preserve">DTGC/URMOM</w:t>
            </w:r>
          </w:p>
        </w:tc>
      </w:tr>
    </w:tbl>
    <w:p>
      <w:pPr>
        <w:spacing w:before="200" w:after="300"/>
      </w:pPr>
      <w:r>
        <w:rPr>
          <w:b/>
          <w:bCs/>
          <w:color w:val="9C27B0"/>
        </w:rPr>
        <w:t xml:space="preserve">💎✨ Diamond+ is the BEST ROI! </w:t>
      </w:r>
      <w:r>
        <w:t xml:space="preserve">By providing DTGC/URMOM liquidity, you earn 100% effective APR during Genesis phase, plus trading fees from the LP pool. This tier rewards community members who support both tokens.</w:t>
      </w:r>
    </w:p>
    <w:p>
      <w:r>
        <w:br w:type="page"/>
      </w:r>
    </w:p>
    <w:p>
      <w:pPr>
        <w:pStyle w:val="Heading1"/>
      </w:pPr>
      <w:r>
        <w:t xml:space="preserve">4. SECURITY FRAMEWORK</w:t>
      </w:r>
    </w:p>
    <w:p>
      <w:pPr>
        <w:pStyle w:val="Heading2"/>
      </w:pPr>
      <w:r>
        <w:t xml:space="preserve">4.1 Smart Contract Security (Enhanced)</w:t>
      </w:r>
    </w:p>
    <w:p>
      <w:pPr>
        <w:spacing w:after="200"/>
      </w:pPr>
      <w:r>
        <w:rPr>
          <w:b/>
          <w:bCs/>
        </w:rPr>
        <w:t xml:space="preserve">Risk Level: </w:t>
      </w:r>
      <w:r>
        <w:rPr>
          <w:b/>
          <w:bCs/>
          <w:color w:val="FF9800"/>
        </w:rPr>
        <w:t xml:space="preserve">MEDIUM-HIGH</w:t>
      </w:r>
      <w:r>
        <w:t xml:space="preserve"> (reduced from HIGH with implemented mitigations)</w:t>
      </w:r>
    </w:p>
    <w:p>
      <w:pPr>
        <w:spacing w:after="100"/>
      </w:pPr>
      <w:r>
        <w:rPr>
          <w:b/>
          <w:bCs/>
        </w:rPr>
        <w:t xml:space="preserve">Security Measures Implemented:</w:t>
      </w:r>
    </w:p>
    <w:p>
      <w:pPr>
        <w:pStyle w:val="ListParagraph"/>
        <w:numPr>
          <w:ilvl w:val="0"/>
          <w:numId w:val="2"/>
        </w:numPr>
      </w:pPr>
      <w:r>
        <w:rPr>
          <w:b/>
          <w:bCs/>
        </w:rPr>
        <w:t xml:space="preserve">Multi-Signature Wallet: </w:t>
      </w:r>
      <w:r>
        <w:t xml:space="preserve">3-of-5 multisig required for admin functions</w:t>
      </w:r>
    </w:p>
    <w:p>
      <w:pPr>
        <w:pStyle w:val="ListParagraph"/>
        <w:numPr>
          <w:ilvl w:val="0"/>
          <w:numId w:val="2"/>
        </w:numPr>
      </w:pPr>
      <w:r>
        <w:rPr>
          <w:b/>
          <w:bCs/>
        </w:rPr>
        <w:t xml:space="preserve">Timelock Contract: </w:t>
      </w:r>
      <w:r>
        <w:t xml:space="preserve">48-hour delay on all parameter changes</w:t>
      </w:r>
    </w:p>
    <w:p>
      <w:pPr>
        <w:pStyle w:val="ListParagraph"/>
        <w:numPr>
          <w:ilvl w:val="0"/>
          <w:numId w:val="2"/>
        </w:numPr>
      </w:pPr>
      <w:r>
        <w:rPr>
          <w:b/>
          <w:bCs/>
        </w:rPr>
        <w:t xml:space="preserve">Professional Audit: </w:t>
      </w:r>
      <w:r>
        <w:t xml:space="preserve">Contract audited by [Audit Firm] before mainnet launch</w:t>
      </w:r>
    </w:p>
    <w:p>
      <w:pPr>
        <w:pStyle w:val="ListParagraph"/>
        <w:numPr>
          <w:ilvl w:val="0"/>
          <w:numId w:val="2"/>
        </w:numPr>
      </w:pPr>
      <w:r>
        <w:rPr>
          <w:b/>
          <w:bCs/>
        </w:rPr>
        <w:t xml:space="preserve">Bug Bounty Program: </w:t>
      </w:r>
      <w:r>
        <w:t xml:space="preserve">Up to $50,000 for critical vulnerabilities</w:t>
      </w:r>
    </w:p>
    <w:p>
      <w:pPr>
        <w:pStyle w:val="ListParagraph"/>
        <w:numPr>
          <w:ilvl w:val="0"/>
          <w:numId w:val="2"/>
        </w:numPr>
      </w:pPr>
      <w:r>
        <w:rPr>
          <w:b/>
          <w:bCs/>
        </w:rPr>
        <w:t xml:space="preserve">TVL Caps: </w:t>
      </w:r>
      <w:r>
        <w:t xml:space="preserve">Gradual increase of max TVL to limit exposure during initial phase</w:t>
      </w:r>
    </w:p>
    <w:p>
      <w:pPr>
        <w:pStyle w:val="ListParagraph"/>
        <w:numPr>
          <w:ilvl w:val="0"/>
          <w:numId w:val="2"/>
        </w:numPr>
      </w:pPr>
      <w:r>
        <w:rPr>
          <w:b/>
          <w:bCs/>
        </w:rPr>
        <w:t xml:space="preserve">Emergency Pause: </w:t>
      </w:r>
      <w:r>
        <w:t xml:space="preserve">Circuit breaker function to pause all operations if exploit detected</w:t>
      </w:r>
    </w:p>
    <w:p>
      <w:pPr>
        <w:pStyle w:val="ListParagraph"/>
        <w:numPr>
          <w:ilvl w:val="0"/>
          <w:numId w:val="2"/>
        </w:numPr>
      </w:pPr>
      <w:r>
        <w:rPr>
          <w:b/>
          <w:bCs/>
        </w:rPr>
        <w:t xml:space="preserve">Reentrancy Guards: </w:t>
      </w:r>
      <w:r>
        <w:t xml:space="preserve">All external calls protected with OpenZeppelin ReentrancyGuard</w:t>
      </w:r>
    </w:p>
    <w:p>
      <w:pPr>
        <w:pStyle w:val="ListParagraph"/>
        <w:numPr>
          <w:ilvl w:val="0"/>
          <w:numId w:val="2"/>
        </w:numPr>
        <w:spacing w:after="300"/>
      </w:pPr>
      <w:r>
        <w:rPr>
          <w:b/>
          <w:bCs/>
        </w:rPr>
        <w:t xml:space="preserve">Access Control: </w:t>
      </w:r>
      <w:r>
        <w:t xml:space="preserve">Role-based permissions using OpenZeppelin AccessControl</w:t>
      </w:r>
    </w:p>
    <w:p>
      <w:pPr>
        <w:pStyle w:val="Heading2"/>
      </w:pPr>
      <w:r>
        <w:t xml:space="preserve">4.2 Other Risks &amp; Mitigations</w:t>
      </w:r>
    </w:p>
    <w:p>
      <w:pPr>
        <w:pStyle w:val="ListParagraph"/>
        <w:numPr>
          <w:ilvl w:val="0"/>
          <w:numId w:val="3"/>
        </w:numPr>
        <w:spacing w:before="200"/>
      </w:pPr>
      <w:r>
        <w:rPr>
          <w:b/>
          <w:bCs/>
        </w:rPr>
        <w:t xml:space="preserve">Liquidity Risk</w:t>
      </w:r>
      <w:r>
        <w:rPr>
          <w:color w:val="FF9800"/>
        </w:rPr>
        <w:t xml:space="preserve"> — MEDIUM</w:t>
      </w:r>
    </w:p>
    <w:p>
      <w:pPr>
        <w:ind w:left="720"/>
      </w:pPr>
      <w:r>
        <w:rPr>
          <w:b/>
          <w:bCs/>
          <w:color w:val="4CAF50"/>
        </w:rPr>
        <w:t xml:space="preserve">Mitigation: </w:t>
      </w:r>
      <w:r>
        <w:t xml:space="preserve">87M DTGC locked in LP, Diamond/Diamond+ tiers incentivize LP provision, 1.75% of every tax auto-injects to LP pools.</w:t>
      </w:r>
    </w:p>
    <w:p>
      <w:pPr>
        <w:pStyle w:val="ListParagraph"/>
        <w:numPr>
          <w:ilvl w:val="0"/>
          <w:numId w:val="3"/>
        </w:numPr>
        <w:spacing w:before="200"/>
      </w:pPr>
      <w:r>
        <w:rPr>
          <w:b/>
          <w:bCs/>
        </w:rPr>
        <w:t xml:space="preserve">DAO Sustainability Risk</w:t>
      </w:r>
      <w:r>
        <w:rPr>
          <w:color w:val="FF9800"/>
        </w:rPr>
        <w:t xml:space="preserve"> — MEDIUM</w:t>
      </w:r>
    </w:p>
    <w:p>
      <w:pPr>
        <w:ind w:left="720"/>
      </w:pPr>
      <w:r>
        <w:rPr>
          <w:b/>
          <w:bCs/>
          <w:color w:val="4CAF50"/>
        </w:rPr>
        <w:t xml:space="preserve">Mitigation: </w:t>
      </w:r>
      <w:r>
        <w:t xml:space="preserve">Dynamic APR reduces as TVL grows, 2% of every tax goes to DAO treasury, 50% allocation ensures 10+ year runway.</w:t>
      </w:r>
    </w:p>
    <w:p>
      <w:pPr>
        <w:pStyle w:val="ListParagraph"/>
        <w:numPr>
          <w:ilvl w:val="0"/>
          <w:numId w:val="3"/>
        </w:numPr>
        <w:spacing w:before="200"/>
      </w:pPr>
      <w:r>
        <w:rPr>
          <w:b/>
          <w:bCs/>
        </w:rPr>
        <w:t xml:space="preserve">Centralization Risk</w:t>
      </w:r>
      <w:r>
        <w:rPr>
          <w:color w:val="FF9800"/>
        </w:rPr>
        <w:t xml:space="preserve"> — MEDIUM</w:t>
      </w:r>
    </w:p>
    <w:p>
      <w:pPr>
        <w:ind w:left="720"/>
      </w:pPr>
      <w:r>
        <w:rPr>
          <w:b/>
          <w:bCs/>
          <w:color w:val="4CAF50"/>
        </w:rPr>
        <w:t xml:space="preserve">Mitigation: </w:t>
      </w:r>
      <w:r>
        <w:t xml:space="preserve">Multi-sig wallet, time-locked vesting for dev tokens, transparent on-chain tracking, DAO voting on major decisions.</w:t>
      </w:r>
    </w:p>
    <w:p>
      <w:pPr>
        <w:pStyle w:val="ListParagraph"/>
        <w:numPr>
          <w:ilvl w:val="0"/>
          <w:numId w:val="3"/>
        </w:numPr>
        <w:spacing w:before="200"/>
      </w:pPr>
      <w:r>
        <w:rPr>
          <w:b/>
          <w:bCs/>
        </w:rPr>
        <w:t xml:space="preserve">Market/Price Risk</w:t>
      </w:r>
      <w:r>
        <w:rPr>
          <w:color w:val="F44336"/>
        </w:rPr>
        <w:t xml:space="preserve"> — HIGH</w:t>
      </w:r>
    </w:p>
    <w:p>
      <w:pPr>
        <w:spacing w:after="300"/>
        <w:ind w:left="720"/>
      </w:pPr>
      <w:r>
        <w:rPr>
          <w:b/>
          <w:bCs/>
          <w:color w:val="4CAF50"/>
        </w:rPr>
        <w:t xml:space="preserve">Mitigation: </w:t>
      </w:r>
      <w:r>
        <w:t xml:space="preserve">9% float limits sell pressure, 20% EES penalty discourages panic selling, auto LP injection supports price floor.</w:t>
      </w:r>
    </w:p>
    <w:p>
      <w:pPr>
        <w:pStyle w:val="Heading1"/>
      </w:pPr>
      <w:r>
        <w:t xml:space="preserve">5. CONCLUSION</w:t>
      </w:r>
    </w:p>
    <w:p>
      <w:pPr>
        <w:spacing w:after="200"/>
      </w:pPr>
      <w:r>
        <w:t xml:space="preserve">DTGC V14 Diamond+ Edition represents a major upgrade with dual LP staking tiers, auto LP injection, and enhanced security measures:</w:t>
      </w:r>
    </w:p>
    <w:p>
      <w:pPr>
        <w:pStyle w:val="ListParagraph"/>
        <w:numPr>
          <w:ilvl w:val="0"/>
          <w:numId w:val="2"/>
        </w:numPr>
      </w:pPr>
      <w:r>
        <w:rPr>
          <w:b/>
          <w:bCs/>
        </w:rPr>
        <w:t xml:space="preserve">Diamond Tier (DTGC/PLS): </w:t>
      </w:r>
      <w:r>
        <w:t xml:space="preserve">1.5x boost = 60% effective APR</w:t>
      </w:r>
    </w:p>
    <w:p>
      <w:pPr>
        <w:pStyle w:val="ListParagraph"/>
        <w:numPr>
          <w:ilvl w:val="0"/>
          <w:numId w:val="2"/>
        </w:numPr>
      </w:pPr>
      <w:r>
        <w:rPr>
          <w:b/>
          <w:bCs/>
        </w:rPr>
        <w:t xml:space="preserve">Diamond+ Tier (DTGC/URMOM): </w:t>
      </w:r>
      <w:r>
        <w:t xml:space="preserve">2x boost = 100% effective APR</w:t>
      </w:r>
    </w:p>
    <w:p>
      <w:pPr>
        <w:pStyle w:val="ListParagraph"/>
        <w:numPr>
          <w:ilvl w:val="0"/>
          <w:numId w:val="2"/>
        </w:numPr>
      </w:pPr>
      <w:r>
        <w:rPr>
          <w:b/>
          <w:bCs/>
        </w:rPr>
        <w:t xml:space="preserve">Auto LP Injection: </w:t>
      </w:r>
      <w:r>
        <w:t xml:space="preserve">1.75% of every tax strengthens liquidity</w:t>
      </w:r>
    </w:p>
    <w:p>
      <w:pPr>
        <w:pStyle w:val="ListParagraph"/>
        <w:numPr>
          <w:ilvl w:val="0"/>
          <w:numId w:val="2"/>
        </w:numPr>
      </w:pPr>
      <w:r>
        <w:rPr>
          <w:b/>
          <w:bCs/>
        </w:rPr>
        <w:t xml:space="preserve">DTGC Burn: </w:t>
      </w:r>
      <w:r>
        <w:t xml:space="preserve">0.25% burned forever on every transaction</w:t>
      </w:r>
    </w:p>
    <w:p>
      <w:pPr>
        <w:pStyle w:val="ListParagraph"/>
        <w:numPr>
          <w:ilvl w:val="0"/>
          <w:numId w:val="2"/>
        </w:numPr>
        <w:spacing w:after="300"/>
      </w:pPr>
      <w:r>
        <w:rPr>
          <w:b/>
          <w:bCs/>
        </w:rPr>
        <w:t xml:space="preserve">Enhanced Security: </w:t>
      </w:r>
      <w:r>
        <w:t xml:space="preserve">Multi-sig, timelocks, audits, and bug bounties</w:t>
      </w:r>
    </w:p>
    <w:p>
      <w:pPr>
        <w:spacing w:before="200"/>
      </w:pPr>
      <w:r>
        <w:rPr>
          <w:i/>
          <w:iCs/>
        </w:rPr>
        <w:t xml:space="preserve">For maximum returns, we recommend the Diamond+ tier (DTGC/URMOM LP) which delivers 100% effective APR during Genesis phase while supporting both token ecosystems.</w:t>
      </w:r>
    </w:p>
    <w:p>
      <w:pPr>
        <w:spacing w:before="600"/>
        <w:jc w:val="center"/>
      </w:pPr>
      <w:r>
        <w:rPr>
          <w:color w:val="D4AF37"/>
        </w:rPr>
        <w:t xml:space="preserve">━━━━━━━━━━━━━━━━━━━━━━━━━━━━━━━━━━━━━━━━</w:t>
      </w:r>
    </w:p>
    <w:p>
      <w:pPr>
        <w:spacing w:before="200"/>
      </w:pPr>
      <w:r>
        <w:rPr>
          <w:b/>
          <w:bCs/>
          <w:color w:val="F44336"/>
        </w:rPr>
        <w:t xml:space="preserve">DISCLAIMER: </w:t>
      </w:r>
      <w:r>
        <w:rPr>
          <w:color w:val="666666"/>
          <w:sz w:val="20"/>
          <w:szCs w:val="20"/>
        </w:rPr>
        <w:t xml:space="preserve">This document is for informational purposes only and does not constitute financial advice. Cryptocurrency investments carry significant risk. Past performance does not guarantee future results. Always conduct your own research (DYOR) before investing.</w:t>
      </w:r>
    </w:p>
    <w:p>
      <w:pPr>
        <w:spacing w:before="200"/>
        <w:jc w:val="center"/>
      </w:pPr>
      <w:r>
        <w:rPr>
          <w:color w:val="999999"/>
          <w:sz w:val="20"/>
          <w:szCs w:val="20"/>
        </w:rPr>
        <w:t xml:space="preserve">dump.tires • DTGC V14 Gold Paper • Diamond+ Edition • 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999999"/>
        <w:sz w:val="20"/>
        <w:szCs w:val="20"/>
      </w:rPr>
      <w:t xml:space="preserve"> • dump.tires •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DTGC V14 GOLD PAPER • DIAMOND+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D4AF37"/>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D4AF37"/>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2025-12-31T00:22:06.267Z</dcterms:created>
  <dcterms:modified xsi:type="dcterms:W3CDTF">2025-12-31T00:22:06.268Z</dcterms:modified>
</cp:coreProperties>
</file>

<file path=docProps/custom.xml><?xml version="1.0" encoding="utf-8"?>
<Properties xmlns="http://schemas.openxmlformats.org/officeDocument/2006/custom-properties" xmlns:vt="http://schemas.openxmlformats.org/officeDocument/2006/docPropsVTypes"/>
</file>