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pStyle w:val="Title"/>
      </w:pPr>
      <w:r>
        <w:t xml:space="preserve">DTGC GOLD PAPER</w:t>
      </w:r>
    </w:p>
    <w:p>
      <w:pPr>
        <w:spacing w:after="100"/>
        <w:jc w:val="center"/>
      </w:pPr>
      <w:r>
        <w:rPr>
          <w:b/>
          <w:bCs/>
          <w:color w:val="303F9F"/>
          <w:sz w:val="28"/>
          <w:szCs w:val="28"/>
        </w:rPr>
        <w:t xml:space="preserve">QUANTITATIVE ANALYSIS</w:t>
      </w:r>
    </w:p>
    <w:p>
      <w:pPr>
        <w:spacing w:after="400"/>
        <w:jc w:val="center"/>
      </w:pPr>
      <w:r>
        <w:rPr>
          <w:color w:val="1A237E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Risk Assessment • ROI Modeling • Break-Even Analysis</w:t>
      </w:r>
    </w:p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Prepared for: Risk Management Audit</w:t>
      </w:r>
    </w:p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V14 • December 2025 • dump.tires</w:t>
      </w:r>
    </w:p>
    <w:p>
      <w:r>
        <w:br w:type="page"/>
      </w:r>
    </w:p>
    <w:p>
      <w:pPr>
        <w:pStyle w:val="Heading1"/>
      </w:pPr>
      <w:r>
        <w:t xml:space="preserve">1. KEY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Supply: </w:t>
      </w:r>
      <w:r>
        <w:t xml:space="preserve">1,000,000,000 DTGC (fixed)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Float: </w:t>
      </w:r>
      <w:r>
        <w:t xml:space="preserve">9% (90M tokens)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DAO Pool: </w:t>
      </w:r>
      <w:r>
        <w:t xml:space="preserve">50% (500M tokens)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Fees: </w:t>
      </w:r>
      <w:r>
        <w:rPr>
          <w:color w:val="4CAF50"/>
        </w:rPr>
        <w:t xml:space="preserve">3% (1.5% entry + 1.5% exit)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EES Penalty: </w:t>
      </w:r>
      <w:r>
        <w:t xml:space="preserve">12%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Max APR: </w:t>
      </w:r>
      <w:r>
        <w:t xml:space="preserve">100% (Diamond+ tier)</w:t>
      </w:r>
    </w:p>
    <w:p>
      <w:pPr>
        <w:pStyle w:val="Heading1"/>
      </w:pPr>
      <w:r>
        <w:t xml:space="preserve">2. RISK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6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Category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r>
              <w:t xml:space="preserve">Smart Contract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pPr>
              <w:jc w:val="center"/>
            </w:pPr>
            <w:r>
              <w:t xml:space="preserve">2/5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pPr>
              <w:jc w:val="center"/>
            </w:pPr>
            <w:r>
              <w:t xml:space="preserve">5/5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pPr>
              <w:jc w:val="center"/>
            </w:pPr>
            <w:r>
              <w:t xml:space="preserve">10/25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color w:val="FF9800"/>
              </w:rPr>
              <w:t xml:space="preserve">MEDIUM-HIGH</w:t>
            </w:r>
          </w:p>
        </w:tc>
      </w:tr>
      <w:tr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r>
              <w:t xml:space="preserve">Market/Price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4/5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4/5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16/25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F44336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r>
              <w:t xml:space="preserve">Liquidity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pPr>
              <w:jc w:val="center"/>
            </w:pPr>
            <w:r>
              <w:t xml:space="preserve">3/5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pPr>
              <w:jc w:val="center"/>
            </w:pPr>
            <w:r>
              <w:t xml:space="preserve">3/5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pPr>
              <w:jc w:val="center"/>
            </w:pPr>
            <w:r>
              <w:t xml:space="preserve">9/25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color w:val="FF980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r>
              <w:t xml:space="preserve">DAO Sustainability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2/5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3/5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6/25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LOW-MEDIUM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Note: </w:t>
      </w:r>
      <w:r>
        <w:rPr>
          <w:color w:val="666666"/>
          <w:sz w:val="20"/>
          <w:szCs w:val="20"/>
        </w:rPr>
        <w:t xml:space="preserve">DAO sustainability improved with lower fees (less payout pressure).</w:t>
      </w:r>
    </w:p>
    <w:p>
      <w:pPr>
        <w:pStyle w:val="Heading1"/>
      </w:pPr>
      <w:r>
        <w:t xml:space="preserve">3. PROFITABILITY ANALYSIS</w:t>
      </w:r>
    </w:p>
    <w:p>
      <w:pPr>
        <w:spacing w:after="100"/>
      </w:pPr>
      <w:r>
        <w:rPr>
          <w:b/>
          <w:bCs/>
          <w:color w:val="4CAF50"/>
        </w:rPr>
        <w:t xml:space="preserve">✅ V14 IMPROVEMENT: </w:t>
      </w:r>
      <w:r>
        <w:t xml:space="preserve">All tiers now profitable (previously only LP tiers were profitable).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400"/>
        <w:gridCol w:w="1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Lock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Gross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Fees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ROI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Break-Even</w:t>
            </w:r>
          </w:p>
        </w:tc>
      </w:tr>
      <w:t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r>
              <w:t xml:space="preserve">🥈 Silver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60d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22%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+3.6%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-3%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+0.6%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color w:val="4CAF50"/>
              </w:rPr>
              <w:t xml:space="preserve">50d ✓</w:t>
            </w:r>
          </w:p>
        </w:tc>
      </w:tr>
      <w:t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r>
              <w:t xml:space="preserve">🥇 Gold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pPr>
              <w:jc w:val="center"/>
            </w:pPr>
            <w:r>
              <w:t xml:space="preserve">90d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pPr>
              <w:jc w:val="center"/>
            </w:pPr>
            <w:r>
              <w:t xml:space="preserve">24%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pPr>
              <w:jc w:val="center"/>
            </w:pPr>
            <w:r>
              <w:t xml:space="preserve">+5.9%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</w:tcPr>
          <w:p>
            <w:pPr>
              <w:jc w:val="center"/>
            </w:pPr>
            <w:r>
              <w:t xml:space="preserve">-3%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+2.9%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color w:val="4CAF50"/>
              </w:rPr>
              <w:t xml:space="preserve">46d ✓</w:t>
            </w:r>
          </w:p>
        </w:tc>
      </w:tr>
      <w:t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r>
              <w:t xml:space="preserve">🐋 Whale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180d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26%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+12.8%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</w:tcPr>
          <w:p>
            <w:pPr>
              <w:jc w:val="center"/>
            </w:pPr>
            <w:r>
              <w:t xml:space="preserve">-3%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+9.8%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color w:val="4CAF50"/>
              </w:rPr>
              <w:t xml:space="preserve">42d ✓</w:t>
            </w:r>
          </w:p>
        </w:tc>
      </w:tr>
      <w:t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0F7FA" w:val="clear"/>
          </w:tcPr>
          <w:p>
            <w:r>
              <w:rPr>
                <w:b/>
                <w:bCs/>
              </w:rPr>
              <w:t xml:space="preserve">💎 Diamond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0F7FA" w:val="clear"/>
          </w:tcPr>
          <w:p>
            <w:pPr>
              <w:jc w:val="center"/>
            </w:pPr>
            <w:r>
              <w:t xml:space="preserve">90d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0F7FA" w:val="clear"/>
          </w:tcPr>
          <w:p>
            <w:pPr>
              <w:jc w:val="center"/>
            </w:pPr>
            <w:r>
              <w:rPr>
                <w:color w:val="00BCD4"/>
              </w:rPr>
              <w:t xml:space="preserve">60%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0F7FA" w:val="clear"/>
          </w:tcPr>
          <w:p>
            <w:pPr>
              <w:jc w:val="center"/>
            </w:pPr>
            <w:r>
              <w:t xml:space="preserve">+14.8%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0F7FA" w:val="clear"/>
          </w:tcPr>
          <w:p>
            <w:pPr>
              <w:jc w:val="center"/>
            </w:pPr>
            <w:r>
              <w:t xml:space="preserve">-3%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+11.8%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color w:val="4CAF50"/>
              </w:rPr>
              <w:t xml:space="preserve">18d ✓✓</w:t>
            </w:r>
          </w:p>
        </w:tc>
      </w:tr>
      <w:t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3E5F5" w:val="clear"/>
          </w:tcPr>
          <w:p>
            <w:r>
              <w:rPr>
                <w:b/>
                <w:bCs/>
                <w:color w:val="9C27B0"/>
              </w:rPr>
              <w:t xml:space="preserve">💎✨ Diamond+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3E5F5" w:val="clear"/>
          </w:tcPr>
          <w:p>
            <w:pPr>
              <w:jc w:val="center"/>
            </w:pPr>
            <w:r>
              <w:t xml:space="preserve">90d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color w:val="9C27B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3E5F5" w:val="clear"/>
          </w:tcPr>
          <w:p>
            <w:pPr>
              <w:jc w:val="center"/>
            </w:pPr>
            <w:r>
              <w:t xml:space="preserve">+24.7%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3E5F5" w:val="clear"/>
          </w:tcPr>
          <w:p>
            <w:pPr>
              <w:jc w:val="center"/>
            </w:pPr>
            <w:r>
              <w:t xml:space="preserve">-3%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+21.7%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11d ✓✓✓</w:t>
            </w:r>
          </w:p>
        </w:tc>
      </w:tr>
    </w:tbl>
    <w:p>
      <w:pPr>
        <w:spacing w:before="100" w:after="300"/>
      </w:pPr>
      <w:r>
        <w:rPr>
          <w:i/>
          <w:iCs/>
        </w:rPr>
        <w:t xml:space="preserve">Break-Even Formula: </w:t>
      </w:r>
      <w:r>
        <w:t xml:space="preserve">(3% fees / APR) × 365 days</w:t>
      </w:r>
    </w:p>
    <w:p>
      <w:pPr>
        <w:pStyle w:val="Heading1"/>
      </w:pPr>
      <w:r>
        <w:t xml:space="preserve">4. AUDIT CONCLUSION</w:t>
      </w:r>
    </w:p>
    <w:p>
      <w:pPr>
        <w:spacing w:after="100"/>
      </w:pPr>
      <w:r>
        <w:rPr>
          <w:b/>
          <w:bCs/>
        </w:rPr>
        <w:t xml:space="preserve">V14 Improvements: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 tiers profitable </w:t>
      </w:r>
      <w:r>
        <w:t xml:space="preserve">(Silver +0.6% → Diamond+ +21.7%)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Reduced fees </w:t>
      </w:r>
      <w:r>
        <w:t xml:space="preserve">from 10% to 3% total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 break-evens within lock periods </w:t>
      </w:r>
      <w:r>
        <w:t xml:space="preserve">(previously only LP tiers achieved this)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Improved DAO sustainability </w:t>
      </w:r>
      <w:r>
        <w:t xml:space="preserve">(lower reward payouts with higher APR efficiency)</w:t>
      </w:r>
    </w:p>
    <w:p>
      <w:pPr>
        <w:spacing w:after="300"/>
      </w:pPr>
      <w:r>
        <w:rPr>
          <w:b/>
          <w:bCs/>
          <w:color w:val="4CAF50"/>
        </w:rPr>
        <w:t xml:space="preserve">✅ RECOMMENDATION: </w:t>
      </w:r>
      <w:r>
        <w:t xml:space="preserve">V14 tokenomics are significantly improved and all tiers are now viable for stakers.</w:t>
      </w:r>
    </w:p>
    <w:p>
      <w:pPr>
        <w:spacing w:before="200"/>
        <w:jc w:val="center"/>
      </w:pPr>
      <w:r>
        <w:rPr>
          <w:color w:val="1A237E"/>
        </w:rPr>
        <w:t xml:space="preserve">━━━━━━━━━━━━━━━━━━━━━━━━━━━━━━━━━━━━━━━━</w:t>
      </w:r>
    </w:p>
    <w:p>
      <w:pPr>
        <w:spacing w:before="100"/>
      </w:pPr>
      <w:r>
        <w:rPr>
          <w:b/>
          <w:bCs/>
          <w:color w:val="F44336"/>
        </w:rPr>
        <w:t xml:space="preserve">DISCLAIMER: </w:t>
      </w:r>
      <w:r>
        <w:rPr>
          <w:color w:val="666666"/>
          <w:sz w:val="20"/>
          <w:szCs w:val="20"/>
        </w:rPr>
        <w:t xml:space="preserve">For risk assessment purposes only. DYOR.</w:t>
      </w:r>
    </w:p>
    <w:p>
      <w:pPr>
        <w:jc w:val="center"/>
      </w:pPr>
      <w:r>
        <w:rPr>
          <w:color w:val="999999"/>
          <w:sz w:val="20"/>
          <w:szCs w:val="20"/>
        </w:rPr>
        <w:t xml:space="preserve">dump.tires • Gold Paper Quant V14 •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• Risk Management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DTGC GOLD PAPER QUANT •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1A237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03F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2025-12-31T00:46:03.267Z</dcterms:created>
  <dcterms:modified xsi:type="dcterms:W3CDTF">2025-12-31T00:46:03.267Z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