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1769" w14:textId="77777777" w:rsidR="00060863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CE9A871" wp14:editId="3AEFC341">
                <wp:simplePos x="0" y="0"/>
                <wp:positionH relativeFrom="column">
                  <wp:posOffset>-705801</wp:posOffset>
                </wp:positionH>
                <wp:positionV relativeFrom="paragraph">
                  <wp:posOffset>-1131251</wp:posOffset>
                </wp:positionV>
                <wp:extent cx="7991475" cy="10290175"/>
                <wp:effectExtent l="0" t="0" r="0" b="0"/>
                <wp:wrapNone/>
                <wp:docPr id="1997182761" name="Rectángulo 1997182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5025" y="0"/>
                          <a:ext cx="7981950" cy="7560000"/>
                        </a:xfrm>
                        <a:prstGeom prst="rect">
                          <a:avLst/>
                        </a:prstGeom>
                        <a:blipFill rotWithShape="1">
                          <a:blip r:embed="rId9">
                            <a:alphaModFix/>
                          </a:blip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3DF8A1" w14:textId="77777777" w:rsidR="00060863" w:rsidRDefault="00060863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-705801</wp:posOffset>
                </wp:positionH>
                <wp:positionV relativeFrom="paragraph">
                  <wp:posOffset>-1131251</wp:posOffset>
                </wp:positionV>
                <wp:extent cx="7991475" cy="10290175"/>
                <wp:effectExtent b="0" l="0" r="0" t="0"/>
                <wp:wrapNone/>
                <wp:docPr id="199718276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1475" cy="10290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F0CE4B" w14:textId="77777777" w:rsidR="00060863" w:rsidRDefault="00000000">
      <w:r>
        <w:br w:type="page"/>
      </w:r>
    </w:p>
    <w:p w14:paraId="1326E11A" w14:textId="77777777" w:rsidR="000608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70"/>
        </w:tabs>
        <w:spacing w:after="100"/>
        <w:rPr>
          <w:b/>
          <w:bCs/>
          <w:color w:val="14494B"/>
        </w:rPr>
      </w:pPr>
      <w:r>
        <w:rPr>
          <w:b/>
          <w:bCs/>
          <w:color w:val="14494B"/>
        </w:rPr>
        <w:lastRenderedPageBreak/>
        <w:t>TABLA DE CONTENIDO</w:t>
      </w:r>
    </w:p>
    <w:p w14:paraId="614CBD76" w14:textId="4FB60EE0" w:rsidR="004D632A" w:rsidRDefault="004D632A">
      <w:pPr>
        <w:pStyle w:val="TDC1"/>
        <w:tabs>
          <w:tab w:val="left" w:pos="48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42743248" w:history="1">
        <w:r w:rsidRPr="00A05DE9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Introducción y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0D3F31" w14:textId="4FA7C651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49" w:history="1">
        <w:r w:rsidRPr="00A05DE9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3E2727" w14:textId="490C139C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0" w:history="1">
        <w:r w:rsidRPr="00A05DE9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70A94E" w14:textId="4A30A735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1" w:history="1">
        <w:r w:rsidRPr="00A05DE9">
          <w:rPr>
            <w:rStyle w:val="Hipervnculo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1C00A3" w14:textId="4EF0295A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2" w:history="1">
        <w:r w:rsidRPr="00A05DE9">
          <w:rPr>
            <w:rStyle w:val="Hipervnculo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Marco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5124E4" w14:textId="3D7C7ABC" w:rsidR="004D632A" w:rsidRDefault="004D632A">
      <w:pPr>
        <w:pStyle w:val="TDC1"/>
        <w:tabs>
          <w:tab w:val="left" w:pos="48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3" w:history="1">
        <w:r w:rsidRPr="00A05DE9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Gestión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00F0BB" w14:textId="4060A2C5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4" w:history="1">
        <w:r w:rsidRPr="00A05DE9">
          <w:rPr>
            <w:rStyle w:val="Hipervnculo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Enfoque Metodológico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200EBA" w14:textId="048A22AA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5" w:history="1">
        <w:r w:rsidRPr="00A05DE9">
          <w:rPr>
            <w:rStyle w:val="Hipervnculo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Herramientas de Gestión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E1B26A" w14:textId="0D0590E7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6" w:history="1">
        <w:r w:rsidRPr="00A05DE9">
          <w:rPr>
            <w:rStyle w:val="Hipervnculo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Eventos y Ritmo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8652DE" w14:textId="4639EEC7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7" w:history="1">
        <w:r w:rsidRPr="00A05DE9">
          <w:rPr>
            <w:rStyle w:val="Hipervnculo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Tablero de 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25D7A0" w14:textId="48608EA1" w:rsidR="004D632A" w:rsidRDefault="004D632A">
      <w:pPr>
        <w:pStyle w:val="TDC1"/>
        <w:tabs>
          <w:tab w:val="left" w:pos="48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8" w:history="1">
        <w:r w:rsidRPr="00A05DE9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Ingeniería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CE122D" w14:textId="021EC5A4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59" w:history="1">
        <w:r w:rsidRPr="00A05DE9">
          <w:rPr>
            <w:rStyle w:val="Hipervnculo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9C4EB1" w14:textId="5DA91827" w:rsidR="004D632A" w:rsidRDefault="004D632A">
      <w:pPr>
        <w:pStyle w:val="TD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743260" w:history="1">
        <w:r w:rsidRPr="00A05DE9">
          <w:rPr>
            <w:rStyle w:val="Hipervnculo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05DE9">
          <w:rPr>
            <w:rStyle w:val="Hipervnculo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DBD9DB" w14:textId="3983D05E" w:rsidR="00060863" w:rsidRDefault="004D632A">
      <w:pPr>
        <w:widowControl w:val="0"/>
        <w:tabs>
          <w:tab w:val="right" w:pos="12000"/>
        </w:tabs>
        <w:spacing w:before="60" w:line="240" w:lineRule="auto"/>
        <w:ind w:left="360"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7C418796" w14:textId="77777777" w:rsidR="00060863" w:rsidRDefault="00000000">
      <w:pPr>
        <w:rPr>
          <w:b/>
          <w:bCs/>
          <w:sz w:val="24"/>
          <w:szCs w:val="24"/>
        </w:rPr>
      </w:pPr>
      <w:r>
        <w:br w:type="page"/>
      </w:r>
    </w:p>
    <w:p w14:paraId="78FB8E4F" w14:textId="77777777" w:rsidR="00060863" w:rsidRDefault="00000000">
      <w:pPr>
        <w:pStyle w:val="Ttulo1"/>
        <w:numPr>
          <w:ilvl w:val="0"/>
          <w:numId w:val="1"/>
        </w:numPr>
      </w:pPr>
      <w:bookmarkStart w:id="0" w:name="_Toc242743248"/>
      <w:r>
        <w:lastRenderedPageBreak/>
        <w:t>Introducción y Marco Teórico</w:t>
      </w:r>
      <w:bookmarkEnd w:id="0"/>
    </w:p>
    <w:p w14:paraId="658F609C" w14:textId="77777777" w:rsidR="00060863" w:rsidRDefault="00000000">
      <w:pPr>
        <w:pStyle w:val="Ttulo2"/>
        <w:numPr>
          <w:ilvl w:val="1"/>
          <w:numId w:val="1"/>
        </w:numPr>
      </w:pPr>
      <w:bookmarkStart w:id="1" w:name="_Toc242743249"/>
      <w:r>
        <w:t>Problemática</w:t>
      </w:r>
      <w:bookmarkEnd w:id="1"/>
    </w:p>
    <w:p w14:paraId="487A40E0" w14:textId="77777777" w:rsidR="00060863" w:rsidRDefault="00000000">
      <w:pPr>
        <w:ind w:left="360"/>
      </w:pPr>
      <w:r>
        <w:t>En Chile, gran parte de los profesionales de la nutrición continúan gestionando sus atenciones mediante registros manuales o planillas poco escalables. Esta falta de centralización dificulta el seguimiento continuo y reduce la adherencia de los pacientes al tratamiento.</w:t>
      </w:r>
    </w:p>
    <w:p w14:paraId="1517A30D" w14:textId="77777777" w:rsidR="00060863" w:rsidRDefault="00060863">
      <w:pPr>
        <w:ind w:left="360"/>
      </w:pPr>
    </w:p>
    <w:p w14:paraId="46D6DCC0" w14:textId="77777777" w:rsidR="00060863" w:rsidRDefault="00000000">
      <w:pPr>
        <w:ind w:left="360"/>
      </w:pPr>
      <w:proofErr w:type="spellStart"/>
      <w:r>
        <w:rPr>
          <w:i/>
          <w:iCs/>
        </w:rPr>
        <w:t>NutriLink</w:t>
      </w:r>
      <w:proofErr w:type="spellEnd"/>
      <w:r>
        <w:t xml:space="preserve"> nace como un ecosistema digital integral que evoluciona desde un proyecto previo hacia una plataforma de atención especializada. Esta nueva versión amplía su alcance a perfiles específicos (pediátrico, deportivo, diabetes y enfermedad renal), integra telemedicina (chat y videollamada), pasarela de pagos y herramientas de Inteligencia Artificial para el análisis de exámenes, evaluación de dieta y resumen del historial clínico.</w:t>
      </w:r>
    </w:p>
    <w:p w14:paraId="3BDF7FFA" w14:textId="77777777" w:rsidR="00060863" w:rsidRDefault="00000000">
      <w:pPr>
        <w:pStyle w:val="Ttulo2"/>
        <w:numPr>
          <w:ilvl w:val="1"/>
          <w:numId w:val="1"/>
        </w:numPr>
      </w:pPr>
      <w:bookmarkStart w:id="2" w:name="_Toc242743250"/>
      <w:r>
        <w:t>Objetivo General</w:t>
      </w:r>
      <w:bookmarkEnd w:id="2"/>
    </w:p>
    <w:p w14:paraId="083D6594" w14:textId="77777777" w:rsidR="00060863" w:rsidRDefault="00000000">
      <w:pPr>
        <w:ind w:left="360"/>
      </w:pPr>
      <w:r>
        <w:t>Desarrollar una plataforma integral de atención nutricional, incorporando atención especializada por perfil clínico, telemedicina, aplicación móvil y módulos de Inteligencia Artificial como apoyo al diagnóstico y seguimiento del paciente.</w:t>
      </w:r>
    </w:p>
    <w:p w14:paraId="366E8461" w14:textId="77777777" w:rsidR="00060863" w:rsidRDefault="00000000">
      <w:pPr>
        <w:pStyle w:val="Ttulo2"/>
        <w:numPr>
          <w:ilvl w:val="1"/>
          <w:numId w:val="1"/>
        </w:numPr>
      </w:pPr>
      <w:bookmarkStart w:id="3" w:name="_Toc242743251"/>
      <w:r>
        <w:t>Objetivos Específicos</w:t>
      </w:r>
      <w:bookmarkEnd w:id="3"/>
    </w:p>
    <w:p w14:paraId="48D95E1F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 xml:space="preserve">Gestión Ágil: Organizar la ejecución del proyecto en 12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 xml:space="preserve"> bajo metodología Scrum.</w:t>
      </w:r>
    </w:p>
    <w:p w14:paraId="55FC9FC8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 xml:space="preserve">Centralización Clínica: Diseñar un panel centralizado con la historia clínica, </w:t>
      </w:r>
      <w:r>
        <w:t>médica</w:t>
      </w:r>
      <w:r>
        <w:rPr>
          <w:color w:val="000000"/>
        </w:rPr>
        <w:t>, antecedentes de evolución antropométrica y patologías.</w:t>
      </w:r>
    </w:p>
    <w:p w14:paraId="578A914C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App Móvil para Pacientes: Entregar una aplicación para Android, donde el usuario consulte minutas, metas, gráficos de adherencia, agendamiento de citas y comunicación con el nutricionista.</w:t>
      </w:r>
    </w:p>
    <w:p w14:paraId="79F5020C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Lógica Central en BBDD: Implementar cálculos de requerimientos, patologías y fórmulas antropométricas en PL/</w:t>
      </w:r>
      <w:proofErr w:type="spellStart"/>
      <w:r>
        <w:rPr>
          <w:color w:val="000000"/>
        </w:rPr>
        <w:t>pgSQL</w:t>
      </w:r>
      <w:proofErr w:type="spellEnd"/>
      <w:r>
        <w:rPr>
          <w:color w:val="000000"/>
        </w:rPr>
        <w:t xml:space="preserve"> expuestos vía API REST.</w:t>
      </w:r>
    </w:p>
    <w:p w14:paraId="475C86B6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Base Técnica y Seguridad: Refactorizar el código base actual, ampliar el modelo de datos e implementar autenticación por tokens y cifrado.</w:t>
      </w:r>
    </w:p>
    <w:p w14:paraId="43A8D3CD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Atención Especializada: Incorporar parámetros diferenciados para pediatría, deportistas, personas con diabetes y pacientes renales.</w:t>
      </w:r>
    </w:p>
    <w:p w14:paraId="3ED23797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Telemedicina y Pagos: Integrar chat en tiempo real, videollamadas y pasarela de pago para cobros en línea en planes de subscripción para el nutricionista.</w:t>
      </w:r>
    </w:p>
    <w:p w14:paraId="21AB66B6" w14:textId="77777777" w:rsidR="000608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lastRenderedPageBreak/>
        <w:t>Inteligencia Artificial Asistida: Implementar OCR y modelos LLM para lectura de exámenes médicos, análisis de dietas y resumen clínico.</w:t>
      </w:r>
    </w:p>
    <w:p w14:paraId="47901933" w14:textId="77777777" w:rsidR="00060863" w:rsidRDefault="00000000">
      <w:pPr>
        <w:pStyle w:val="Ttulo2"/>
        <w:numPr>
          <w:ilvl w:val="1"/>
          <w:numId w:val="1"/>
        </w:numPr>
      </w:pPr>
      <w:bookmarkStart w:id="4" w:name="_Toc242743252"/>
      <w:r>
        <w:t>Marco Tecnológico</w:t>
      </w:r>
      <w:bookmarkEnd w:id="4"/>
    </w:p>
    <w:p w14:paraId="7E23A57F" w14:textId="77777777" w:rsidR="00060863" w:rsidRDefault="00000000">
      <w:pPr>
        <w:ind w:left="1080"/>
      </w:pPr>
      <w:r>
        <w:t>Para dar soporte a los requerimientos de la plataforma, se ha seleccionado un conjunto de tecnologías heterogéneas pero complementarias, abarcando desarrollo web, aplicaciones móviles, servicios de API, procesamiento de datos y modelos de inteligencia artificial:</w:t>
      </w:r>
    </w:p>
    <w:p w14:paraId="3890EF86" w14:textId="77777777" w:rsidR="00060863" w:rsidRDefault="00000000">
      <w:pPr>
        <w:jc w:val="center"/>
        <w:rPr>
          <w:color w:val="EE0000"/>
        </w:rPr>
      </w:pPr>
      <w:r>
        <w:rPr>
          <w:noProof/>
          <w:color w:val="EE0000"/>
        </w:rPr>
        <w:drawing>
          <wp:inline distT="114300" distB="114300" distL="114300" distR="114300" wp14:anchorId="1B22640A" wp14:editId="11649BCB">
            <wp:extent cx="5395913" cy="3436682"/>
            <wp:effectExtent l="0" t="0" r="0" b="0"/>
            <wp:docPr id="19971827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436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1C138" w14:textId="77777777" w:rsidR="00060863" w:rsidRDefault="00060863">
      <w:pPr>
        <w:ind w:left="720"/>
      </w:pPr>
    </w:p>
    <w:p w14:paraId="149E5D82" w14:textId="77777777" w:rsidR="00060863" w:rsidRDefault="00000000">
      <w:pPr>
        <w:ind w:left="720"/>
        <w:rPr>
          <w:b/>
          <w:bCs/>
          <w:color w:val="14494B"/>
        </w:rPr>
      </w:pPr>
      <w:r>
        <w:rPr>
          <w:b/>
          <w:bCs/>
          <w:color w:val="14494B"/>
        </w:rPr>
        <w:t>Componentes del Stack</w:t>
      </w:r>
    </w:p>
    <w:p w14:paraId="1A7607BD" w14:textId="77777777" w:rsidR="00060863" w:rsidRDefault="00060863">
      <w:pPr>
        <w:ind w:left="720"/>
      </w:pPr>
    </w:p>
    <w:p w14:paraId="3D13AA63" w14:textId="77777777" w:rsidR="00060863" w:rsidRDefault="00000000">
      <w:pPr>
        <w:ind w:left="720"/>
      </w:pPr>
      <w:r>
        <w:rPr>
          <w:b/>
          <w:bCs/>
        </w:rPr>
        <w:t>Django</w:t>
      </w:r>
      <w:r>
        <w:t>: Seleccionado para la interfaz de escritorio del nutricionista debido a su robustez, actúa exclusivamente como la capa de presentación (</w:t>
      </w:r>
      <w:r>
        <w:rPr>
          <w:i/>
          <w:iCs/>
        </w:rPr>
        <w:t>Frontend</w:t>
      </w:r>
      <w:r>
        <w:t>) y enrutamiento para la plataforma web del nutricionista. Se utiliza su arquitectura modular basada en vistas (</w:t>
      </w:r>
      <w:proofErr w:type="spellStart"/>
      <w:r>
        <w:rPr>
          <w:i/>
          <w:iCs/>
        </w:rPr>
        <w:t>views</w:t>
      </w:r>
      <w:proofErr w:type="spellEnd"/>
      <w:r>
        <w:t>), plantillas HTML (</w:t>
      </w:r>
      <w:proofErr w:type="spellStart"/>
      <w:r>
        <w:rPr>
          <w:i/>
          <w:iCs/>
        </w:rPr>
        <w:t>templates</w:t>
      </w:r>
      <w:proofErr w:type="spellEnd"/>
      <w:r>
        <w:t xml:space="preserve">), archivos estáticos (CSS/JS) y su sistema de rutas. </w:t>
      </w:r>
    </w:p>
    <w:p w14:paraId="367C71CE" w14:textId="77777777" w:rsidR="00060863" w:rsidRDefault="00060863">
      <w:pPr>
        <w:ind w:left="720"/>
      </w:pPr>
    </w:p>
    <w:p w14:paraId="5F26BD82" w14:textId="77777777" w:rsidR="00060863" w:rsidRDefault="00000000">
      <w:pPr>
        <w:ind w:left="720"/>
      </w:pPr>
      <w:proofErr w:type="spellStart"/>
      <w:r>
        <w:rPr>
          <w:b/>
          <w:bCs/>
        </w:rPr>
        <w:t>Ionic</w:t>
      </w:r>
      <w:proofErr w:type="spellEnd"/>
      <w:r>
        <w:t>: Actúa como el cliente móvil (Android) exclusivo para los pacientes, se selecciona por su capacidad de ofrecer un desarrollo multiplataforma ágil basado en tecnologías web estándar.</w:t>
      </w:r>
    </w:p>
    <w:p w14:paraId="6C40FD9D" w14:textId="77777777" w:rsidR="00060863" w:rsidRDefault="00000000">
      <w:pPr>
        <w:ind w:left="720"/>
      </w:pPr>
      <w:r>
        <w:t xml:space="preserve"> </w:t>
      </w:r>
    </w:p>
    <w:p w14:paraId="144E64A0" w14:textId="77777777" w:rsidR="00060863" w:rsidRDefault="00000000">
      <w:pPr>
        <w:ind w:left="720"/>
      </w:pPr>
      <w:proofErr w:type="spellStart"/>
      <w:r>
        <w:rPr>
          <w:b/>
          <w:bCs/>
        </w:rPr>
        <w:lastRenderedPageBreak/>
        <w:t>Node</w:t>
      </w:r>
      <w:proofErr w:type="spellEnd"/>
      <w:r>
        <w:rPr>
          <w:b/>
          <w:bCs/>
        </w:rPr>
        <w:t xml:space="preserve"> JS</w:t>
      </w:r>
      <w:r>
        <w:t xml:space="preserve">: Actúa como el servidor </w:t>
      </w:r>
      <w:proofErr w:type="spellStart"/>
      <w:r>
        <w:t>backend</w:t>
      </w:r>
      <w:proofErr w:type="spellEnd"/>
      <w:r>
        <w:t xml:space="preserve"> encargado de centralizar la lógica de negocio, procesar las solicitudes HTTP y conectar las aplicaciones cliente (Django e </w:t>
      </w:r>
      <w:proofErr w:type="spellStart"/>
      <w:r>
        <w:t>Ionic</w:t>
      </w:r>
      <w:proofErr w:type="spellEnd"/>
      <w:r>
        <w:t>) con la base de datos central. Se selecciona debido a su naturaleza asíncrona y su óptima curva de aprendizaje ágil, lo que facilita el desarrollo rápido y estructurado de servicios web basados en arquitectura REST.</w:t>
      </w:r>
    </w:p>
    <w:p w14:paraId="1E7719E1" w14:textId="77777777" w:rsidR="00060863" w:rsidRDefault="00060863">
      <w:pPr>
        <w:ind w:left="720"/>
      </w:pPr>
    </w:p>
    <w:p w14:paraId="5A2898B7" w14:textId="77777777" w:rsidR="00060863" w:rsidRDefault="00000000">
      <w:pPr>
        <w:ind w:left="720"/>
      </w:pPr>
      <w:proofErr w:type="spellStart"/>
      <w:r>
        <w:rPr>
          <w:b/>
          <w:bCs/>
        </w:rPr>
        <w:t>Postgress</w:t>
      </w:r>
      <w:proofErr w:type="spellEnd"/>
      <w:r>
        <w:rPr>
          <w:b/>
          <w:bCs/>
        </w:rPr>
        <w:t>:</w:t>
      </w:r>
      <w:r>
        <w:t xml:space="preserve"> Es la base de datos relacional, elegida por su alta integridad transaccional, soporte avanzado de tipos de datos y la capacidad de ejecutar lógica de negocio compleja directamente en el motor mediante funciones y procedimientos en PL/</w:t>
      </w:r>
      <w:proofErr w:type="spellStart"/>
      <w:r>
        <w:t>pgSQL</w:t>
      </w:r>
      <w:proofErr w:type="spellEnd"/>
      <w:r>
        <w:t xml:space="preserve">. </w:t>
      </w:r>
      <w:r>
        <w:rPr>
          <w:b/>
          <w:bCs/>
        </w:rPr>
        <w:t>IDE</w:t>
      </w:r>
      <w:r>
        <w:t xml:space="preserve">: </w:t>
      </w:r>
      <w:proofErr w:type="spellStart"/>
      <w:r>
        <w:t>PgAdmin</w:t>
      </w:r>
      <w:proofErr w:type="spellEnd"/>
    </w:p>
    <w:p w14:paraId="6277855C" w14:textId="77777777" w:rsidR="00060863" w:rsidRDefault="00060863">
      <w:pPr>
        <w:ind w:left="720"/>
      </w:pPr>
    </w:p>
    <w:p w14:paraId="1E44154F" w14:textId="77777777" w:rsidR="00060863" w:rsidRDefault="00000000">
      <w:pPr>
        <w:ind w:left="720"/>
      </w:pPr>
      <w:proofErr w:type="spellStart"/>
      <w:r>
        <w:rPr>
          <w:b/>
          <w:bCs/>
        </w:rPr>
        <w:t>VSCode</w:t>
      </w:r>
      <w:proofErr w:type="spellEnd"/>
      <w:r>
        <w:t>: Entorno de desarrollo unificado que soporta el ecosistema completo del proyecto mediante extensiones y librerías necesarias.</w:t>
      </w:r>
    </w:p>
    <w:p w14:paraId="34F226FB" w14:textId="77777777" w:rsidR="00060863" w:rsidRDefault="00060863">
      <w:pPr>
        <w:ind w:left="720"/>
      </w:pPr>
    </w:p>
    <w:p w14:paraId="48CE3643" w14:textId="77777777" w:rsidR="00060863" w:rsidRDefault="00000000">
      <w:pPr>
        <w:ind w:left="720"/>
      </w:pPr>
      <w:proofErr w:type="spellStart"/>
      <w:r>
        <w:rPr>
          <w:b/>
          <w:bCs/>
        </w:rPr>
        <w:t>Railway</w:t>
      </w:r>
      <w:proofErr w:type="spellEnd"/>
      <w:r>
        <w:t xml:space="preserve">: Es la plataforma de despliegue en la nube para alojar y mantener accesibles tanto el servidor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JS), la base de datos (PostgreSQL) y el procesador de exámenes (X). Se selecciona por su facilidad de integración continua, despliegue automatizado desde repositorios y su enfoque orientado a desarrolladores que simplifica la gestión de servicios en la nube sin la alta complejidad de configuración de proveedores tradicionales.</w:t>
      </w:r>
    </w:p>
    <w:p w14:paraId="2A048255" w14:textId="77777777" w:rsidR="00060863" w:rsidRDefault="00060863">
      <w:pPr>
        <w:ind w:left="720"/>
      </w:pPr>
    </w:p>
    <w:p w14:paraId="0A08B021" w14:textId="77777777" w:rsidR="00060863" w:rsidRDefault="00000000">
      <w:pPr>
        <w:ind w:left="720"/>
      </w:pPr>
      <w:proofErr w:type="spellStart"/>
      <w:r>
        <w:rPr>
          <w:b/>
          <w:bCs/>
        </w:rPr>
        <w:t>Docling</w:t>
      </w:r>
      <w:proofErr w:type="spellEnd"/>
      <w:r>
        <w:rPr>
          <w:b/>
          <w:bCs/>
        </w:rPr>
        <w:t xml:space="preserve">: </w:t>
      </w:r>
      <w:r>
        <w:t>Herramienta de código abierto diseñada para convertir documentos complejos en datos estructurados y legibles para facilitar legibilidad para análisis de la inteligencia artificial.</w:t>
      </w:r>
    </w:p>
    <w:p w14:paraId="0A598CC7" w14:textId="77777777" w:rsidR="00060863" w:rsidRDefault="00060863">
      <w:pPr>
        <w:ind w:left="720"/>
      </w:pPr>
    </w:p>
    <w:p w14:paraId="287A56E8" w14:textId="77777777" w:rsidR="00060863" w:rsidRDefault="00000000">
      <w:pPr>
        <w:ind w:left="720"/>
      </w:pPr>
      <w:proofErr w:type="spellStart"/>
      <w:r>
        <w:rPr>
          <w:b/>
          <w:bCs/>
        </w:rPr>
        <w:t>Ollama</w:t>
      </w:r>
      <w:proofErr w:type="spellEnd"/>
      <w:r>
        <w:t xml:space="preserve">: Modelo de lenguaje (LLM) Open </w:t>
      </w:r>
      <w:proofErr w:type="spellStart"/>
      <w:r>
        <w:t>source</w:t>
      </w:r>
      <w:proofErr w:type="spellEnd"/>
      <w:r>
        <w:t xml:space="preserve">, instalado de forma local en host para recibir solicitudes bajo un esquema de </w:t>
      </w:r>
      <w:proofErr w:type="spellStart"/>
      <w:r>
        <w:t>worker</w:t>
      </w:r>
      <w:proofErr w:type="spellEnd"/>
      <w:r>
        <w:t>. El equipo recibe solicitudes desde la API, provenientes desde el módulo de exámenes de la web, donde se generará como resultado un resumen de cada examen según sea solicitado.</w:t>
      </w:r>
    </w:p>
    <w:p w14:paraId="7864C6FD" w14:textId="77777777" w:rsidR="00060863" w:rsidRDefault="00000000">
      <w:pPr>
        <w:pStyle w:val="Ttulo1"/>
        <w:numPr>
          <w:ilvl w:val="0"/>
          <w:numId w:val="1"/>
        </w:numPr>
      </w:pPr>
      <w:bookmarkStart w:id="5" w:name="_Toc242743253"/>
      <w:r>
        <w:t>Gestión del Proyecto</w:t>
      </w:r>
      <w:bookmarkEnd w:id="5"/>
    </w:p>
    <w:p w14:paraId="4D32C767" w14:textId="77777777" w:rsidR="00060863" w:rsidRDefault="00000000">
      <w:pPr>
        <w:pStyle w:val="Ttulo2"/>
        <w:numPr>
          <w:ilvl w:val="1"/>
          <w:numId w:val="1"/>
        </w:numPr>
      </w:pPr>
      <w:bookmarkStart w:id="6" w:name="_Toc242743254"/>
      <w:r>
        <w:t>Enfoque Metodológico</w:t>
      </w:r>
      <w:bookmarkEnd w:id="6"/>
    </w:p>
    <w:p w14:paraId="30189F0C" w14:textId="77777777" w:rsidR="00060863" w:rsidRDefault="00000000">
      <w:pPr>
        <w:ind w:left="360"/>
      </w:pPr>
      <w:r>
        <w:t xml:space="preserve">El desarrollo de la plataforma se organiza bajo el marco de trabajo ágil </w:t>
      </w:r>
      <w:r>
        <w:rPr>
          <w:i/>
          <w:iCs/>
        </w:rPr>
        <w:t>Scrum</w:t>
      </w:r>
      <w:r>
        <w:t>, adaptado a un ciclo de desarrollo semestral con fecha de término a mediados de diciembre. Este enfoque iterativo e incremental permite validar de forma continua cada módulo funcional y ajustar prioridades según el avance real del proyecto.</w:t>
      </w:r>
    </w:p>
    <w:p w14:paraId="3B9A6707" w14:textId="77777777" w:rsidR="00060863" w:rsidRDefault="00000000">
      <w:pPr>
        <w:pStyle w:val="Ttulo2"/>
        <w:numPr>
          <w:ilvl w:val="1"/>
          <w:numId w:val="1"/>
        </w:numPr>
      </w:pPr>
      <w:bookmarkStart w:id="7" w:name="_Toc242743255"/>
      <w:r>
        <w:lastRenderedPageBreak/>
        <w:t>Herramientas de Gestión</w:t>
      </w:r>
      <w:bookmarkEnd w:id="7"/>
    </w:p>
    <w:p w14:paraId="2D6F3EF3" w14:textId="77777777" w:rsidR="00060863" w:rsidRDefault="00000000">
      <w:pPr>
        <w:ind w:left="360"/>
      </w:pPr>
      <w:r>
        <w:t xml:space="preserve">Para la gestión de tareas se utiliza </w:t>
      </w:r>
      <w:proofErr w:type="spellStart"/>
      <w:r>
        <w:rPr>
          <w:i/>
          <w:iCs/>
        </w:rPr>
        <w:t>ClickUp</w:t>
      </w:r>
      <w:proofErr w:type="spellEnd"/>
      <w:r>
        <w:t xml:space="preserve"> mediante un tablero Scrum para el seguimiento visual del </w:t>
      </w:r>
      <w:proofErr w:type="spellStart"/>
      <w:r>
        <w:rPr>
          <w:i/>
          <w:iCs/>
        </w:rPr>
        <w:t>Product</w:t>
      </w:r>
      <w:proofErr w:type="spellEnd"/>
      <w:r>
        <w:rPr>
          <w:i/>
          <w:iCs/>
        </w:rPr>
        <w:t xml:space="preserve"> Backlog,</w:t>
      </w:r>
      <w:r>
        <w:t xml:space="preserve"> asignación de estimaciones de esfuerzo, priorización de requerimientos y control de estados de desarrollo.</w:t>
      </w:r>
    </w:p>
    <w:p w14:paraId="1FCECE17" w14:textId="77777777" w:rsidR="00060863" w:rsidRDefault="00060863">
      <w:pPr>
        <w:ind w:left="360"/>
      </w:pPr>
    </w:p>
    <w:p w14:paraId="6D5B38D9" w14:textId="5FA0C5CE" w:rsidR="006C3C28" w:rsidRDefault="00000000" w:rsidP="006C3C28">
      <w:pPr>
        <w:ind w:left="360"/>
      </w:pPr>
      <w:r>
        <w:t xml:space="preserve">Como controlador de versiones se ocupa </w:t>
      </w:r>
      <w:r>
        <w:rPr>
          <w:i/>
          <w:iCs/>
        </w:rPr>
        <w:t>Git</w:t>
      </w:r>
      <w:r>
        <w:t xml:space="preserve"> y el repositorio se aloja en </w:t>
      </w:r>
      <w:r>
        <w:rPr>
          <w:i/>
          <w:iCs/>
        </w:rPr>
        <w:t>GitHub</w:t>
      </w:r>
      <w:r>
        <w:t xml:space="preserve"> para la integración continua de código.</w:t>
      </w:r>
    </w:p>
    <w:p w14:paraId="315F50A3" w14:textId="77777777" w:rsidR="00060863" w:rsidRDefault="00000000">
      <w:pPr>
        <w:pStyle w:val="Ttulo2"/>
        <w:numPr>
          <w:ilvl w:val="1"/>
          <w:numId w:val="1"/>
        </w:numPr>
      </w:pPr>
      <w:bookmarkStart w:id="8" w:name="_Toc242743256"/>
      <w:r>
        <w:t>Eventos y Ritmo de Trabajo</w:t>
      </w:r>
      <w:bookmarkEnd w:id="8"/>
    </w:p>
    <w:p w14:paraId="30A538EF" w14:textId="77777777" w:rsidR="0006086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Duración de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 xml:space="preserve">: Iteraciones semanales (total de 12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>).</w:t>
      </w:r>
    </w:p>
    <w:p w14:paraId="4D85F9BF" w14:textId="77777777" w:rsidR="0006086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Sprint </w:t>
      </w:r>
      <w:proofErr w:type="spellStart"/>
      <w:r>
        <w:rPr>
          <w:color w:val="000000"/>
        </w:rPr>
        <w:t>Planning</w:t>
      </w:r>
      <w:proofErr w:type="spellEnd"/>
      <w:r>
        <w:rPr>
          <w:color w:val="000000"/>
        </w:rPr>
        <w:t xml:space="preserve">: Realizado los martes, donde se seleccionan y estiman las tareas del </w:t>
      </w:r>
      <w:r>
        <w:rPr>
          <w:i/>
          <w:iCs/>
          <w:color w:val="000000"/>
        </w:rPr>
        <w:t>Sprint Backlog</w:t>
      </w:r>
      <w:r>
        <w:rPr>
          <w:color w:val="000000"/>
        </w:rPr>
        <w:t xml:space="preserve"> para la semana.</w:t>
      </w:r>
    </w:p>
    <w:p w14:paraId="27CAF4D2" w14:textId="77777777" w:rsidR="0006086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Sprint Retrospective: Ceremonia de cierre por sprint (o según hito alcanzado) para analizar la dinámica interna de trabajo, nivelar conocimientos técnicos y resolver bloqueos.</w:t>
      </w:r>
    </w:p>
    <w:p w14:paraId="3BC763B5" w14:textId="5C7F8406" w:rsidR="006C3C28" w:rsidRDefault="006C3C28" w:rsidP="006C3C28">
      <w:pPr>
        <w:pStyle w:val="Ttulo2"/>
        <w:numPr>
          <w:ilvl w:val="1"/>
          <w:numId w:val="1"/>
        </w:numPr>
      </w:pPr>
      <w:bookmarkStart w:id="9" w:name="_Toc242743257"/>
      <w:r>
        <w:t>Tablero de Seguimiento</w:t>
      </w:r>
      <w:bookmarkEnd w:id="9"/>
    </w:p>
    <w:p w14:paraId="706D4ADD" w14:textId="77777777" w:rsidR="007F2552" w:rsidRDefault="007F2552" w:rsidP="007F255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7F2552">
        <w:rPr>
          <w:color w:val="000000"/>
        </w:rPr>
        <w:t>A continuación, se presenta la evidencia gráfica de la gestión ágil articulada en tres vistas principales: el listado general de tareas en el Backlog, el estado operativo de un Sprint de ejemplo en el tablero (</w:t>
      </w:r>
      <w:proofErr w:type="spellStart"/>
      <w:r w:rsidRPr="007F2552">
        <w:rPr>
          <w:i/>
          <w:iCs/>
          <w:color w:val="000000"/>
        </w:rPr>
        <w:t>Scrumboard</w:t>
      </w:r>
      <w:proofErr w:type="spellEnd"/>
      <w:r w:rsidRPr="007F2552">
        <w:rPr>
          <w:color w:val="000000"/>
        </w:rPr>
        <w:t>) y el Panel de Métricas/</w:t>
      </w:r>
      <w:proofErr w:type="spellStart"/>
      <w:r w:rsidRPr="007F2552">
        <w:rPr>
          <w:color w:val="000000"/>
        </w:rPr>
        <w:t>Dashboard</w:t>
      </w:r>
      <w:proofErr w:type="spellEnd"/>
      <w:r w:rsidRPr="007F2552">
        <w:rPr>
          <w:color w:val="000000"/>
        </w:rPr>
        <w:t xml:space="preserve"> de </w:t>
      </w:r>
      <w:proofErr w:type="spellStart"/>
      <w:r w:rsidRPr="007F2552">
        <w:rPr>
          <w:color w:val="000000"/>
        </w:rPr>
        <w:t>ClickUp</w:t>
      </w:r>
      <w:proofErr w:type="spellEnd"/>
      <w:r w:rsidRPr="007F2552">
        <w:rPr>
          <w:color w:val="000000"/>
        </w:rPr>
        <w:t xml:space="preserve">, el cual actúa de forma equivalente a un </w:t>
      </w:r>
      <w:proofErr w:type="spellStart"/>
      <w:r w:rsidRPr="007F2552">
        <w:rPr>
          <w:i/>
          <w:iCs/>
          <w:color w:val="000000"/>
        </w:rPr>
        <w:t>Burndown</w:t>
      </w:r>
      <w:proofErr w:type="spellEnd"/>
      <w:r w:rsidRPr="007F2552">
        <w:rPr>
          <w:i/>
          <w:iCs/>
          <w:color w:val="000000"/>
        </w:rPr>
        <w:t xml:space="preserve"> Chart</w:t>
      </w:r>
      <w:r w:rsidRPr="007F2552">
        <w:rPr>
          <w:color w:val="000000"/>
        </w:rPr>
        <w:t xml:space="preserve"> para medir la velocidad de entrega y el progreso acumulado del proyecto</w:t>
      </w:r>
      <w:r>
        <w:rPr>
          <w:color w:val="000000"/>
        </w:rPr>
        <w:t>:</w:t>
      </w:r>
    </w:p>
    <w:p w14:paraId="1D915C70" w14:textId="029F8820" w:rsidR="007207AB" w:rsidRDefault="007F2552" w:rsidP="007F2552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</w:rPr>
      </w:pPr>
      <w:r w:rsidRPr="006C3C28">
        <w:rPr>
          <w:color w:val="000000"/>
        </w:rPr>
        <w:drawing>
          <wp:inline distT="0" distB="0" distL="0" distR="0" wp14:anchorId="3D35E215" wp14:editId="4B301770">
            <wp:extent cx="4556132" cy="3177540"/>
            <wp:effectExtent l="0" t="0" r="0" b="3810"/>
            <wp:docPr id="116215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59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095" cy="3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13A6" w14:textId="0F000193" w:rsidR="006C3C28" w:rsidRDefault="007F2552" w:rsidP="006C3C28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</w:rPr>
      </w:pPr>
      <w:r w:rsidRPr="007207AB">
        <w:rPr>
          <w:color w:val="000000"/>
        </w:rPr>
        <w:lastRenderedPageBreak/>
        <w:drawing>
          <wp:inline distT="0" distB="0" distL="0" distR="0" wp14:anchorId="0E492EBC" wp14:editId="29C41D97">
            <wp:extent cx="5729586" cy="3293375"/>
            <wp:effectExtent l="0" t="0" r="5080" b="2540"/>
            <wp:docPr id="1983254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4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303" cy="32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DF23" w14:textId="77777777" w:rsidR="007F2552" w:rsidRDefault="007F2552" w:rsidP="006C3C28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</w:rPr>
      </w:pPr>
    </w:p>
    <w:p w14:paraId="614EA7FF" w14:textId="58D4B1F6" w:rsidR="007F2552" w:rsidRPr="006C3C28" w:rsidRDefault="007F2552" w:rsidP="006C3C28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</w:rPr>
      </w:pPr>
      <w:r w:rsidRPr="007F2552">
        <w:rPr>
          <w:color w:val="000000"/>
        </w:rPr>
        <w:drawing>
          <wp:inline distT="0" distB="0" distL="0" distR="0" wp14:anchorId="72BC1417" wp14:editId="2FA37C23">
            <wp:extent cx="5752502" cy="3270023"/>
            <wp:effectExtent l="0" t="0" r="635" b="6985"/>
            <wp:docPr id="121653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3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64" cy="32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D5D" w14:textId="77777777" w:rsidR="00060863" w:rsidRDefault="00000000">
      <w:pPr>
        <w:pStyle w:val="Ttulo1"/>
        <w:numPr>
          <w:ilvl w:val="0"/>
          <w:numId w:val="1"/>
        </w:numPr>
      </w:pPr>
      <w:bookmarkStart w:id="10" w:name="_Toc242743258"/>
      <w:r>
        <w:lastRenderedPageBreak/>
        <w:t>Ingeniería de Requisitos</w:t>
      </w:r>
      <w:bookmarkEnd w:id="10"/>
    </w:p>
    <w:p w14:paraId="2D84D0CB" w14:textId="77777777" w:rsidR="00060863" w:rsidRDefault="00000000">
      <w:pPr>
        <w:pStyle w:val="Ttulo2"/>
        <w:numPr>
          <w:ilvl w:val="1"/>
          <w:numId w:val="1"/>
        </w:numPr>
      </w:pPr>
      <w:bookmarkStart w:id="11" w:name="_Toc242743259"/>
      <w:r>
        <w:t>Requisitos Funcionales</w:t>
      </w:r>
      <w:bookmarkEnd w:id="11"/>
    </w:p>
    <w:p w14:paraId="5B4AC493" w14:textId="77777777" w:rsidR="00060863" w:rsidRDefault="00000000">
      <w:pPr>
        <w:ind w:left="360"/>
      </w:pPr>
      <w:r>
        <w:t xml:space="preserve">A partir del </w:t>
      </w:r>
      <w:proofErr w:type="spellStart"/>
      <w:r>
        <w:rPr>
          <w:i/>
          <w:iCs/>
        </w:rPr>
        <w:t>Product</w:t>
      </w:r>
      <w:proofErr w:type="spellEnd"/>
      <w:r>
        <w:rPr>
          <w:i/>
          <w:iCs/>
        </w:rPr>
        <w:t xml:space="preserve"> Backlog</w:t>
      </w:r>
      <w:r>
        <w:t xml:space="preserve"> definido en </w:t>
      </w:r>
      <w:proofErr w:type="spellStart"/>
      <w:r>
        <w:t>ClickUp</w:t>
      </w:r>
      <w:proofErr w:type="spellEnd"/>
      <w:r>
        <w:t xml:space="preserve">, los requisitos funcionales del sistema se agrupan en los siguientes bloques de entregables según sus </w:t>
      </w:r>
      <w:proofErr w:type="spellStart"/>
      <w:r>
        <w:t>sprints</w:t>
      </w:r>
      <w:proofErr w:type="spellEnd"/>
      <w:r>
        <w:t xml:space="preserve"> correspondientes:</w:t>
      </w:r>
    </w:p>
    <w:p w14:paraId="5E642A85" w14:textId="77777777" w:rsidR="00060863" w:rsidRDefault="00060863">
      <w:pPr>
        <w:ind w:left="360"/>
      </w:pPr>
    </w:p>
    <w:p w14:paraId="43C01878" w14:textId="77777777" w:rsidR="00060863" w:rsidRDefault="00000000">
      <w:pPr>
        <w:ind w:left="360"/>
        <w:rPr>
          <w:b/>
          <w:bCs/>
          <w:color w:val="14494B"/>
        </w:rPr>
      </w:pPr>
      <w:r>
        <w:rPr>
          <w:b/>
          <w:bCs/>
          <w:color w:val="14494B"/>
        </w:rPr>
        <w:t>Sprint 1: Seguridad, almacenamiento de exámenes y base técnica</w:t>
      </w:r>
    </w:p>
    <w:p w14:paraId="3B777981" w14:textId="7270FF34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RF01:</w:t>
      </w:r>
      <w:r>
        <w:rPr>
          <w:color w:val="000000"/>
        </w:rPr>
        <w:t xml:space="preserve"> </w:t>
      </w:r>
      <w:r>
        <w:t xml:space="preserve">El sistema guarda las contraseñas de </w:t>
      </w:r>
      <w:proofErr w:type="gramStart"/>
      <w:r w:rsidR="00B40382">
        <w:t>los nutricionistas cifradas</w:t>
      </w:r>
      <w:proofErr w:type="gramEnd"/>
      <w:r>
        <w:t xml:space="preserve"> con </w:t>
      </w:r>
      <w:proofErr w:type="spellStart"/>
      <w:r>
        <w:t>bcrypt</w:t>
      </w:r>
      <w:proofErr w:type="spellEnd"/>
      <w:r>
        <w:t xml:space="preserve"> y las compara de forma segura al registrarse, al iniciar sesión y al cambiar la contraseña.</w:t>
      </w:r>
    </w:p>
    <w:p w14:paraId="717D0F65" w14:textId="77777777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RF02:</w:t>
      </w:r>
      <w:r>
        <w:rPr>
          <w:color w:val="000000"/>
        </w:rPr>
        <w:t xml:space="preserve"> </w:t>
      </w:r>
      <w:r>
        <w:t>Al iniciar sesión, el sistema emite un JWT (id, correo y rol nutricionista) que vence en 8 horas.</w:t>
      </w:r>
    </w:p>
    <w:p w14:paraId="65C4851C" w14:textId="77777777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RF03:</w:t>
      </w:r>
      <w:r>
        <w:rPr>
          <w:color w:val="000000"/>
        </w:rPr>
        <w:t xml:space="preserve"> </w:t>
      </w:r>
      <w:r>
        <w:t>El usuario puede elegir si su sesión persiste (</w:t>
      </w:r>
      <w:proofErr w:type="spellStart"/>
      <w:r>
        <w:t>localStorage</w:t>
      </w:r>
      <w:proofErr w:type="spellEnd"/>
      <w:r>
        <w:t>) o se cierra con el navegador (</w:t>
      </w:r>
      <w:proofErr w:type="spellStart"/>
      <w:r>
        <w:t>sessionStorage</w:t>
      </w:r>
      <w:proofErr w:type="spellEnd"/>
      <w:r>
        <w:t>).</w:t>
      </w:r>
    </w:p>
    <w:p w14:paraId="3F3360E8" w14:textId="77777777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RF04:</w:t>
      </w:r>
      <w:r>
        <w:rPr>
          <w:color w:val="000000"/>
        </w:rPr>
        <w:t xml:space="preserve"> </w:t>
      </w:r>
      <w:r>
        <w:t xml:space="preserve">La API rechaza las solicitudes a </w:t>
      </w:r>
      <w:proofErr w:type="spellStart"/>
      <w:r>
        <w:t>endpoints</w:t>
      </w:r>
      <w:proofErr w:type="spellEnd"/>
      <w:r>
        <w:t xml:space="preserve"> privados que no traigan un token válido 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.</w:t>
      </w:r>
    </w:p>
    <w:p w14:paraId="3119870A" w14:textId="77777777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RF05</w:t>
      </w:r>
      <w:r>
        <w:t xml:space="preserve">: El nutricionista vinculado a un paciente puede solicitar una URL </w:t>
      </w:r>
      <w:proofErr w:type="spellStart"/>
      <w:r>
        <w:t>prefirmada</w:t>
      </w:r>
      <w:proofErr w:type="spellEnd"/>
      <w:r>
        <w:t xml:space="preserve"> y subir el archivo médico del paciente directo al </w:t>
      </w:r>
      <w:proofErr w:type="spellStart"/>
      <w:r>
        <w:t>bucket</w:t>
      </w:r>
      <w:proofErr w:type="spellEnd"/>
      <w:r>
        <w:t xml:space="preserve"> (</w:t>
      </w:r>
      <w:proofErr w:type="spellStart"/>
      <w:r>
        <w:t>Cloudflare</w:t>
      </w:r>
      <w:proofErr w:type="spellEnd"/>
      <w:r>
        <w:t xml:space="preserve"> R2).</w:t>
      </w:r>
    </w:p>
    <w:p w14:paraId="3B5E4D8B" w14:textId="77777777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RF06</w:t>
      </w:r>
      <w:r>
        <w:t>: Las pantallas de acceso (Login y Registro) tienen un fondo animado y una interfaz renovada.</w:t>
      </w:r>
    </w:p>
    <w:p w14:paraId="2BD1AF34" w14:textId="77777777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RF07</w:t>
      </w:r>
      <w:r>
        <w:t>: Al abrir una atención se muestran los exámenes médicos del paciente.</w:t>
      </w:r>
    </w:p>
    <w:p w14:paraId="263B3256" w14:textId="77777777" w:rsidR="000608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RF08</w:t>
      </w:r>
      <w:r>
        <w:t>: Investigación Patología Diabetes</w:t>
      </w:r>
    </w:p>
    <w:p w14:paraId="4806DBEB" w14:textId="77777777" w:rsidR="00060863" w:rsidRDefault="00060863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4A2F9592" w14:textId="77777777" w:rsidR="00060863" w:rsidRDefault="00000000">
      <w:pPr>
        <w:ind w:firstLine="360"/>
        <w:rPr>
          <w:b/>
          <w:bCs/>
          <w:color w:val="14494B"/>
        </w:rPr>
      </w:pPr>
      <w:r>
        <w:rPr>
          <w:b/>
          <w:bCs/>
          <w:color w:val="14494B"/>
        </w:rPr>
        <w:t>Sprint 2:</w:t>
      </w:r>
      <w:r>
        <w:rPr>
          <w:color w:val="14494B"/>
        </w:rPr>
        <w:t xml:space="preserve"> </w:t>
      </w:r>
      <w:r>
        <w:rPr>
          <w:b/>
          <w:bCs/>
          <w:color w:val="14494B"/>
        </w:rPr>
        <w:t>Planes de pago, módulo Diabetes y subida de exámenes</w:t>
      </w:r>
    </w:p>
    <w:p w14:paraId="1E89DBA8" w14:textId="77777777" w:rsidR="0006086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RF0</w:t>
      </w:r>
      <w:r>
        <w:rPr>
          <w:b/>
          <w:bCs/>
        </w:rPr>
        <w:t>9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El paciente se autentica en la </w:t>
      </w:r>
      <w:proofErr w:type="gramStart"/>
      <w:r>
        <w:rPr>
          <w:color w:val="000000"/>
        </w:rPr>
        <w:t>app</w:t>
      </w:r>
      <w:proofErr w:type="gramEnd"/>
      <w:r>
        <w:rPr>
          <w:color w:val="000000"/>
        </w:rPr>
        <w:t xml:space="preserve"> con JWT y la sesión se cierra sola si el token ya no sirve.</w:t>
      </w:r>
    </w:p>
    <w:p w14:paraId="29BC78CD" w14:textId="77777777" w:rsidR="00060863" w:rsidRDefault="00000000">
      <w:pPr>
        <w:numPr>
          <w:ilvl w:val="0"/>
          <w:numId w:val="4"/>
        </w:numPr>
      </w:pPr>
      <w:r>
        <w:rPr>
          <w:b/>
          <w:bCs/>
        </w:rPr>
        <w:t>RF10:</w:t>
      </w:r>
      <w:r>
        <w:t xml:space="preserve"> El paciente cambia su contraseña o elimina su cuenta, verificando su identidad.</w:t>
      </w:r>
    </w:p>
    <w:p w14:paraId="3E730FDD" w14:textId="77777777" w:rsidR="00060863" w:rsidRDefault="00000000">
      <w:pPr>
        <w:numPr>
          <w:ilvl w:val="0"/>
          <w:numId w:val="4"/>
        </w:numPr>
      </w:pPr>
      <w:r>
        <w:rPr>
          <w:b/>
          <w:bCs/>
        </w:rPr>
        <w:t>RF11:</w:t>
      </w:r>
      <w:r>
        <w:t xml:space="preserve"> El nutricionista ve los planes (Starter, Professional, Ultimate) y paga con la pasarela de pago </w:t>
      </w:r>
      <w:proofErr w:type="spellStart"/>
      <w:r>
        <w:t>ETPay</w:t>
      </w:r>
      <w:proofErr w:type="spellEnd"/>
      <w:r>
        <w:t>.</w:t>
      </w:r>
    </w:p>
    <w:p w14:paraId="5F345E63" w14:textId="77777777" w:rsidR="00060863" w:rsidRDefault="00000000">
      <w:pPr>
        <w:numPr>
          <w:ilvl w:val="0"/>
          <w:numId w:val="4"/>
        </w:numPr>
      </w:pPr>
      <w:r>
        <w:rPr>
          <w:b/>
          <w:bCs/>
        </w:rPr>
        <w:t>RF12:</w:t>
      </w:r>
      <w:r>
        <w:t xml:space="preserve"> Ficha Diabetes: diagnóstico con sugerencia ADA, glicemia, complicaciones, Bolus </w:t>
      </w:r>
      <w:proofErr w:type="spellStart"/>
      <w:r>
        <w:t>Wizard</w:t>
      </w:r>
      <w:proofErr w:type="spellEnd"/>
      <w:r>
        <w:t>, esquema de insulina y alerta de hipoglicemia.</w:t>
      </w:r>
    </w:p>
    <w:p w14:paraId="7715D247" w14:textId="77777777" w:rsidR="00060863" w:rsidRDefault="00000000">
      <w:pPr>
        <w:numPr>
          <w:ilvl w:val="0"/>
          <w:numId w:val="4"/>
        </w:numPr>
      </w:pPr>
      <w:r>
        <w:rPr>
          <w:b/>
          <w:bCs/>
        </w:rPr>
        <w:t>RF13:</w:t>
      </w:r>
      <w:r>
        <w:t xml:space="preserve"> La API permite pedir subida, confirmar, descargar, listar y eliminar exámenes.</w:t>
      </w:r>
    </w:p>
    <w:p w14:paraId="1B30F797" w14:textId="77777777" w:rsidR="00060863" w:rsidRDefault="00060863">
      <w:pPr>
        <w:rPr>
          <w:b/>
          <w:bCs/>
        </w:rPr>
      </w:pPr>
    </w:p>
    <w:p w14:paraId="409710D4" w14:textId="77777777" w:rsidR="00060863" w:rsidRDefault="00000000">
      <w:pPr>
        <w:ind w:left="360"/>
        <w:rPr>
          <w:b/>
          <w:bCs/>
          <w:color w:val="14494B"/>
        </w:rPr>
      </w:pPr>
      <w:r>
        <w:rPr>
          <w:b/>
          <w:bCs/>
          <w:color w:val="14494B"/>
        </w:rPr>
        <w:t>Sprint 3: Suscripciones activas, Nutrición Deportiva y exámenes en la web</w:t>
      </w:r>
    </w:p>
    <w:p w14:paraId="7E6D7EF6" w14:textId="77777777" w:rsidR="00060863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RF14:</w:t>
      </w:r>
      <w:r>
        <w:t xml:space="preserve"> Al confirmarse el pago, el plan queda activo por un mes y limita los pacientes (Plan gratuito: 5, Plan Starter = 10, Plan Professional = 35 y Plan Ultimate = 100) con aviso para hacer </w:t>
      </w:r>
      <w:proofErr w:type="spellStart"/>
      <w:r>
        <w:t>upgrade</w:t>
      </w:r>
      <w:proofErr w:type="spellEnd"/>
      <w:r>
        <w:t xml:space="preserve"> cuando se sobrepasa el límite al crear cuentas de Paciente.</w:t>
      </w:r>
    </w:p>
    <w:p w14:paraId="49AC9D6D" w14:textId="77777777" w:rsidR="00060863" w:rsidRDefault="00000000">
      <w:pPr>
        <w:numPr>
          <w:ilvl w:val="0"/>
          <w:numId w:val="5"/>
        </w:numPr>
      </w:pPr>
      <w:r>
        <w:rPr>
          <w:b/>
          <w:bCs/>
        </w:rPr>
        <w:t>RF15</w:t>
      </w:r>
      <w:r>
        <w:t>: El nutricionista sube, ve (visor PDF) y borra exámenes desde la web, con límite de 5MB y solo PDF/JPG/PNG/WEBP.</w:t>
      </w:r>
    </w:p>
    <w:p w14:paraId="7E203463" w14:textId="77777777" w:rsidR="00060863" w:rsidRDefault="00000000">
      <w:pPr>
        <w:numPr>
          <w:ilvl w:val="0"/>
          <w:numId w:val="5"/>
        </w:numPr>
      </w:pPr>
      <w:r>
        <w:rPr>
          <w:b/>
          <w:bCs/>
        </w:rPr>
        <w:t>RF16</w:t>
      </w:r>
      <w:r>
        <w:t xml:space="preserve">: Ficha Nutrición Deportiva: perfil, contraindicaciones, gasto energético, semáforo </w:t>
      </w:r>
      <w:proofErr w:type="spellStart"/>
      <w:r>
        <w:t>pre-ejercicio</w:t>
      </w:r>
      <w:proofErr w:type="spellEnd"/>
      <w:r>
        <w:t>, FITT, sesiones y evaluaciones.</w:t>
      </w:r>
    </w:p>
    <w:p w14:paraId="3486B958" w14:textId="77777777" w:rsidR="00060863" w:rsidRDefault="00000000">
      <w:pPr>
        <w:numPr>
          <w:ilvl w:val="0"/>
          <w:numId w:val="5"/>
        </w:numPr>
      </w:pPr>
      <w:r>
        <w:rPr>
          <w:b/>
          <w:bCs/>
        </w:rPr>
        <w:t>RF17:</w:t>
      </w:r>
      <w:r>
        <w:t xml:space="preserve"> Encuesta de tendencia de consumo por paciente.</w:t>
      </w:r>
    </w:p>
    <w:p w14:paraId="2F8136B8" w14:textId="77777777" w:rsidR="00060863" w:rsidRDefault="00000000">
      <w:pPr>
        <w:numPr>
          <w:ilvl w:val="0"/>
          <w:numId w:val="5"/>
        </w:numPr>
      </w:pPr>
      <w:r>
        <w:rPr>
          <w:b/>
          <w:bCs/>
        </w:rPr>
        <w:t>RF18</w:t>
      </w:r>
      <w:r>
        <w:t>: Tabla de insulinoterapia en la minuta, donde se pueden eliminar horarios.</w:t>
      </w:r>
    </w:p>
    <w:p w14:paraId="0B1CEAD8" w14:textId="77777777" w:rsidR="00060863" w:rsidRDefault="00000000">
      <w:pPr>
        <w:numPr>
          <w:ilvl w:val="0"/>
          <w:numId w:val="5"/>
        </w:numPr>
      </w:pPr>
      <w:r>
        <w:rPr>
          <w:b/>
          <w:bCs/>
        </w:rPr>
        <w:t>RF19:</w:t>
      </w:r>
      <w:r>
        <w:t xml:space="preserve"> Menú "Especialidades" en el </w:t>
      </w:r>
      <w:proofErr w:type="spellStart"/>
      <w:r>
        <w:t>navbar</w:t>
      </w:r>
      <w:proofErr w:type="spellEnd"/>
      <w:r>
        <w:t>.</w:t>
      </w:r>
    </w:p>
    <w:p w14:paraId="6F6A0435" w14:textId="77777777" w:rsidR="00060863" w:rsidRDefault="00060863"/>
    <w:p w14:paraId="513057BE" w14:textId="77777777" w:rsidR="00060863" w:rsidRDefault="00000000">
      <w:pPr>
        <w:ind w:firstLine="360"/>
        <w:rPr>
          <w:color w:val="14494B"/>
        </w:rPr>
      </w:pPr>
      <w:r>
        <w:rPr>
          <w:b/>
          <w:bCs/>
          <w:color w:val="14494B"/>
        </w:rPr>
        <w:t>Sprint 4:</w:t>
      </w:r>
      <w:r>
        <w:rPr>
          <w:color w:val="14494B"/>
        </w:rPr>
        <w:t xml:space="preserve"> </w:t>
      </w:r>
      <w:r>
        <w:rPr>
          <w:b/>
          <w:bCs/>
          <w:color w:val="14494B"/>
        </w:rPr>
        <w:t>Índice de calidad de dieta, Pediatría y base del chat</w:t>
      </w:r>
    </w:p>
    <w:p w14:paraId="46A302D8" w14:textId="77777777" w:rsidR="00060863" w:rsidRDefault="00000000">
      <w:pPr>
        <w:numPr>
          <w:ilvl w:val="0"/>
          <w:numId w:val="6"/>
        </w:numPr>
      </w:pPr>
      <w:r>
        <w:rPr>
          <w:b/>
          <w:bCs/>
        </w:rPr>
        <w:t>RF20:</w:t>
      </w:r>
      <w:r>
        <w:t xml:space="preserve"> El sistema calcula el ICA (Indicé Calidad Alimentación) de la encuesta de consumo y guarda el historial por fecha.</w:t>
      </w:r>
    </w:p>
    <w:p w14:paraId="76B0E4BE" w14:textId="77777777" w:rsidR="00060863" w:rsidRDefault="00000000">
      <w:pPr>
        <w:numPr>
          <w:ilvl w:val="0"/>
          <w:numId w:val="6"/>
        </w:numPr>
      </w:pPr>
      <w:r>
        <w:rPr>
          <w:b/>
          <w:bCs/>
        </w:rPr>
        <w:t>RF21:</w:t>
      </w:r>
      <w:r>
        <w:t xml:space="preserve"> Módulo de Pediatría en la ficha del paciente.</w:t>
      </w:r>
    </w:p>
    <w:p w14:paraId="7B4449C7" w14:textId="77777777" w:rsidR="00060863" w:rsidRDefault="00000000">
      <w:pPr>
        <w:numPr>
          <w:ilvl w:val="0"/>
          <w:numId w:val="6"/>
        </w:numPr>
      </w:pPr>
      <w:r>
        <w:rPr>
          <w:b/>
          <w:bCs/>
        </w:rPr>
        <w:t>RF22:</w:t>
      </w:r>
      <w:r>
        <w:t xml:space="preserve"> Primera implementación del chat en tiempo real entre nutricionista y sus pacientes vinculados.</w:t>
      </w:r>
    </w:p>
    <w:p w14:paraId="05CF41C5" w14:textId="77777777" w:rsidR="00060863" w:rsidRDefault="00000000">
      <w:pPr>
        <w:numPr>
          <w:ilvl w:val="0"/>
          <w:numId w:val="6"/>
        </w:numPr>
      </w:pPr>
      <w:r>
        <w:rPr>
          <w:b/>
          <w:bCs/>
        </w:rPr>
        <w:t>RF23:</w:t>
      </w:r>
      <w:r>
        <w:t xml:space="preserve"> Prescripción de ejercicios dentro de la minuta.</w:t>
      </w:r>
    </w:p>
    <w:p w14:paraId="7B1ADA62" w14:textId="77777777" w:rsidR="00060863" w:rsidRDefault="00060863">
      <w:pPr>
        <w:rPr>
          <w:b/>
          <w:bCs/>
        </w:rPr>
      </w:pPr>
    </w:p>
    <w:p w14:paraId="5038EE2B" w14:textId="77777777" w:rsidR="00060863" w:rsidRDefault="00000000">
      <w:pPr>
        <w:ind w:left="360"/>
        <w:rPr>
          <w:b/>
          <w:bCs/>
          <w:color w:val="14494B"/>
        </w:rPr>
      </w:pPr>
      <w:r>
        <w:rPr>
          <w:b/>
          <w:bCs/>
          <w:color w:val="14494B"/>
        </w:rPr>
        <w:t>Sprint 5:</w:t>
      </w:r>
      <w:r>
        <w:rPr>
          <w:color w:val="14494B"/>
        </w:rPr>
        <w:t xml:space="preserve"> </w:t>
      </w:r>
      <w:r>
        <w:rPr>
          <w:b/>
          <w:bCs/>
          <w:color w:val="14494B"/>
        </w:rPr>
        <w:t>Chat en tiempo real nutricionista-paciente, y base del módulo de Patología Renal</w:t>
      </w:r>
    </w:p>
    <w:p w14:paraId="3315B82C" w14:textId="77777777" w:rsidR="00060863" w:rsidRDefault="00000000">
      <w:pPr>
        <w:numPr>
          <w:ilvl w:val="0"/>
          <w:numId w:val="8"/>
        </w:numPr>
      </w:pPr>
      <w:r>
        <w:rPr>
          <w:b/>
          <w:bCs/>
        </w:rPr>
        <w:t>RF24:</w:t>
      </w:r>
      <w:r>
        <w:t xml:space="preserve"> El paciente chatea desde la </w:t>
      </w:r>
      <w:proofErr w:type="gramStart"/>
      <w:r>
        <w:t>app</w:t>
      </w:r>
      <w:proofErr w:type="gramEnd"/>
      <w:r>
        <w:t xml:space="preserve"> con sus nutricionistas vinculados. Se reconecta solo y, si el token ya no sirve, vuelve al login.</w:t>
      </w:r>
    </w:p>
    <w:p w14:paraId="63472D93" w14:textId="77777777" w:rsidR="00060863" w:rsidRDefault="00000000">
      <w:pPr>
        <w:numPr>
          <w:ilvl w:val="0"/>
          <w:numId w:val="8"/>
        </w:numPr>
      </w:pPr>
      <w:r>
        <w:rPr>
          <w:b/>
          <w:bCs/>
        </w:rPr>
        <w:t>RF25:</w:t>
      </w:r>
      <w:r>
        <w:t xml:space="preserve"> El sistema vuelve a enviar por correo las credenciales y la minuta al paciente.</w:t>
      </w:r>
    </w:p>
    <w:p w14:paraId="3CAC4615" w14:textId="77777777" w:rsidR="00060863" w:rsidRDefault="00000000">
      <w:pPr>
        <w:numPr>
          <w:ilvl w:val="0"/>
          <w:numId w:val="8"/>
        </w:numPr>
      </w:pPr>
      <w:r>
        <w:rPr>
          <w:b/>
          <w:bCs/>
        </w:rPr>
        <w:t>RF26:</w:t>
      </w:r>
      <w:r>
        <w:t xml:space="preserve"> El OCR de exámenes queda desplegado.</w:t>
      </w:r>
    </w:p>
    <w:p w14:paraId="380959C3" w14:textId="77777777" w:rsidR="00060863" w:rsidRDefault="00000000">
      <w:pPr>
        <w:numPr>
          <w:ilvl w:val="0"/>
          <w:numId w:val="8"/>
        </w:numPr>
      </w:pPr>
      <w:r>
        <w:rPr>
          <w:b/>
          <w:bCs/>
        </w:rPr>
        <w:t>RF27:</w:t>
      </w:r>
      <w:r>
        <w:t xml:space="preserve"> Módulo de Patología Renal en la ficha del paciente.</w:t>
      </w:r>
    </w:p>
    <w:p w14:paraId="591ED924" w14:textId="77777777" w:rsidR="006C3C28" w:rsidRDefault="006C3C28" w:rsidP="006C3C28"/>
    <w:p w14:paraId="59C56847" w14:textId="77777777" w:rsidR="00060863" w:rsidRDefault="00000000">
      <w:pPr>
        <w:pStyle w:val="Ttulo2"/>
        <w:numPr>
          <w:ilvl w:val="1"/>
          <w:numId w:val="1"/>
        </w:numPr>
      </w:pPr>
      <w:bookmarkStart w:id="12" w:name="_Toc242743260"/>
      <w:r>
        <w:t>Requisitos No Funcionales</w:t>
      </w:r>
      <w:bookmarkEnd w:id="12"/>
    </w:p>
    <w:p w14:paraId="053E4EDA" w14:textId="77777777" w:rsidR="00060863" w:rsidRDefault="00000000">
      <w:pPr>
        <w:ind w:left="360"/>
      </w:pPr>
      <w:r>
        <w:t>Define la calidad y restricciones técnicas bajo las cuales opera la plataforma:</w:t>
      </w:r>
    </w:p>
    <w:p w14:paraId="4263B99E" w14:textId="77777777" w:rsidR="00060863" w:rsidRDefault="00060863">
      <w:pPr>
        <w:ind w:left="360"/>
      </w:pPr>
    </w:p>
    <w:p w14:paraId="06D4B3A0" w14:textId="77777777" w:rsidR="000608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RNF01</w:t>
      </w:r>
      <w:r>
        <w:rPr>
          <w:b/>
          <w:bCs/>
        </w:rPr>
        <w:t xml:space="preserve"> </w:t>
      </w:r>
      <w:r>
        <w:rPr>
          <w:b/>
          <w:bCs/>
          <w:color w:val="000000"/>
        </w:rPr>
        <w:t>Escalabilidad:</w:t>
      </w:r>
      <w:r>
        <w:rPr>
          <w:color w:val="000000"/>
        </w:rPr>
        <w:t xml:space="preserve"> Arquitectura desacoplada (Frontend/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/BBDD) expuesta mediante API REST.</w:t>
      </w:r>
    </w:p>
    <w:p w14:paraId="28FBB0B5" w14:textId="77777777" w:rsidR="000608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RNF02 Seguridad y Privacidad:</w:t>
      </w:r>
      <w:r>
        <w:rPr>
          <w:color w:val="000000"/>
        </w:rPr>
        <w:t xml:space="preserve"> Cifrado de contraseñas y transmisión segura de datos clínicos de pacientes.</w:t>
      </w:r>
    </w:p>
    <w:p w14:paraId="5AB6D057" w14:textId="77777777" w:rsidR="000608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lastRenderedPageBreak/>
        <w:t>RNF03 Disponibilidad:</w:t>
      </w:r>
      <w:r>
        <w:rPr>
          <w:color w:val="000000"/>
        </w:rPr>
        <w:t xml:space="preserve"> Alojamiento de la base de datos en entorno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Railway</w:t>
      </w:r>
      <w:proofErr w:type="spellEnd"/>
      <w:r>
        <w:rPr>
          <w:color w:val="000000"/>
        </w:rPr>
        <w:t>) con alta disponibilidad.</w:t>
      </w:r>
    </w:p>
    <w:p w14:paraId="32638979" w14:textId="77777777" w:rsidR="000608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RNF04 Usabilidad y Multiplataforma:</w:t>
      </w:r>
      <w:r>
        <w:rPr>
          <w:color w:val="000000"/>
        </w:rPr>
        <w:t xml:space="preserve"> Interfaz adaptable (</w:t>
      </w:r>
      <w:r>
        <w:rPr>
          <w:i/>
          <w:iCs/>
          <w:color w:val="000000"/>
        </w:rPr>
        <w:t>responsive</w:t>
      </w:r>
      <w:r>
        <w:rPr>
          <w:color w:val="000000"/>
        </w:rPr>
        <w:t xml:space="preserve">) en Django Web y diseño nativo/multiplataforma en </w:t>
      </w:r>
      <w:proofErr w:type="spellStart"/>
      <w:r>
        <w:rPr>
          <w:color w:val="000000"/>
        </w:rPr>
        <w:t>Ionic</w:t>
      </w:r>
      <w:proofErr w:type="spellEnd"/>
      <w:r>
        <w:rPr>
          <w:color w:val="000000"/>
        </w:rPr>
        <w:t>.</w:t>
      </w:r>
    </w:p>
    <w:p w14:paraId="2F9DC811" w14:textId="77777777" w:rsidR="000608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RNF05 Rendimiento:</w:t>
      </w:r>
      <w:r>
        <w:rPr>
          <w:color w:val="000000"/>
        </w:rPr>
        <w:t xml:space="preserve"> Tiempos de respuesta óptimos en el cálculo de fórmulas procesadas directamente en la base de datos.</w:t>
      </w:r>
    </w:p>
    <w:p w14:paraId="5310F73C" w14:textId="77777777" w:rsidR="00060863" w:rsidRDefault="00060863"/>
    <w:sectPr w:rsidR="00060863">
      <w:headerReference w:type="default" r:id="rId15"/>
      <w:footerReference w:type="default" r:id="rId16"/>
      <w:pgSz w:w="12240" w:h="15840"/>
      <w:pgMar w:top="1440" w:right="1080" w:bottom="1440" w:left="108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25ED" w14:textId="77777777" w:rsidR="009C5896" w:rsidRDefault="009C5896">
      <w:pPr>
        <w:spacing w:line="240" w:lineRule="auto"/>
      </w:pPr>
      <w:r>
        <w:separator/>
      </w:r>
    </w:p>
  </w:endnote>
  <w:endnote w:type="continuationSeparator" w:id="0">
    <w:p w14:paraId="5878B590" w14:textId="77777777" w:rsidR="009C5896" w:rsidRDefault="009C58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534FB75-4F5D-4CF7-A2D6-DB62109C71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C632C4-2784-4037-86A1-BA61CDF73309}"/>
    <w:embedItalic r:id="rId3" w:fontKey="{2F470578-53EA-4DEF-A785-8CED8ED8D0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CD007B-5813-4502-9AF6-4836EB8AFA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FEE03" w14:textId="77777777" w:rsidR="000608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40382">
      <w:rPr>
        <w:noProof/>
        <w:color w:val="000000"/>
      </w:rPr>
      <w:t>2</w:t>
    </w:r>
    <w:r>
      <w:rPr>
        <w:color w:val="000000"/>
      </w:rPr>
      <w:fldChar w:fldCharType="end"/>
    </w:r>
  </w:p>
  <w:p w14:paraId="2B3ADF7A" w14:textId="77777777" w:rsidR="00060863" w:rsidRDefault="000608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5303" w14:textId="77777777" w:rsidR="009C5896" w:rsidRDefault="009C5896">
      <w:pPr>
        <w:spacing w:line="240" w:lineRule="auto"/>
      </w:pPr>
      <w:r>
        <w:separator/>
      </w:r>
    </w:p>
  </w:footnote>
  <w:footnote w:type="continuationSeparator" w:id="0">
    <w:p w14:paraId="6CBD4A6E" w14:textId="77777777" w:rsidR="009C5896" w:rsidRDefault="009C58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1594B" w14:textId="77777777" w:rsidR="000608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t>CAPSTONE_004V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15A5780" wp14:editId="11DBBC98">
          <wp:simplePos x="0" y="0"/>
          <wp:positionH relativeFrom="column">
            <wp:posOffset>5244465</wp:posOffset>
          </wp:positionH>
          <wp:positionV relativeFrom="paragraph">
            <wp:posOffset>-160019</wp:posOffset>
          </wp:positionV>
          <wp:extent cx="1242060" cy="278402"/>
          <wp:effectExtent l="0" t="0" r="0" b="0"/>
          <wp:wrapSquare wrapText="bothSides" distT="0" distB="0" distL="114300" distR="114300"/>
          <wp:docPr id="19971827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2060" cy="2784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6B5D1A" w14:textId="77777777" w:rsidR="00060863" w:rsidRDefault="000608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5AF8"/>
    <w:multiLevelType w:val="multilevel"/>
    <w:tmpl w:val="49B06B58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EB479BD"/>
    <w:multiLevelType w:val="multilevel"/>
    <w:tmpl w:val="1E0060AE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1DA3CD4"/>
    <w:multiLevelType w:val="multilevel"/>
    <w:tmpl w:val="AB92AA6A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2337A9"/>
    <w:multiLevelType w:val="multilevel"/>
    <w:tmpl w:val="21FADB82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217B0D"/>
    <w:multiLevelType w:val="multilevel"/>
    <w:tmpl w:val="F8126372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0563A65"/>
    <w:multiLevelType w:val="multilevel"/>
    <w:tmpl w:val="F6942E88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FD82B13"/>
    <w:multiLevelType w:val="multilevel"/>
    <w:tmpl w:val="5386CBE0"/>
    <w:lvl w:ilvl="0">
      <w:numFmt w:val="bullet"/>
      <w:lvlText w:val="-"/>
      <w:lvlJc w:val="left"/>
      <w:pPr>
        <w:ind w:left="1068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●"/>
      <w:lvlJc w:val="left"/>
      <w:pPr>
        <w:ind w:left="17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7656897"/>
    <w:multiLevelType w:val="multilevel"/>
    <w:tmpl w:val="82323866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97135"/>
    <w:multiLevelType w:val="multilevel"/>
    <w:tmpl w:val="AC3A9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301349017">
    <w:abstractNumId w:val="8"/>
  </w:num>
  <w:num w:numId="2" w16cid:durableId="128594904">
    <w:abstractNumId w:val="7"/>
  </w:num>
  <w:num w:numId="3" w16cid:durableId="1128013873">
    <w:abstractNumId w:val="3"/>
  </w:num>
  <w:num w:numId="4" w16cid:durableId="390885920">
    <w:abstractNumId w:val="6"/>
  </w:num>
  <w:num w:numId="5" w16cid:durableId="534854089">
    <w:abstractNumId w:val="1"/>
  </w:num>
  <w:num w:numId="6" w16cid:durableId="1932354218">
    <w:abstractNumId w:val="0"/>
  </w:num>
  <w:num w:numId="7" w16cid:durableId="1245720728">
    <w:abstractNumId w:val="2"/>
  </w:num>
  <w:num w:numId="8" w16cid:durableId="1893613555">
    <w:abstractNumId w:val="5"/>
  </w:num>
  <w:num w:numId="9" w16cid:durableId="1193569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63"/>
    <w:rsid w:val="00060863"/>
    <w:rsid w:val="00087C40"/>
    <w:rsid w:val="004D632A"/>
    <w:rsid w:val="006C3C28"/>
    <w:rsid w:val="007207AB"/>
    <w:rsid w:val="007F2552"/>
    <w:rsid w:val="009C5896"/>
    <w:rsid w:val="00A8330B"/>
    <w:rsid w:val="00B4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0FA2"/>
  <w15:docId w15:val="{6B74B3F1-717B-45E2-8E0D-F63023B2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color w:val="14494B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14494B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B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B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B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Ttulo1Car">
    <w:name w:val="Título 1 Car"/>
    <w:basedOn w:val="Fuentedeprrafopredeter"/>
    <w:uiPriority w:val="9"/>
    <w:rsid w:val="00407350"/>
    <w:rPr>
      <w:b/>
      <w:color w:val="14494B"/>
      <w:sz w:val="24"/>
      <w:szCs w:val="40"/>
    </w:rPr>
  </w:style>
  <w:style w:type="character" w:customStyle="1" w:styleId="Ttulo2Car">
    <w:name w:val="Título 2 Car"/>
    <w:basedOn w:val="Fuentedeprrafopredeter"/>
    <w:uiPriority w:val="9"/>
    <w:rsid w:val="007B52A4"/>
    <w:rPr>
      <w:b/>
      <w:color w:val="14494B"/>
      <w:szCs w:val="32"/>
    </w:rPr>
  </w:style>
  <w:style w:type="character" w:customStyle="1" w:styleId="Ttulo3Car">
    <w:name w:val="Título 3 Car"/>
    <w:basedOn w:val="Fuentedeprrafopredeter"/>
    <w:uiPriority w:val="9"/>
    <w:rsid w:val="009B317E"/>
    <w:rPr>
      <w:color w:val="434343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9B317E"/>
    <w:rPr>
      <w:color w:val="666666"/>
      <w:sz w:val="24"/>
      <w:szCs w:val="24"/>
    </w:rPr>
  </w:style>
  <w:style w:type="character" w:customStyle="1" w:styleId="Ttulo5Car">
    <w:name w:val="Título 5 Car"/>
    <w:basedOn w:val="Fuentedeprrafopredeter"/>
    <w:uiPriority w:val="9"/>
    <w:semiHidden/>
    <w:rsid w:val="009B317E"/>
    <w:rPr>
      <w:color w:val="666666"/>
    </w:rPr>
  </w:style>
  <w:style w:type="character" w:customStyle="1" w:styleId="Ttulo6Car">
    <w:name w:val="Título 6 Car"/>
    <w:basedOn w:val="Fuentedeprrafopredeter"/>
    <w:uiPriority w:val="9"/>
    <w:semiHidden/>
    <w:rsid w:val="009B317E"/>
    <w:rPr>
      <w:i/>
      <w:color w:val="666666"/>
    </w:rPr>
  </w:style>
  <w:style w:type="character" w:customStyle="1" w:styleId="TtuloCar">
    <w:name w:val="Título Car"/>
    <w:basedOn w:val="Fuentedeprrafopredeter"/>
    <w:uiPriority w:val="10"/>
    <w:rsid w:val="009B317E"/>
    <w:rPr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9B317E"/>
    <w:rPr>
      <w:color w:val="666666"/>
      <w:sz w:val="30"/>
      <w:szCs w:val="3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B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B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B4C"/>
    <w:rPr>
      <w:rFonts w:asciiTheme="minorHAnsi" w:eastAsiaTheme="majorEastAsia" w:hAnsiTheme="minorHAnsi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D02B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B4C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B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B4C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B4C"/>
    <w:rPr>
      <w:b/>
      <w:bCs/>
      <w:smallCaps/>
      <w:color w:val="365F9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2B4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B4C"/>
  </w:style>
  <w:style w:type="paragraph" w:styleId="Piedepgina">
    <w:name w:val="footer"/>
    <w:basedOn w:val="Normal"/>
    <w:link w:val="PiedepginaCar"/>
    <w:uiPriority w:val="99"/>
    <w:unhideWhenUsed/>
    <w:rsid w:val="00D02B4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B4C"/>
  </w:style>
  <w:style w:type="paragraph" w:styleId="TDC1">
    <w:name w:val="toc 1"/>
    <w:basedOn w:val="Normal"/>
    <w:next w:val="Normal"/>
    <w:autoRedefine/>
    <w:uiPriority w:val="39"/>
    <w:unhideWhenUsed/>
    <w:rsid w:val="00E6550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655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5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1A76A0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1A76A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L8SjWYJsPH8XPgo8IHe4RvSlA==">CgMxLjAyDmgubXNmMDl3c2trYzFjMg1oLnNoZXAwcnF4cHZ6Mg5oLmxrbzQ5dXFnOGU5ZTIOaC5mbHI0N2hhenA3N2QyDmgudDJwdzRzZHQyenFvMg5oLmk4NzBsazZ1Mm10ZDIOaC5kNmNnNmE4M3QwZTYyDmguc2wxcGlocmJxcmlzMg5oLnc1ZmcxMzVpa293ZjgAciExNjhrbldsQjkzVGVFT1FMZ0VJOEpFQ0lMZDk4WXljeFk=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BD0DD0-3C2F-40A4-9ACA-C854EE4DC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1771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. RODRIGUEZ CANO</dc:creator>
  <cp:lastModifiedBy>MARIANA . RODRIGUEZ CANO</cp:lastModifiedBy>
  <cp:revision>3</cp:revision>
  <dcterms:created xsi:type="dcterms:W3CDTF">2026-10-12T01:19:00Z</dcterms:created>
  <dcterms:modified xsi:type="dcterms:W3CDTF">2026-10-13T03:21:00Z</dcterms:modified>
</cp:coreProperties>
</file>