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jc w:val="both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Evaluación de Proyectos Capstone: </w:t>
      </w:r>
    </w:p>
    <w:p w:rsidR="00000000" w:rsidDel="00000000" w:rsidP="00000000" w:rsidRDefault="00000000" w:rsidRPr="00000000" w14:paraId="00000002">
      <w:pPr>
        <w:spacing w:after="30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Pablo Castro</w:t>
        <w:br w:type="textWrapping"/>
        <w:t xml:space="preserve">Patricio Leiva</w:t>
        <w:br w:type="textWrapping"/>
        <w:t xml:space="preserve">Mariana Rodríguez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Resumen Ejecutivo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documento consolida el análisis de dos propuestas de proyecto para la asignatura Capstone: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Denti-Check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NutriLink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Se presenta un resumen de sus alcances, infraestructuras y funcionalidades, finalizando con la justificación técnica y operativa de la elección del proyecto definitivo.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Proyecto: Denti-Check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Descripción General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Denti-Check es una plataforma de análisis radiográfico dental impulsada por visión artificial, orientada al diagnóstico temprano de caries. Está dirigida a odontólogos y centros de radiodiagnóstico maxilofacial en Chile. Propone una infraestructura distribuida con aplicaciones web (React / Next.js) y móviles (Ionic), conectadas a un motor de IA procesado en Python (PyTorch).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Alcance y Funcionalidades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Gestión Clínica: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Creación de expedientes de pacientes y almacenamiento de imágenes en formatos digitales estándar para visualización y ajuste de contraste básico.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Evaluación 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Procesamiento automatizado de radiografías para generar cuadros delimitadores (bounding boxes) sobre zonas con sospecha de caries usando modelos de redes neuronales convolucionales (tipo YOLO).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Movilidad y Eficiencia: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Captura en tiempo real de radiografías físicas (vía cámara de smartphone o tablet) con evaluación y sincronización instantánea para uso directo en el sillón dental.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Proyecto: NutriLink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Descripción General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NutriLink es una plataforma de atención nutricional digital integral orientada a nutricionistas de Chile. A diferencia de la propuesta de Denti-Check, NutriLink cuenta con una base funcional ya construida (proyecto de portafolio validado a junio de 2025), lista para ser escalada en el proyecto Capstone incorporando herramientas de Inteligencia Artificial e innovaciones interactivas.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Alcance y Funcionalidades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Funcionalidades Base: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Gestión administrativa de nutricionistas y pacientes vinculados, base de datos de alimentos personalizable con consumo de API de fuente oficial de datos nutricionales de alimentos (USDA), ficha clínica, selector de alergias y rechazos alimentarios, agendamiento de citas, registro dietario, registro antropométrico, cálculo de requerimientos nutricionales, minuta personalizada, monitoreo antropométrico a través de una aplicación móvil exclusiva para el paciente, y un sistema de agendamiento propio.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Evolución y Potenciación: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line="268.8" w:lineRule="auto"/>
        <w:ind w:left="1440" w:hanging="360"/>
        <w:jc w:val="both"/>
        <w:rPr>
          <w:rFonts w:ascii="Calibri" w:cs="Calibri" w:eastAsia="Calibri" w:hAnsi="Calibri"/>
          <w:b w:val="1"/>
          <w:bCs w:val="1"/>
          <w:color w:val="3d2e0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Nuevos Nichos: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d2e0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Extensión de funcionalidades para: 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line="268.8" w:lineRule="auto"/>
        <w:ind w:left="2160" w:hanging="360"/>
        <w:jc w:val="both"/>
        <w:rPr>
          <w:rFonts w:ascii="Calibri" w:cs="Calibri" w:eastAsia="Calibri" w:hAnsi="Calibri"/>
          <w:b w:val="1"/>
          <w:bCs w:val="1"/>
          <w:color w:val="3d2e0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Deportistas: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cálculos de requerimientos especializados, selectores de objetivos de composición corporal, período deportivo (básico, competencia, precompetencia, lesionado, etc).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line="268.8" w:lineRule="auto"/>
        <w:ind w:left="2160" w:hanging="360"/>
        <w:jc w:val="both"/>
        <w:rPr>
          <w:rFonts w:ascii="Calibri" w:cs="Calibri" w:eastAsia="Calibri" w:hAnsi="Calibri"/>
          <w:b w:val="1"/>
          <w:bCs w:val="1"/>
          <w:color w:val="3d2e0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Diabéticos: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contador de glucosa por tiempo de comida, establecimiento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glicemia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meta.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line="268.8" w:lineRule="auto"/>
        <w:ind w:left="2160" w:hanging="360"/>
        <w:jc w:val="both"/>
        <w:rPr>
          <w:rFonts w:ascii="Calibri" w:cs="Calibri" w:eastAsia="Calibri" w:hAnsi="Calibri"/>
          <w:b w:val="1"/>
          <w:bCs w:val="1"/>
          <w:color w:val="3d2e0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Enfermedad renal crónica: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requerimientos especializados, mediciones corporales especializadas, checkbox para filtrar alimentos con alto contenido de potasio de la minuta.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line="268.8" w:lineRule="auto"/>
        <w:ind w:left="2160" w:hanging="360"/>
        <w:jc w:val="both"/>
        <w:rPr>
          <w:rFonts w:ascii="Times New Roman" w:cs="Times New Roman" w:eastAsia="Times New Roman" w:hAnsi="Times New Roman"/>
          <w:color w:val="444444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Enfermedad cardiovascular: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contador de sodio máximo en la dieta, alerta en minuta si se sobrepasa este valor, checkbox para filtrar alimentos con alto contenido de sodio de la dieta.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line="268.8" w:lineRule="auto"/>
        <w:ind w:left="2160" w:hanging="360"/>
        <w:jc w:val="both"/>
        <w:rPr>
          <w:rFonts w:ascii="Calibri" w:cs="Calibri" w:eastAsia="Calibri" w:hAnsi="Calibri"/>
          <w:b w:val="1"/>
          <w:bCs w:val="1"/>
          <w:color w:val="3d2e0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Pediatría y embarazo: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fórmulas especializadas para niños, cálculos de requerimientos especializados, calendario de vacunación, calendario de suplementación.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line="268.8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color w:val="3d2e0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Nueva Encuesta de Tendencia de Consumo: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d2e0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Incluye analizador determinista de calidad de dieta asociado a los valores de la encuesta.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268.8" w:lineRule="auto"/>
        <w:ind w:left="1440" w:hanging="360"/>
        <w:jc w:val="both"/>
        <w:rPr>
          <w:rFonts w:ascii="Calibri" w:cs="Calibri" w:eastAsia="Calibri" w:hAnsi="Calibri"/>
          <w:b w:val="1"/>
          <w:bCs w:val="1"/>
          <w:color w:val="3d2e0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Integración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pasarela de pagos.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line="268.8" w:lineRule="auto"/>
        <w:ind w:left="1440" w:hanging="360"/>
        <w:jc w:val="both"/>
        <w:rPr>
          <w:rFonts w:ascii="Calibri" w:cs="Calibri" w:eastAsia="Calibri" w:hAnsi="Calibri"/>
          <w:b w:val="1"/>
          <w:bCs w:val="1"/>
          <w:color w:val="3d2e0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Integración de Telemedicina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d2e0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 videollamadas, mensajería en tiempo real, carpetas compartidas, etc.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line="268.8" w:lineRule="auto"/>
        <w:ind w:left="1440" w:hanging="360"/>
        <w:jc w:val="both"/>
        <w:rPr>
          <w:rFonts w:ascii="Calibri" w:cs="Calibri" w:eastAsia="Calibri" w:hAnsi="Calibri"/>
          <w:b w:val="1"/>
          <w:bCs w:val="1"/>
          <w:color w:val="3d2e0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IA y Analítica: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d2e0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OCR para análisis de exámenes médicos y generación de recomendaciones de diagnóstico y suplementación.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line="268.8" w:lineRule="auto"/>
        <w:ind w:left="1440" w:hanging="360"/>
        <w:jc w:val="both"/>
        <w:rPr>
          <w:rFonts w:ascii="Calibri" w:cs="Calibri" w:eastAsia="Calibri" w:hAnsi="Calibri"/>
          <w:b w:val="1"/>
          <w:bCs w:val="1"/>
          <w:color w:val="3d2e0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Seguridad como diseño: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d2e0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Tokenización y cifrado de contraseñas para almacenamiento seguro en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line="268.8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Incorporación de almacenamiento para exámenes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line="268.8" w:lineRule="auto"/>
        <w:ind w:left="1440" w:hanging="360"/>
        <w:jc w:val="both"/>
        <w:rPr>
          <w:rFonts w:ascii="Calibri" w:cs="Calibri" w:eastAsia="Calibri" w:hAnsi="Calibri"/>
          <w:b w:val="1"/>
          <w:bCs w:val="1"/>
          <w:color w:val="3d2e0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Aplicación Móvil para Nutricionista: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d2e0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Incorporar principales funcionalidades de Página web en una aplicación móvil para nutricionista.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line="268.8" w:lineRule="auto"/>
        <w:ind w:left="1440" w:hanging="360"/>
        <w:jc w:val="both"/>
        <w:rPr>
          <w:rFonts w:ascii="Calibri" w:cs="Calibri" w:eastAsia="Calibri" w:hAnsi="Calibri"/>
          <w:b w:val="1"/>
          <w:bCs w:val="1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Verificación de Nutricionista: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444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Implementación de verificación de título profesional en el Registro Nacional de Prestadores Individuales de Salud mediante integración con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API de superintendencia de salud (funcionalidad sujeta a posibilidad de obtener acceso a la API).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Comparativa de Infraestructura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bf8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Componente / Servicio</w:t>
            </w:r>
          </w:p>
        </w:tc>
        <w:tc>
          <w:tcPr>
            <w:shd w:fill="ebf8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Denti-Check</w:t>
            </w:r>
          </w:p>
        </w:tc>
        <w:tc>
          <w:tcPr>
            <w:shd w:fill="ebf8fa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NutriLink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Aplicación Web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React / Next.js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Django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 / Backend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(FastAPI), PyTorch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Node.js / Express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de Datos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PostgreSQL(con PL/pgSQL)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Aplicación Móvil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Ionic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Ionic</w:t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tabla se representan las principales tecnologías que dan forma a las soluciones tecnológicas propuestas. Estas, sin embargo, pueden evolucionar de forma dinámica conforme a las necesidades que vayan surgiendo a medida que el proyecto crezca. 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Conclusión y Decisión Final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Tras evaluar ambos escenarios de desarrollo, el equipo ha determinado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 realizará definitivamente el proyecto NutriLink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la instancia de Capstone. Esta decisión se fundamenta en las siguientes razones de viabilidad técnica y operativa: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Aprovechamiento de la Experiencia Acumulada: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NutriLink proporciona una infraestructura y código base ya construido y estable. Continuar con este proyecto permite enfocar los recursos, ideas y tiempo disponible del semestre de Capstone en llevar la plataforma a un nivel profesional y comercial superior, pudiendo implementar características avanzadas como telemedicina, OCR y analítica de datos sin gastar tiempo re-desarrollando un CRUD clínico base.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Barreras Críticas en la Obtención de Datasets (Denti-Check):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entrenamiento de un motor de Inteligencia Artificial para el ámbito radiológico médico demanda exigencias enormes que no solo implican desafíos tecnológicos, sino también éticos y regulatorios si queremos darle un matiz diferencial y profesional. El equipo se encontró con la severa dificultad de acceder a repositorios confiables y de forma legítima; la mayoría de las bases de datos más confiables exige formularios burocráticos (como se evidenció con las bases PRAD y de Tufts) o son de tamaño extremadamente limitado. Para garantizar que el modelo de Denti-Check reconozca anomalías sin sesgo estadístico y logre un nivel clínico aceptable, es necesario un dataset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 menos 10.000 imágenes de alta calidad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Lo más crítico de este impedimento es que estas miles de imágenes requieren imperativamente poseer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anotaciones hechas por profesionales de salud certificados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una meta difícil de conseguir considerando el contexto, el tiempo y los recursos estudiantiles para esta entrega.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definitiva,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NutriLink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representa un desafío maduro, viable y con proyecciones más seguras dentro del marco temporal del proyecto Capstone, evitando el riesgo de estancamiento por déficit de datos médicos que implicaba Denti-Check.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