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rPr>
          <w:color w:val="0066CC"/>
        </w:rPr>
        <w:t>Functional Specification Design (FSD)</w:t>
      </w:r>
    </w:p>
    <w:p>
      <w:r>
        <w:rPr>
          <w:b/>
          <w:sz w:val="28"/>
        </w:rPr>
        <w:t>MiniWarehouse – 2026</w:t>
      </w:r>
    </w:p>
    <w:p>
      <w:r>
        <w:t>Warehouse Operations Division / MiniWarehouse Product Team</w:t>
      </w:r>
    </w:p>
    <w:p/>
    <w:p>
      <w:r>
        <w:t>Version 1.0</w:t>
        <w:br/>
      </w:r>
      <w:r>
        <w:rPr>
          <w:b/>
          <w:color w:val="FF0000"/>
        </w:rPr>
        <w:t>CONFIDENTIAL</w:t>
      </w:r>
    </w:p>
    <w:p>
      <w:r>
        <w:rPr>
          <w:sz w:val="18"/>
        </w:rPr>
        <w:t>This document contains proprietary information that is confidential to the owning party. Disclosure of this document in full or in part may result in material damage. Written permission must be obtained prior to disclosure of this document to a third party.</w:t>
      </w:r>
    </w:p>
    <w:p>
      <w:r>
        <w:br w:type="page"/>
      </w:r>
    </w:p>
    <w:p>
      <w:pPr>
        <w:pStyle w:val="Heading1"/>
      </w:pPr>
      <w:r>
        <w:t>Sign 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Position</w:t>
            </w:r>
          </w:p>
        </w:tc>
        <w:tc>
          <w:tcPr>
            <w:tcW w:type="dxa" w:w="2160"/>
          </w:tcPr>
          <w:p>
            <w:r>
              <w:t>Name</w:t>
            </w:r>
          </w:p>
        </w:tc>
        <w:tc>
          <w:tcPr>
            <w:tcW w:type="dxa" w:w="2160"/>
          </w:tcPr>
          <w:p>
            <w:r>
              <w:t>Date</w:t>
            </w:r>
          </w:p>
        </w:tc>
      </w:tr>
      <w:tr>
        <w:tc>
          <w:tcPr>
            <w:tcW w:type="dxa" w:w="2160"/>
          </w:tcPr>
          <w:p>
            <w:r>
              <w:t>MiniWarehouse Product Team</w:t>
            </w:r>
          </w:p>
        </w:tc>
        <w:tc>
          <w:tcPr>
            <w:tcW w:type="dxa" w:w="2160"/>
          </w:tcPr>
          <w:p>
            <w:r>
              <w:t>Owner</w:t>
            </w:r>
          </w:p>
        </w:tc>
        <w:tc>
          <w:tcPr>
            <w:tcW w:type="dxa" w:w="2160"/>
          </w:tcPr>
          <w:p/>
        </w:tc>
        <w:tc>
          <w:tcPr>
            <w:tcW w:type="dxa" w:w="2160"/>
          </w:tcPr>
          <w:p/>
        </w:tc>
      </w:tr>
      <w:tr>
        <w:tc>
          <w:tcPr>
            <w:tcW w:type="dxa" w:w="2160"/>
          </w:tcPr>
          <w:p>
            <w:r>
              <w:t>Vendor</w:t>
            </w:r>
          </w:p>
        </w:tc>
        <w:tc>
          <w:tcPr>
            <w:tcW w:type="dxa" w:w="2160"/>
          </w:tcPr>
          <w:p>
            <w:r>
              <w:t>Business Analyst</w:t>
            </w:r>
          </w:p>
        </w:tc>
        <w:tc>
          <w:tcPr>
            <w:tcW w:type="dxa" w:w="2160"/>
          </w:tcPr>
          <w:p/>
        </w:tc>
        <w:tc>
          <w:tcPr>
            <w:tcW w:type="dxa" w:w="2160"/>
          </w:tcPr>
          <w:p/>
        </w:tc>
      </w:tr>
    </w:tbl>
    <w:p>
      <w:r>
        <w:br w:type="page"/>
      </w:r>
    </w:p>
    <w:p>
      <w:pPr>
        <w:pStyle w:val="Heading1"/>
      </w:pPr>
      <w:r>
        <w:t>Change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 Modified</w:t>
            </w:r>
          </w:p>
        </w:tc>
        <w:tc>
          <w:tcPr>
            <w:tcW w:type="dxa" w:w="1728"/>
          </w:tcPr>
          <w:p>
            <w:r>
              <w:t>Modified By</w:t>
            </w:r>
          </w:p>
        </w:tc>
        <w:tc>
          <w:tcPr>
            <w:tcW w:type="dxa" w:w="1728"/>
          </w:tcPr>
          <w:p>
            <w:r>
              <w:t>Version No.</w:t>
            </w:r>
          </w:p>
        </w:tc>
        <w:tc>
          <w:tcPr>
            <w:tcW w:type="dxa" w:w="1728"/>
          </w:tcPr>
          <w:p>
            <w:r>
              <w:t>Type of Change</w:t>
            </w:r>
          </w:p>
        </w:tc>
        <w:tc>
          <w:tcPr>
            <w:tcW w:type="dxa" w:w="1728"/>
          </w:tcPr>
          <w:p>
            <w:r>
              <w:t>Brief Description of Change</w:t>
            </w:r>
          </w:p>
        </w:tc>
      </w:tr>
      <w:tr>
        <w:tc>
          <w:tcPr>
            <w:tcW w:type="dxa" w:w="1728"/>
          </w:tcPr>
          <w:p>
            <w:r>
              <w:t>28 August 2026</w:t>
            </w:r>
          </w:p>
        </w:tc>
        <w:tc>
          <w:tcPr>
            <w:tcW w:type="dxa" w:w="1728"/>
          </w:tcPr>
          <w:p>
            <w:r>
              <w:t>MiniWarehouse Product Team</w:t>
            </w:r>
          </w:p>
        </w:tc>
        <w:tc>
          <w:tcPr>
            <w:tcW w:type="dxa" w:w="1728"/>
          </w:tcPr>
          <w:p>
            <w:r>
              <w:t>1.0</w:t>
            </w:r>
          </w:p>
        </w:tc>
        <w:tc>
          <w:tcPr>
            <w:tcW w:type="dxa" w:w="1728"/>
          </w:tcPr>
          <w:p>
            <w:r>
              <w:t>Initial</w:t>
            </w:r>
          </w:p>
        </w:tc>
        <w:tc>
          <w:tcPr>
            <w:tcW w:type="dxa" w:w="1728"/>
          </w:tcPr>
          <w:p>
            <w:r>
              <w:t>Initial document creation</w:t>
            </w:r>
          </w:p>
        </w:tc>
      </w:tr>
    </w:tbl>
    <w:p>
      <w:r>
        <w:br w:type="page"/>
      </w:r>
    </w:p>
    <w:p>
      <w:pPr>
        <w:pStyle w:val="Heading1"/>
      </w:pPr>
      <w:r>
        <w:t>Notation Document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Notasi</w:t>
            </w:r>
          </w:p>
        </w:tc>
        <w:tc>
          <w:tcPr>
            <w:tcW w:type="dxa" w:w="2880"/>
          </w:tcPr>
          <w:p>
            <w:r>
              <w:t>Sample</w:t>
            </w:r>
          </w:p>
        </w:tc>
        <w:tc>
          <w:tcPr>
            <w:tcW w:type="dxa" w:w="2880"/>
          </w:tcPr>
          <w:p>
            <w:r>
              <w:t>Remark</w:t>
            </w:r>
          </w:p>
        </w:tc>
      </w:tr>
      <w:tr>
        <w:tc>
          <w:tcPr>
            <w:tcW w:type="dxa" w:w="2880"/>
          </w:tcPr>
          <w:p>
            <w:r>
              <w:rPr>
                <w:color w:val="FF0000"/>
              </w:rPr>
              <w:t>Kalimat dengan Font berwarna Merah</w:t>
            </w:r>
          </w:p>
        </w:tc>
        <w:tc>
          <w:tcPr>
            <w:tcW w:type="dxa" w:w="2880"/>
          </w:tcPr>
          <w:p>
            <w:r>
              <w:t>Teacher Hub</w:t>
            </w:r>
          </w:p>
        </w:tc>
        <w:tc>
          <w:tcPr>
            <w:tcW w:type="dxa" w:w="2880"/>
          </w:tcPr>
          <w:p>
            <w:r>
              <w:t>Menandakan perubahan terhadap sistem existing.</w:t>
            </w:r>
          </w:p>
        </w:tc>
      </w:tr>
      <w:tr>
        <w:tc>
          <w:tcPr>
            <w:tcW w:type="dxa" w:w="2880"/>
          </w:tcPr>
          <w:p>
            <w:r>
              <w:t>[Title Menu/Function] (NEW UI)</w:t>
            </w:r>
          </w:p>
        </w:tc>
        <w:tc>
          <w:tcPr>
            <w:tcW w:type="dxa" w:w="2880"/>
          </w:tcPr>
          <w:p>
            <w:r>
              <w:t>Yayasan (NEW UI)</w:t>
            </w:r>
          </w:p>
        </w:tc>
        <w:tc>
          <w:tcPr>
            <w:tcW w:type="dxa" w:w="2880"/>
          </w:tcPr>
          <w:p>
            <w:r>
              <w:t>Menu atau fungsi baru / belum ada di sistem.</w:t>
            </w:r>
          </w:p>
        </w:tc>
      </w:tr>
      <w:tr>
        <w:tc>
          <w:tcPr>
            <w:tcW w:type="dxa" w:w="2880"/>
          </w:tcPr>
          <w:p>
            <w:r>
              <w:t>[Title Menu/Function] (NEW JOB)</w:t>
            </w:r>
          </w:p>
        </w:tc>
        <w:tc>
          <w:tcPr>
            <w:tcW w:type="dxa" w:w="2880"/>
          </w:tcPr>
          <w:p>
            <w:r>
              <w:t>DAPODIK Integration (NEW JOB)</w:t>
            </w:r>
          </w:p>
        </w:tc>
        <w:tc>
          <w:tcPr>
            <w:tcW w:type="dxa" w:w="2880"/>
          </w:tcPr>
          <w:p>
            <w:r>
              <w:t>Job atau fungsi baru / belum ada di sistem.</w:t>
            </w:r>
          </w:p>
        </w:tc>
      </w:tr>
    </w:tbl>
    <w:p>
      <w:r>
        <w:br w:type="page"/>
      </w:r>
    </w:p>
    <w:p>
      <w:pPr>
        <w:pStyle w:val="Heading1"/>
      </w:pPr>
      <w:r>
        <w:t>I. INTRODUCTION</w:t>
      </w:r>
    </w:p>
    <w:p>
      <w:r>
        <w:t>MiniWarehouse is a small-scale, multi-tenant warehouse management system designed for operators who cannot justify enterprise WMS cost or infrastructure overhead. The system serves multiple customer tenants from a single cloud backend, supporting Android handheld scanners (PDTs) for floor activities (putaway, picking, receiving, stock counts) with offline capability, alongside a Next.js back-office web application for administrative and supervisory functions. The ASP.NET Core backend (.NET 10) acts as the single source of truth for all stock data, deriving balances exclusively by replaying an append-only Movement ledger rather than storing mutable counters.</w:t>
        <w:br/>
        <w:br/>
        <w:t>The implementation follows a strict delivery order: Discovery (Phase 1 — documentation, complete) → Backend (Phase 2 — this specification) → Web (Phase 3) → Android (Phase 4). The backend must be scaffolded first because its OpenAPI contract is the foundation that both the web and Android clients generate against. Key architectural invariants include: dual-layer multi-tenancy enforcement (EF Core global query filters + PostgreSQL RLS), contract-first API design, industry-agnostic product modeling via per-Item capability flags, non-unique barcode resolution by task context, and an offline sync protocol based on idempotent TaskEvent batches.</w:t>
        <w:br/>
        <w:br/>
        <w:t>Impact analysis: This is a greenfield codebase — all source files under /backend, /web, /android, and /infra are to be created. Existing documentation under /docs defines all architectural decisions, domain model shape, sync protocol, auth design, and coding conventions. The primary risks are: (1) multi-tenancy enforcement bugs causing cross-tenant data leaks, (2) sync protocol correctness under concurrent PDT operations, (3) OpenAPI contract drift between backend and generated clients, (4) barcode non-uniqueness resolution logic correctness, and (5) Movement ledger replay accuracy for stock computation. All risks are mitigated by the documented testing strategy: integration tests against real Postgres via Testcontainers for RLS/tenant isolation, dedicated concurrency tests for sync/movement logic, and contract-first code generation preventing API drift.</w:t>
      </w:r>
    </w:p>
    <w:p>
      <w:pPr>
        <w:pStyle w:val="Heading1"/>
      </w:pPr>
      <w:r>
        <w:t>II. MENU / SCREEN SPECIFICATIONS</w:t>
      </w:r>
    </w:p>
    <w:p>
      <w:r>
        <w:t>No screens defined.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Open Sans" w:hAnsi="Ope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Open Sans" w:hAnsi="Ope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Open Sans" w:hAnsi="Ope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Open Sans" w:hAnsi="Ope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