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Д-006/2026</w:t>
      </w:r>
    </w:p>
    <w:p>
      <w:r>
        <w:t>Учебный синтетический документ. Все организации вымышлены.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заключения</w:t>
            </w:r>
          </w:p>
        </w:tc>
        <w:tc>
          <w:tcPr>
            <w:tcW w:type="dxa" w:w="4320"/>
          </w:tcPr>
          <w:p>
            <w:r>
              <w:t>11.06.2026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ООО «Заказчик 6»</w:t>
            </w:r>
          </w:p>
        </w:tc>
      </w:tr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ООО «Исполнитель 6»</w:t>
            </w:r>
          </w:p>
        </w:tc>
      </w:tr>
      <w:tr>
        <w:tc>
          <w:tcPr>
            <w:tcW w:type="dxa" w:w="4320"/>
          </w:tcPr>
          <w:p>
            <w:r>
              <w:t>Сумма договора</w:t>
            </w:r>
          </w:p>
        </w:tc>
        <w:tc>
          <w:tcPr>
            <w:tcW w:type="dxa" w:w="4320"/>
          </w:tcPr>
          <w:p>
            <w:r>
              <w:t>60000,50 руб.</w:t>
            </w:r>
          </w:p>
        </w:tc>
      </w:tr>
    </w:tbl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