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2015/03/19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here today trying to reproduce the TEAMS “time-of-flight spectra for key ion species” shown in Fig. 4 of the TEAMS instrument paper [</w:t>
      </w:r>
      <w:r w:rsidDel="00000000" w:rsidR="00000000" w:rsidRPr="00000000">
        <w:rPr>
          <w:i w:val="1"/>
          <w:rtl w:val="0"/>
        </w:rPr>
        <w:t xml:space="preserve">Klumpar et al.</w:t>
      </w:r>
      <w:r w:rsidDel="00000000" w:rsidR="00000000" w:rsidRPr="00000000">
        <w:rPr>
          <w:rtl w:val="0"/>
        </w:rPr>
        <w:t xml:space="preserve"> 2001], which is data for orbit 1536.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1997/01/10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Orbit: 1536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range: 11:11:28-11:20:58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4 also shows “Total Energy 19.7-20.7 keV/e”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495300</wp:posOffset>
            </wp:positionH>
            <wp:positionV relativeFrom="paragraph">
              <wp:posOffset>47625</wp:posOffset>
            </wp:positionV>
            <wp:extent cx="4962525" cy="35052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3478" r="59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