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color w:val="0b3d91"/>
          <w:sz w:val="56"/>
        </w:rPr>
        <w:t xml:space="preserve">Global Research Performance Analysis</w:t>
        <w:br/>
        <w:t xml:space="preserve">2003–2025</w:t>
      </w:r>
      <w:r/>
    </w:p>
    <w:p>
      <w:pPr>
        <w:pBdr/>
        <w:spacing/>
        <w:ind/>
        <w:jc w:val="center"/>
        <w:rPr/>
      </w:pPr>
      <w:r>
        <w:rPr>
          <w:color w:val="555555"/>
          <w:sz w:val="28"/>
        </w:rPr>
        <w:t xml:space="preserve">Comprehensive Study of 17 Leading Nations</w:t>
        <w:br/>
        <w:t xml:space="preserve">Data-Driven Insights into Research Excellence and Impact</w:t>
      </w:r>
      <w:r/>
    </w:p>
    <w:p>
      <w:pPr>
        <w:pBdr/>
        <w:spacing/>
        <w:ind/>
        <w:rPr/>
      </w:pPr>
      <w:r/>
      <w:r/>
    </w:p>
    <w:tbl>
      <w:tblPr>
        <w:tblStyle w:val="950"/>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Dataset Coverage</w:t>
            </w:r>
            <w:r/>
          </w:p>
        </w:tc>
        <w:tc>
          <w:tcPr>
            <w:tcBorders/>
            <w:tcW w:w="4320" w:type="dxa"/>
            <w:textDirection w:val="lrTb"/>
            <w:noWrap w:val="false"/>
          </w:tcPr>
          <w:p>
            <w:pPr>
              <w:pBdr/>
              <w:spacing/>
              <w:ind/>
              <w:rPr/>
            </w:pPr>
            <w:r>
              <w:t xml:space="preserve">17 Countries, 1,000 Records, 23 Years</w:t>
            </w:r>
            <w:r/>
          </w:p>
        </w:tc>
      </w:tr>
      <w:tr>
        <w:trPr/>
        <w:tc>
          <w:tcPr>
            <w:tcBorders/>
            <w:tcW w:w="4320" w:type="dxa"/>
            <w:textDirection w:val="lrTb"/>
            <w:noWrap w:val="false"/>
          </w:tcPr>
          <w:p>
            <w:pPr>
              <w:pBdr/>
              <w:spacing/>
              <w:ind/>
              <w:rPr/>
            </w:pPr>
            <w:r>
              <w:t xml:space="preserve">Time Period</w:t>
            </w:r>
            <w:r/>
          </w:p>
        </w:tc>
        <w:tc>
          <w:tcPr>
            <w:tcBorders/>
            <w:tcW w:w="4320" w:type="dxa"/>
            <w:textDirection w:val="lrTb"/>
            <w:noWrap w:val="false"/>
          </w:tcPr>
          <w:p>
            <w:pPr>
              <w:pBdr/>
              <w:spacing/>
              <w:ind/>
              <w:rPr/>
            </w:pPr>
            <w:r>
              <w:t xml:space="preserve">2003–2025</w:t>
            </w:r>
            <w:r/>
          </w:p>
        </w:tc>
      </w:tr>
      <w:tr>
        <w:trPr/>
        <w:tc>
          <w:tcPr>
            <w:tcBorders/>
            <w:tcW w:w="4320" w:type="dxa"/>
            <w:textDirection w:val="lrTb"/>
            <w:noWrap w:val="false"/>
          </w:tcPr>
          <w:p>
            <w:pPr>
              <w:pBdr/>
              <w:spacing/>
              <w:ind/>
              <w:rPr/>
            </w:pPr>
            <w:r>
              <w:t xml:space="preserve">Total Publications</w:t>
            </w:r>
            <w:r/>
          </w:p>
        </w:tc>
        <w:tc>
          <w:tcPr>
            <w:tcBorders/>
            <w:tcW w:w="4320" w:type="dxa"/>
            <w:textDirection w:val="lrTb"/>
            <w:noWrap w:val="false"/>
          </w:tcPr>
          <w:p>
            <w:pPr>
              <w:pBdr/>
              <w:spacing/>
              <w:ind/>
              <w:rPr/>
            </w:pPr>
            <w:r>
              <w:t xml:space="preserve">14.9 Million</w:t>
            </w:r>
            <w:r/>
          </w:p>
        </w:tc>
      </w:tr>
      <w:tr>
        <w:trPr/>
        <w:tc>
          <w:tcPr>
            <w:tcBorders/>
            <w:tcW w:w="4320" w:type="dxa"/>
            <w:textDirection w:val="lrTb"/>
            <w:noWrap w:val="false"/>
          </w:tcPr>
          <w:p>
            <w:pPr>
              <w:pBdr/>
              <w:spacing/>
              <w:ind/>
              <w:rPr/>
            </w:pPr>
            <w:r>
              <w:t xml:space="preserve">Total Citations</w:t>
            </w:r>
            <w:r/>
          </w:p>
        </w:tc>
        <w:tc>
          <w:tcPr>
            <w:tcBorders/>
            <w:tcW w:w="4320" w:type="dxa"/>
            <w:textDirection w:val="lrTb"/>
            <w:noWrap w:val="false"/>
          </w:tcPr>
          <w:p>
            <w:pPr>
              <w:pBdr/>
              <w:spacing/>
              <w:ind/>
              <w:rPr/>
            </w:pPr>
            <w:r>
              <w:t xml:space="preserve">1.3 Billion</w:t>
            </w:r>
            <w:r/>
          </w:p>
        </w:tc>
      </w:tr>
      <w:tr>
        <w:trPr/>
        <w:tc>
          <w:tcPr>
            <w:tcBorders/>
            <w:tcW w:w="4320" w:type="dxa"/>
            <w:textDirection w:val="lrTb"/>
            <w:noWrap w:val="false"/>
          </w:tcPr>
          <w:p>
            <w:pPr>
              <w:pBdr/>
              <w:spacing/>
              <w:ind/>
              <w:rPr/>
            </w:pPr>
            <w:r>
              <w:t xml:space="preserve">Analysis Date</w:t>
            </w:r>
            <w:r/>
          </w:p>
        </w:tc>
        <w:tc>
          <w:tcPr>
            <w:tcBorders/>
            <w:tcW w:w="4320" w:type="dxa"/>
            <w:textDirection w:val="lrTb"/>
            <w:noWrap w:val="false"/>
          </w:tcPr>
          <w:p>
            <w:pPr>
              <w:pBdr/>
              <w:spacing/>
              <w:ind/>
              <w:rPr/>
            </w:pPr>
            <w:r>
              <w:t xml:space="preserve">November 30, 2025</w:t>
            </w:r>
            <w:r/>
          </w:p>
        </w:tc>
      </w:tr>
      <w:tr>
        <w:trPr/>
        <w:tc>
          <w:tcPr>
            <w:tcBorders/>
            <w:tcW w:w="4320" w:type="dxa"/>
            <w:textDirection w:val="lrTb"/>
            <w:noWrap w:val="false"/>
          </w:tcPr>
          <w:p>
            <w:pPr>
              <w:pBdr/>
              <w:spacing/>
              <w:ind/>
              <w:rPr/>
            </w:pPr>
            <w:r>
              <w:t xml:space="preserve">Prepared For</w:t>
            </w:r>
            <w:r/>
          </w:p>
        </w:tc>
        <w:tc>
          <w:tcPr>
            <w:tcBorders/>
            <w:tcW w:w="4320" w:type="dxa"/>
            <w:textDirection w:val="lrTb"/>
            <w:noWrap w:val="false"/>
          </w:tcPr>
          <w:p>
            <w:pPr>
              <w:pBdr/>
              <w:spacing/>
              <w:ind/>
              <w:rPr/>
            </w:pPr>
            <w:r>
              <w:t xml:space="preserve">PAIU-OPSA, IISc Bangalore</w:t>
            </w:r>
            <w:r/>
          </w:p>
        </w:tc>
      </w:tr>
    </w:tbl>
    <w:p>
      <w:pPr>
        <w:pBdr/>
        <w:spacing/>
        <w:ind/>
        <w:rPr/>
      </w:pPr>
      <w:r/>
      <w:r/>
    </w:p>
    <w:p>
      <w:pPr>
        <w:pBdr/>
        <w:spacing/>
        <w:ind/>
        <w:rPr/>
      </w:pPr>
      <w:r/>
      <w:r/>
    </w:p>
    <w:p>
      <w:pPr>
        <w:pBdr/>
        <w:spacing/>
        <w:ind/>
        <w:jc w:val="center"/>
        <w:rPr>
          <w:highlight w:val="none"/>
        </w:rPr>
      </w:pPr>
      <w:r>
        <w:rPr>
          <w:i/>
          <w:sz w:val="22"/>
        </w:rPr>
        <w:t xml:space="preserve">Project: Intern/Trainee Position</w:t>
        <w:br/>
        <w:t xml:space="preserve">Global Research Excellence Analysis</w:t>
      </w:r>
      <w:r>
        <w:rPr>
          <w:highlight w:val="none"/>
        </w:rPr>
      </w:r>
    </w:p>
    <w:p>
      <w:pPr>
        <w:pBdr/>
        <w:spacing/>
        <w:ind/>
        <w:jc w:val="center"/>
        <w:rPr/>
      </w:pPr>
      <w:r>
        <w:rPr>
          <w:highlight w:val="none"/>
        </w:rPr>
        <w:t xml:space="preserve">By: Darunesh R</w:t>
      </w:r>
      <w:r>
        <w:rPr>
          <w:highlight w:val="none"/>
        </w:rPr>
      </w:r>
      <w:r/>
    </w:p>
    <w:p>
      <w:pPr>
        <w:pBdr/>
        <w:spacing/>
        <w:ind/>
        <w:rPr>
          <w:b/>
          <w:bCs/>
        </w:rPr>
      </w:pPr>
      <w:r>
        <w:rPr>
          <w:b/>
          <w:bCs/>
        </w:rPr>
      </w:r>
      <w:r>
        <w:rPr>
          <w:b/>
          <w:bCs/>
          <w:color w:val="0b3d91"/>
        </w:rPr>
        <w:t xml:space="preserve">Executive Summary</w:t>
      </w:r>
      <w:r>
        <w:rPr>
          <w:b/>
          <w:bCs/>
        </w:rPr>
      </w:r>
      <w:r>
        <w:rPr>
          <w:b/>
          <w:bCs/>
        </w:rPr>
      </w:r>
    </w:p>
    <w:p>
      <w:pPr>
        <w:pBdr/>
        <w:spacing/>
        <w:ind/>
        <w:rPr/>
      </w:pPr>
      <w:r/>
      <w:r/>
    </w:p>
    <w:p>
      <w:pPr>
        <w:pStyle w:val="907"/>
        <w:pBdr/>
        <w:spacing/>
        <w:ind/>
        <w:rPr/>
      </w:pPr>
      <w:r>
        <w:t xml:space="preserve">This report presents </w:t>
      </w:r>
      <w:r>
        <w:t xml:space="preserve">a comprehensive analysis of global research output and impact across 17 leading nations over 23 years (2003–2025). The study employs Web of Science publications data and Category Normalized Citation Impact (CNCI) as the primary metric for research quality.</w:t>
      </w:r>
      <w:r/>
    </w:p>
    <w:p>
      <w:pPr>
        <w:pStyle w:val="907"/>
        <w:pBdr/>
        <w:spacing/>
        <w:ind/>
        <w:rPr/>
      </w:pPr>
      <w:r>
        <w:t xml:space="preserve">The analysis challenges conventional wisdom in several key areas:</w:t>
      </w:r>
      <w:r/>
    </w:p>
    <w:p>
      <w:pPr>
        <w:pStyle w:val="907"/>
        <w:pBdr/>
        <w:spacing/>
        <w:ind/>
        <w:rPr/>
      </w:pPr>
      <w:r>
        <w:t xml:space="preserve">1. Collaboration Paradox: While collaboration is widely promoted, our data reveals that only 40.8% of international collaborations actually increase normalized research impact. Average collaboration effect is negative (-0.077 CNCI).</w:t>
      </w:r>
      <w:r/>
    </w:p>
    <w:p>
      <w:pPr>
        <w:pStyle w:val="907"/>
        <w:pBdr/>
        <w:spacing/>
        <w:ind/>
        <w:rPr/>
      </w:pPr>
      <w:r>
        <w:t xml:space="preserve">2. Quality Over Quantity: Research output declined 4.7% from 2003–2005 to 2023–2025, yet average impact remained stable. This suggests a strategic pivot toward quality-focused research.</w:t>
      </w:r>
      <w:r/>
    </w:p>
    <w:p>
      <w:pPr>
        <w:pStyle w:val="907"/>
        <w:pBdr/>
        <w:spacing/>
        <w:ind/>
        <w:rPr/>
      </w:pPr>
      <w:r>
        <w:t xml:space="preserve">3. Excellence Concentration: Only 40% of records achieve above 2% representation in Top 1% citations, yet they account for 39% of total output.</w:t>
      </w:r>
      <w:r/>
    </w:p>
    <w:p>
      <w:pPr>
        <w:pStyle w:val="907"/>
        <w:pBdr/>
        <w:spacing/>
        <w:ind/>
        <w:rPr/>
      </w:pPr>
      <w:r>
        <w:t xml:space="preserve">4. Consistency in Performance: 85.5% of country-year records maintain above-world-average impact (CNCI &gt; 1.0), indicating exceptional global performance.</w:t>
      </w:r>
      <w:r/>
    </w:p>
    <w:p>
      <w:pPr>
        <w:pStyle w:val="907"/>
        <w:pBdr/>
        <w:spacing/>
        <w:ind/>
        <w:rPr/>
      </w:pPr>
      <w:r>
        <w:t xml:space="preserve">These findings provide actionable insights for research policymakers, institutional leaders, and funding agencies seeking to maximize research impact.</w:t>
      </w:r>
      <w:r/>
    </w:p>
    <w:p>
      <w:pPr>
        <w:pBdr/>
        <w:spacing/>
        <w:ind/>
        <w:rPr>
          <w:b/>
          <w:bCs/>
        </w:rPr>
      </w:pPr>
      <w:r>
        <w:rPr>
          <w:b/>
          <w:bCs/>
        </w:rPr>
      </w:r>
      <w:r>
        <w:rPr>
          <w:b/>
          <w:bCs/>
          <w:color w:val="0b3d91"/>
        </w:rPr>
        <w:t xml:space="preserve">Methodology</w:t>
      </w:r>
      <w:r>
        <w:rPr>
          <w:b/>
          <w:bCs/>
        </w:rPr>
      </w:r>
      <w:r>
        <w:rPr>
          <w:b/>
          <w:bCs/>
        </w:rPr>
      </w:r>
    </w:p>
    <w:p>
      <w:pPr>
        <w:pBdr/>
        <w:spacing/>
        <w:ind/>
        <w:rPr/>
      </w:pPr>
      <w:r/>
      <w:r/>
    </w:p>
    <w:p>
      <w:pPr>
        <w:pStyle w:val="875"/>
        <w:pBdr/>
        <w:spacing/>
        <w:ind/>
        <w:jc w:val="left"/>
        <w:rPr/>
      </w:pPr>
      <w:r>
        <w:rPr>
          <w:color w:val="1f77b4"/>
        </w:rPr>
        <w:t xml:space="preserve">Data Source</w:t>
      </w:r>
      <w:r/>
    </w:p>
    <w:p>
      <w:pPr>
        <w:pBdr/>
        <w:spacing/>
        <w:ind/>
        <w:rPr/>
      </w:pPr>
      <w:r>
        <w:t xml:space="preserve">Web of Science Publications Database (2003–2025)</w:t>
      </w:r>
      <w:r/>
    </w:p>
    <w:p>
      <w:pPr>
        <w:pStyle w:val="875"/>
        <w:pBdr/>
        <w:spacing/>
        <w:ind/>
        <w:jc w:val="left"/>
        <w:rPr/>
      </w:pPr>
      <w:r>
        <w:rPr>
          <w:color w:val="1f77b4"/>
        </w:rPr>
        <w:t xml:space="preserve">Geographic Scope</w:t>
      </w:r>
      <w:r/>
    </w:p>
    <w:p>
      <w:pPr>
        <w:pBdr/>
        <w:spacing/>
        <w:ind/>
        <w:rPr/>
      </w:pPr>
      <w:r>
        <w:t xml:space="preserve">17 leading research nations: Australia, Brazil, Canada, China, England, France, Germany, India, Italy, Japan, Netherlands, South Korea, Spain, Sweden, Switzerland, United Kingdom, USA</w:t>
      </w:r>
      <w:r/>
    </w:p>
    <w:p>
      <w:pPr>
        <w:pStyle w:val="875"/>
        <w:pBdr/>
        <w:spacing/>
        <w:ind/>
        <w:jc w:val="left"/>
        <w:rPr/>
      </w:pPr>
      <w:r>
        <w:rPr>
          <w:color w:val="1f77b4"/>
        </w:rPr>
        <w:t xml:space="preserve">Key Metric - CNCI (Category Normalized Citation Impact)</w:t>
      </w:r>
      <w:r/>
    </w:p>
    <w:p>
      <w:pPr>
        <w:pBdr/>
        <w:spacing/>
        <w:ind/>
        <w:rPr/>
      </w:pPr>
      <w:r>
        <w:t xml:space="preserve">CNCI is a field-normalized metric where 1.0 represents the world average citation impact for a research category. Values above 1.0 indicate above-average impact; values below 1.0 indicate below-average impact.</w:t>
      </w:r>
      <w:r/>
    </w:p>
    <w:p>
      <w:pPr>
        <w:pStyle w:val="875"/>
        <w:pBdr/>
        <w:spacing/>
        <w:ind/>
        <w:jc w:val="left"/>
        <w:rPr/>
      </w:pPr>
      <w:r>
        <w:rPr>
          <w:color w:val="1f77b4"/>
        </w:rPr>
        <w:t xml:space="preserve">Additional Metrics Analyzed</w:t>
      </w:r>
      <w:r/>
    </w:p>
    <w:p>
      <w:pPr>
        <w:pStyle w:val="904"/>
        <w:pBdr/>
        <w:spacing/>
        <w:ind/>
        <w:rPr/>
      </w:pPr>
      <w:r>
        <w:t xml:space="preserve">Times Cited: Total number of citations received</w:t>
      </w:r>
      <w:r/>
    </w:p>
    <w:p>
      <w:pPr>
        <w:pStyle w:val="904"/>
        <w:pBdr/>
        <w:spacing/>
        <w:ind/>
        <w:rPr/>
      </w:pPr>
      <w:r>
        <w:t xml:space="preserve">Documents in Top 1%: Percentage of papers in top 1% citation percentile</w:t>
      </w:r>
      <w:r/>
    </w:p>
    <w:p>
      <w:pPr>
        <w:pStyle w:val="904"/>
        <w:pBdr/>
        <w:spacing/>
        <w:ind/>
        <w:rPr/>
      </w:pPr>
      <w:r>
        <w:t xml:space="preserve">Documents in Top 10%: Percentage of papers in top 10% citation percentile</w:t>
      </w:r>
      <w:r/>
    </w:p>
    <w:p>
      <w:pPr>
        <w:pStyle w:val="904"/>
        <w:pBdr/>
        <w:spacing/>
        <w:ind/>
        <w:rPr/>
      </w:pPr>
      <w:r>
        <w:t xml:space="preserve">Collaboration CNCI: Normalized impact of collaborative publications</w:t>
      </w:r>
      <w:r/>
    </w:p>
    <w:p>
      <w:pPr>
        <w:pStyle w:val="875"/>
        <w:pBdr/>
        <w:spacing/>
        <w:ind/>
        <w:jc w:val="left"/>
        <w:rPr/>
      </w:pPr>
      <w:r>
        <w:rPr>
          <w:color w:val="1f77b4"/>
        </w:rPr>
        <w:t xml:space="preserve">Analysis Approach</w:t>
      </w:r>
      <w:r/>
    </w:p>
    <w:p>
      <w:pPr>
        <w:pStyle w:val="904"/>
        <w:pBdr/>
        <w:spacing/>
        <w:ind/>
        <w:rPr/>
      </w:pPr>
      <w:r>
        <w:t xml:space="preserve">Data aggregation by country and year</w:t>
      </w:r>
      <w:r/>
    </w:p>
    <w:p>
      <w:pPr>
        <w:pStyle w:val="904"/>
        <w:pBdr/>
        <w:spacing/>
        <w:ind/>
        <w:rPr/>
      </w:pPr>
      <w:r>
        <w:t xml:space="preserve">Temporal trend analysis (2003–2025)</w:t>
      </w:r>
      <w:r/>
    </w:p>
    <w:p>
      <w:pPr>
        <w:pStyle w:val="904"/>
        <w:pBdr/>
        <w:spacing/>
        <w:ind/>
        <w:rPr/>
      </w:pPr>
      <w:r>
        <w:t xml:space="preserve">Correlation and regression analysis</w:t>
      </w:r>
      <w:r/>
    </w:p>
    <w:p>
      <w:pPr>
        <w:pStyle w:val="904"/>
        <w:pBdr/>
        <w:spacing/>
        <w:ind/>
        <w:rPr/>
      </w:pPr>
      <w:r>
        <w:t xml:space="preserve">Distribution analysis and outlier detection</w:t>
      </w:r>
      <w:r/>
    </w:p>
    <w:p>
      <w:pPr>
        <w:pStyle w:val="904"/>
        <w:pBdr/>
        <w:spacing/>
        <w:ind/>
        <w:rPr/>
      </w:pPr>
      <w:r>
        <w:t xml:space="preserve">Comparative country performance analysis</w:t>
      </w:r>
      <w:r/>
    </w:p>
    <w:p>
      <w:pPr>
        <w:pStyle w:val="904"/>
        <w:pBdr/>
        <w:spacing/>
        <w:ind/>
        <w:rPr/>
      </w:pPr>
      <w:r>
        <w:t xml:space="preserve">Collaboration impact assessment</w:t>
      </w:r>
      <w:r/>
    </w:p>
    <w:p>
      <w:pPr>
        <w:pBdr/>
        <w:spacing/>
        <w:ind/>
        <w:rPr>
          <w:b/>
          <w:bCs/>
        </w:rPr>
      </w:pPr>
      <w:r>
        <w:rPr>
          <w:b/>
          <w:bCs/>
          <w:color w:val="0b3d91"/>
        </w:rPr>
        <w:t xml:space="preserve">Finding 1: The Collaboration Paradox</w:t>
      </w:r>
      <w:r>
        <w:rPr>
          <w:b/>
          <w:bCs/>
        </w:rPr>
      </w:r>
      <w:r>
        <w:rPr>
          <w:b/>
          <w:bCs/>
        </w:rPr>
      </w:r>
    </w:p>
    <w:p>
      <w:pPr>
        <w:pStyle w:val="875"/>
        <w:pBdr/>
        <w:spacing/>
        <w:ind/>
        <w:jc w:val="left"/>
        <w:rPr/>
      </w:pPr>
      <w:r>
        <w:rPr>
          <w:color w:val="1f77b4"/>
        </w:rPr>
        <w:t xml:space="preserve">1.1 Finding</w:t>
      </w:r>
      <w:r/>
    </w:p>
    <w:p>
      <w:pPr>
        <w:pBdr/>
        <w:spacing/>
        <w:ind/>
        <w:rPr/>
      </w:pPr>
      <w:r>
        <w:t xml:space="preserve">While collaboration is widely considered a key success fa</w:t>
      </w:r>
      <w:r>
        <w:t xml:space="preserve">ctor in modern research, our analysis reveals a surprising finding: international collaborations do not automatically enhance normalized research impact. In fact, more than 59% of collaborative efforts show either no improvement or negative impact on CNCI.</w:t>
      </w:r>
      <w:r/>
    </w:p>
    <w:p>
      <w:pPr>
        <w:pStyle w:val="875"/>
        <w:pBdr/>
        <w:spacing/>
        <w:ind/>
        <w:jc w:val="left"/>
        <w:rPr/>
      </w:pPr>
      <w:r>
        <w:rPr>
          <w:color w:val="1f77b4"/>
        </w:rPr>
        <w:t xml:space="preserve">1.2 Hypothesis</w:t>
      </w:r>
      <w:r/>
    </w:p>
    <w:p>
      <w:pPr>
        <w:pBdr/>
        <w:spacing/>
        <w:ind/>
        <w:rPr/>
      </w:pPr>
      <w:r>
        <w:t xml:space="preserve">The quality and strategic alignment of resear</w:t>
      </w:r>
      <w:r>
        <w:t xml:space="preserve">ch partnerships matter significantly more than the mere quantity of collaborations. Some international partnerships may dilute research focus, spread resources thin, or involve misaligned research priorities, ultimately reducing the impact per publication.</w:t>
      </w:r>
      <w:r/>
    </w:p>
    <w:p>
      <w:pPr>
        <w:pStyle w:val="875"/>
        <w:pBdr/>
        <w:spacing/>
        <w:ind/>
        <w:jc w:val="left"/>
        <w:rPr/>
      </w:pPr>
      <w:r>
        <w:rPr>
          <w:color w:val="1f77b4"/>
        </w:rPr>
        <w:t xml:space="preserve">1.3 Proof - Quantitative Evidence</w:t>
      </w:r>
      <w:r/>
    </w:p>
    <w:tbl>
      <w:tblPr>
        <w:tblStyle w:val="950"/>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Metric</w:t>
            </w:r>
            <w:r/>
          </w:p>
        </w:tc>
        <w:tc>
          <w:tcPr>
            <w:tcBorders/>
            <w:tcW w:w="2880" w:type="dxa"/>
            <w:textDirection w:val="lrTb"/>
            <w:noWrap w:val="false"/>
          </w:tcPr>
          <w:p>
            <w:pPr>
              <w:pBdr/>
              <w:spacing/>
              <w:ind/>
              <w:rPr/>
            </w:pPr>
            <w:r>
              <w:t xml:space="preserve">Value</w:t>
            </w:r>
            <w:r/>
          </w:p>
        </w:tc>
        <w:tc>
          <w:tcPr>
            <w:tcBorders/>
            <w:tcW w:w="2880" w:type="dxa"/>
            <w:textDirection w:val="lrTb"/>
            <w:noWrap w:val="false"/>
          </w:tcPr>
          <w:p>
            <w:pPr>
              <w:pBdr/>
              <w:spacing/>
              <w:ind/>
              <w:rPr/>
            </w:pPr>
            <w:r>
              <w:t xml:space="preserve">Interpretation</w:t>
            </w:r>
            <w:r/>
          </w:p>
        </w:tc>
      </w:tr>
      <w:tr>
        <w:trPr/>
        <w:tc>
          <w:tcPr>
            <w:tcBorders/>
            <w:tcW w:w="2880" w:type="dxa"/>
            <w:textDirection w:val="lrTb"/>
            <w:noWrap w:val="false"/>
          </w:tcPr>
          <w:p>
            <w:pPr>
              <w:pBdr/>
              <w:spacing/>
              <w:ind/>
              <w:rPr/>
            </w:pPr>
            <w:r>
              <w:t xml:space="preserve">Total Records Analyzed</w:t>
            </w:r>
            <w:r/>
          </w:p>
        </w:tc>
        <w:tc>
          <w:tcPr>
            <w:tcBorders/>
            <w:tcW w:w="2880" w:type="dxa"/>
            <w:textDirection w:val="lrTb"/>
            <w:noWrap w:val="false"/>
          </w:tcPr>
          <w:p>
            <w:pPr>
              <w:pBdr/>
              <w:spacing/>
              <w:ind/>
              <w:rPr/>
            </w:pPr>
            <w:r>
              <w:t xml:space="preserve">1,000</w:t>
            </w:r>
            <w:r/>
          </w:p>
        </w:tc>
        <w:tc>
          <w:tcPr>
            <w:tcBorders/>
            <w:tcW w:w="2880" w:type="dxa"/>
            <w:textDirection w:val="lrTb"/>
            <w:noWrap w:val="false"/>
          </w:tcPr>
          <w:p>
            <w:pPr>
              <w:pBdr/>
              <w:spacing/>
              <w:ind/>
              <w:rPr/>
            </w:pPr>
            <w:r>
              <w:t xml:space="preserve">Country-year combinations across 23 years</w:t>
            </w:r>
            <w:r/>
          </w:p>
        </w:tc>
      </w:tr>
      <w:tr>
        <w:trPr/>
        <w:tc>
          <w:tcPr>
            <w:tcBorders/>
            <w:tcW w:w="2880" w:type="dxa"/>
            <w:textDirection w:val="lrTb"/>
            <w:noWrap w:val="false"/>
          </w:tcPr>
          <w:p>
            <w:pPr>
              <w:pBdr/>
              <w:spacing/>
              <w:ind/>
              <w:rPr/>
            </w:pPr>
            <w:r>
              <w:t xml:space="preserve">Collaborations that Improve CNCI</w:t>
            </w:r>
            <w:r/>
          </w:p>
        </w:tc>
        <w:tc>
          <w:tcPr>
            <w:tcBorders/>
            <w:tcW w:w="2880" w:type="dxa"/>
            <w:textDirection w:val="lrTb"/>
            <w:noWrap w:val="false"/>
          </w:tcPr>
          <w:p>
            <w:pPr>
              <w:pBdr/>
              <w:spacing/>
              <w:ind/>
              <w:rPr/>
            </w:pPr>
            <w:r>
              <w:t xml:space="preserve">408 (40.8%)</w:t>
            </w:r>
            <w:r/>
          </w:p>
        </w:tc>
        <w:tc>
          <w:tcPr>
            <w:tcBorders/>
            <w:tcW w:w="2880" w:type="dxa"/>
            <w:textDirection w:val="lrTb"/>
            <w:noWrap w:val="false"/>
          </w:tcPr>
          <w:p>
            <w:pPr>
              <w:pBdr/>
              <w:spacing/>
              <w:ind/>
              <w:rPr/>
            </w:pPr>
            <w:r>
              <w:t xml:space="preserve">Only 40.8% show positive impact</w:t>
            </w:r>
            <w:r/>
          </w:p>
        </w:tc>
      </w:tr>
      <w:tr>
        <w:trPr/>
        <w:tc>
          <w:tcPr>
            <w:tcBorders/>
            <w:tcW w:w="2880" w:type="dxa"/>
            <w:textDirection w:val="lrTb"/>
            <w:noWrap w:val="false"/>
          </w:tcPr>
          <w:p>
            <w:pPr>
              <w:pBdr/>
              <w:spacing/>
              <w:ind/>
              <w:rPr/>
            </w:pPr>
            <w:r>
              <w:t xml:space="preserve">Average Collaboration Effect</w:t>
            </w:r>
            <w:r/>
          </w:p>
        </w:tc>
        <w:tc>
          <w:tcPr>
            <w:tcBorders/>
            <w:tcW w:w="2880" w:type="dxa"/>
            <w:textDirection w:val="lrTb"/>
            <w:noWrap w:val="false"/>
          </w:tcPr>
          <w:p>
            <w:pPr>
              <w:pBdr/>
              <w:spacing/>
              <w:ind/>
              <w:rPr/>
            </w:pPr>
            <w:r>
              <w:t xml:space="preserve">-0.077 CNCI</w:t>
            </w:r>
            <w:r/>
          </w:p>
        </w:tc>
        <w:tc>
          <w:tcPr>
            <w:tcBorders/>
            <w:tcW w:w="2880" w:type="dxa"/>
            <w:textDirection w:val="lrTb"/>
            <w:noWrap w:val="false"/>
          </w:tcPr>
          <w:p>
            <w:pPr>
              <w:pBdr/>
              <w:spacing/>
              <w:ind/>
              <w:rPr/>
            </w:pPr>
            <w:r>
              <w:t xml:space="preserve">Average negative impact</w:t>
            </w:r>
            <w:r/>
          </w:p>
        </w:tc>
      </w:tr>
      <w:tr>
        <w:trPr/>
        <w:tc>
          <w:tcPr>
            <w:tcBorders/>
            <w:tcW w:w="2880" w:type="dxa"/>
            <w:textDirection w:val="lrTb"/>
            <w:noWrap w:val="false"/>
          </w:tcPr>
          <w:p>
            <w:pPr>
              <w:pBdr/>
              <w:spacing/>
              <w:ind/>
              <w:rPr/>
            </w:pPr>
            <w:r>
              <w:t xml:space="preserve">Max Positive Effect</w:t>
            </w:r>
            <w:r/>
          </w:p>
        </w:tc>
        <w:tc>
          <w:tcPr>
            <w:tcBorders/>
            <w:tcW w:w="2880" w:type="dxa"/>
            <w:textDirection w:val="lrTb"/>
            <w:noWrap w:val="false"/>
          </w:tcPr>
          <w:p>
            <w:pPr>
              <w:pBdr/>
              <w:spacing/>
              <w:ind/>
              <w:rPr/>
            </w:pPr>
            <w:r>
              <w:t xml:space="preserve">0.680 CNCI</w:t>
            </w:r>
            <w:r/>
          </w:p>
        </w:tc>
        <w:tc>
          <w:tcPr>
            <w:tcBorders/>
            <w:tcW w:w="2880" w:type="dxa"/>
            <w:textDirection w:val="lrTb"/>
            <w:noWrap w:val="false"/>
          </w:tcPr>
          <w:p>
            <w:pPr>
              <w:pBdr/>
              <w:spacing/>
              <w:ind/>
              <w:rPr/>
            </w:pPr>
            <w:r>
              <w:t xml:space="preserve">Best-case collaboration benefit</w:t>
            </w:r>
            <w:r/>
          </w:p>
        </w:tc>
      </w:tr>
      <w:tr>
        <w:trPr/>
        <w:tc>
          <w:tcPr>
            <w:tcBorders/>
            <w:tcW w:w="2880" w:type="dxa"/>
            <w:textDirection w:val="lrTb"/>
            <w:noWrap w:val="false"/>
          </w:tcPr>
          <w:p>
            <w:pPr>
              <w:pBdr/>
              <w:spacing/>
              <w:ind/>
              <w:rPr/>
            </w:pPr>
            <w:r>
              <w:t xml:space="preserve">Max Negative Effect</w:t>
            </w:r>
            <w:r/>
          </w:p>
        </w:tc>
        <w:tc>
          <w:tcPr>
            <w:tcBorders/>
            <w:tcW w:w="2880" w:type="dxa"/>
            <w:textDirection w:val="lrTb"/>
            <w:noWrap w:val="false"/>
          </w:tcPr>
          <w:p>
            <w:pPr>
              <w:pBdr/>
              <w:spacing/>
              <w:ind/>
              <w:rPr/>
            </w:pPr>
            <w:r>
              <w:t xml:space="preserve">-0.897 CNCI</w:t>
            </w:r>
            <w:r/>
          </w:p>
        </w:tc>
        <w:tc>
          <w:tcPr>
            <w:tcBorders/>
            <w:tcW w:w="2880" w:type="dxa"/>
            <w:textDirection w:val="lrTb"/>
            <w:noWrap w:val="false"/>
          </w:tcPr>
          <w:p>
            <w:pPr>
              <w:pBdr/>
              <w:spacing/>
              <w:ind/>
              <w:rPr/>
            </w:pPr>
            <w:r>
              <w:t xml:space="preserve">Worst-case collaboration penalty</w:t>
            </w:r>
            <w:r/>
          </w:p>
        </w:tc>
      </w:tr>
      <w:tr>
        <w:trPr/>
        <w:tc>
          <w:tcPr>
            <w:tcBorders/>
            <w:tcW w:w="2880" w:type="dxa"/>
            <w:textDirection w:val="lrTb"/>
            <w:noWrap w:val="false"/>
          </w:tcPr>
          <w:p>
            <w:pPr>
              <w:pBdr/>
              <w:spacing/>
              <w:ind/>
              <w:rPr/>
            </w:pPr>
            <w:r>
              <w:t xml:space="preserve">Std Dev of Collab Effect</w:t>
            </w:r>
            <w:r/>
          </w:p>
        </w:tc>
        <w:tc>
          <w:tcPr>
            <w:tcBorders/>
            <w:tcW w:w="2880" w:type="dxa"/>
            <w:textDirection w:val="lrTb"/>
            <w:noWrap w:val="false"/>
          </w:tcPr>
          <w:p>
            <w:pPr>
              <w:pBdr/>
              <w:spacing/>
              <w:ind/>
              <w:rPr/>
            </w:pPr>
            <w:r>
              <w:t xml:space="preserve">0.332</w:t>
            </w:r>
            <w:r/>
          </w:p>
        </w:tc>
        <w:tc>
          <w:tcPr>
            <w:tcBorders/>
            <w:tcW w:w="2880" w:type="dxa"/>
            <w:textDirection w:val="lrTb"/>
            <w:noWrap w:val="false"/>
          </w:tcPr>
          <w:p>
            <w:pPr>
              <w:pBdr/>
              <w:spacing/>
              <w:ind/>
              <w:rPr/>
            </w:pPr>
            <w:r>
              <w:t xml:space="preserve">High variability in outcomes</w:t>
            </w:r>
            <w:r/>
          </w:p>
        </w:tc>
      </w:tr>
    </w:tbl>
    <w:p>
      <w:pPr>
        <w:pBdr/>
        <w:spacing/>
        <w:ind/>
        <w:rPr/>
      </w:pPr>
      <w:r/>
      <w:r/>
    </w:p>
    <w:p>
      <w:pPr>
        <w:pBdr/>
        <w:spacing/>
        <w:ind/>
        <w:rPr/>
      </w:pPr>
      <w:r>
        <w:t xml:space="preserve">The data clearly demonstrates that collaboration, while often promoted as beneficial, does not universally improve research </w:t>
      </w:r>
      <w:r>
        <w:t xml:space="preserve">impact. The average negative effect of -0.077 CNCI suggests that many collaborations may introduce inefficiencies or misalignment. This is a critical finding that contradicts the "more collaboration is always better" narrative prevalent in academic policy.</w:t>
      </w:r>
      <w:r/>
    </w:p>
    <w:p>
      <w:pPr>
        <w:pStyle w:val="875"/>
        <w:pBdr/>
        <w:spacing/>
        <w:ind/>
        <w:jc w:val="left"/>
        <w:rPr/>
      </w:pPr>
      <w:r>
        <w:rPr>
          <w:color w:val="1f77b4"/>
        </w:rPr>
        <w:t xml:space="preserve">1.4 Answer / Implication</w:t>
      </w:r>
      <w:r/>
    </w:p>
    <w:p>
      <w:pPr>
        <w:pBdr/>
        <w:spacing/>
        <w:ind/>
        <w:rPr/>
      </w:pPr>
      <w:r>
        <w:rPr>
          <w:b/>
          <w:i w:val="0"/>
          <w:color w:val="c41e3a"/>
          <w:sz w:val="22"/>
        </w:rPr>
        <w:t xml:space="preserve">Strategic Recommendation: Research institutions and funding agencies should shift from promoting collaboration quantity to emphasizing collaboration quality. Collaborative partnerships should be formed based on strategic alig</w:t>
      </w:r>
      <w:r>
        <w:rPr>
          <w:b/>
          <w:i w:val="0"/>
          <w:color w:val="c41e3a"/>
          <w:sz w:val="22"/>
        </w:rPr>
        <w:t xml:space="preserve">nment, complementary expertise, and clear mutual benefit rather than simply increasing the number of international partnerships. Pre-collaboration assessments should evaluate compatibility of research goals and approaches to ensure productive partnerships.</w:t>
      </w:r>
      <w:r/>
    </w:p>
    <w:p>
      <w:pPr>
        <w:pBdr/>
        <w:spacing/>
        <w:ind/>
        <w:rPr/>
      </w:pPr>
      <w:r>
        <w:br w:type="page" w:clear="all"/>
      </w:r>
      <w:r/>
    </w:p>
    <w:p>
      <w:pPr>
        <w:pStyle w:val="874"/>
        <w:pBdr/>
        <w:spacing/>
        <w:ind/>
        <w:jc w:val="left"/>
        <w:rPr/>
      </w:pPr>
      <w:r>
        <w:rPr>
          <w:color w:val="0b3d91"/>
        </w:rPr>
        <w:t xml:space="preserve">Finding 2: Quality Outperforms Quantity in Research Impact</w:t>
      </w:r>
      <w:r/>
    </w:p>
    <w:p>
      <w:pPr>
        <w:pStyle w:val="875"/>
        <w:pBdr/>
        <w:spacing/>
        <w:ind/>
        <w:jc w:val="left"/>
        <w:rPr/>
      </w:pPr>
      <w:r>
        <w:rPr>
          <w:color w:val="1f77b4"/>
        </w:rPr>
        <w:t xml:space="preserve">2.1 Finding</w:t>
      </w:r>
      <w:r/>
    </w:p>
    <w:p>
      <w:pPr>
        <w:pBdr/>
        <w:spacing/>
        <w:ind/>
        <w:rPr/>
      </w:pPr>
      <w:r>
        <w:t xml:space="preserve">Publi</w:t>
      </w:r>
      <w:r>
        <w:t xml:space="preserve">cation volume does not correlate directly with normalized research impact. Countries with moderate publication rates often achieve higher average CNCI than high-volume publishers. This finding suggests that research quality is the primary driver of impact.</w:t>
      </w:r>
      <w:r/>
    </w:p>
    <w:p>
      <w:pPr>
        <w:pStyle w:val="875"/>
        <w:pBdr/>
        <w:spacing/>
        <w:ind/>
        <w:jc w:val="left"/>
        <w:rPr/>
      </w:pPr>
      <w:r>
        <w:rPr>
          <w:color w:val="1f77b4"/>
        </w:rPr>
        <w:t xml:space="preserve">2.2 Hypothesis</w:t>
      </w:r>
      <w:r/>
    </w:p>
    <w:p>
      <w:pPr>
        <w:pBdr/>
        <w:spacing/>
        <w:ind/>
        <w:rPr/>
      </w:pPr>
      <w:r>
        <w:t xml:space="preserve">Research systems that prioritize quality through</w:t>
      </w:r>
      <w:r>
        <w:t xml:space="preserve"> rigorous peer review, strategic research focus, and resource concentration on high-impact projects achieve better impact metrics than systems that prioritize volume. This reflects a fundamental tradeoff between quantity and quality in resource allocation.</w:t>
      </w:r>
      <w:r/>
    </w:p>
    <w:p>
      <w:pPr>
        <w:pStyle w:val="875"/>
        <w:pBdr/>
        <w:spacing/>
        <w:ind/>
        <w:jc w:val="left"/>
        <w:rPr/>
      </w:pPr>
      <w:r>
        <w:rPr>
          <w:color w:val="1f77b4"/>
        </w:rPr>
        <w:t xml:space="preserve">2.3 Proof - Country Performance Analysis</w:t>
      </w:r>
      <w:r/>
    </w:p>
    <w:p>
      <w:pPr>
        <w:pStyle w:val="876"/>
        <w:pBdr/>
        <w:spacing/>
        <w:ind/>
        <w:rPr/>
      </w:pPr>
      <w:r>
        <w:t xml:space="preserve">Top 5 Countries by Quality (Average CNCI):</w:t>
      </w:r>
      <w:r/>
    </w:p>
    <w:tbl>
      <w:tblPr>
        <w:tblStyle w:val="950"/>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Country</w:t>
            </w:r>
            <w:r/>
          </w:p>
        </w:tc>
        <w:tc>
          <w:tcPr>
            <w:tcBorders/>
            <w:tcW w:w="2880" w:type="dxa"/>
            <w:textDirection w:val="lrTb"/>
            <w:noWrap w:val="false"/>
          </w:tcPr>
          <w:p>
            <w:pPr>
              <w:pBdr/>
              <w:spacing/>
              <w:ind/>
              <w:rPr/>
            </w:pPr>
            <w:r>
              <w:t xml:space="preserve">Avg CNCI</w:t>
            </w:r>
            <w:r/>
          </w:p>
        </w:tc>
        <w:tc>
          <w:tcPr>
            <w:tcBorders/>
            <w:tcW w:w="2880" w:type="dxa"/>
            <w:textDirection w:val="lrTb"/>
            <w:noWrap w:val="false"/>
          </w:tcPr>
          <w:p>
            <w:pPr>
              <w:pBdr/>
              <w:spacing/>
              <w:ind/>
              <w:rPr/>
            </w:pPr>
            <w:r>
              <w:t xml:space="preserve">Total Publications</w:t>
            </w:r>
            <w:r/>
          </w:p>
        </w:tc>
      </w:tr>
      <w:tr>
        <w:trPr/>
        <w:tc>
          <w:tcPr>
            <w:tcBorders/>
            <w:tcW w:w="2880" w:type="dxa"/>
            <w:textDirection w:val="lrTb"/>
            <w:noWrap w:val="false"/>
          </w:tcPr>
          <w:p>
            <w:pPr>
              <w:pBdr/>
              <w:spacing/>
              <w:ind/>
              <w:rPr/>
            </w:pPr>
            <w:r>
              <w:t xml:space="preserve">JAPAN</w:t>
            </w:r>
            <w:r/>
          </w:p>
        </w:tc>
        <w:tc>
          <w:tcPr>
            <w:tcBorders/>
            <w:tcW w:w="2880" w:type="dxa"/>
            <w:textDirection w:val="lrTb"/>
            <w:noWrap w:val="false"/>
          </w:tcPr>
          <w:p>
            <w:pPr>
              <w:pBdr/>
              <w:spacing/>
              <w:ind/>
              <w:rPr/>
            </w:pPr>
            <w:r>
              <w:t xml:space="preserve">1.364</w:t>
            </w:r>
            <w:r/>
          </w:p>
        </w:tc>
        <w:tc>
          <w:tcPr>
            <w:tcBorders/>
            <w:tcW w:w="2880" w:type="dxa"/>
            <w:textDirection w:val="lrTb"/>
            <w:noWrap w:val="false"/>
          </w:tcPr>
          <w:p>
            <w:pPr>
              <w:pBdr/>
              <w:spacing/>
              <w:ind/>
              <w:rPr/>
            </w:pPr>
            <w:r>
              <w:t xml:space="preserve">865,418</w:t>
            </w:r>
            <w:r/>
          </w:p>
        </w:tc>
      </w:tr>
      <w:tr>
        <w:trPr/>
        <w:tc>
          <w:tcPr>
            <w:tcBorders/>
            <w:tcW w:w="2880" w:type="dxa"/>
            <w:textDirection w:val="lrTb"/>
            <w:noWrap w:val="false"/>
          </w:tcPr>
          <w:p>
            <w:pPr>
              <w:pBdr/>
              <w:spacing/>
              <w:ind/>
              <w:rPr/>
            </w:pPr>
            <w:r>
              <w:t xml:space="preserve">ITALY</w:t>
            </w:r>
            <w:r/>
          </w:p>
        </w:tc>
        <w:tc>
          <w:tcPr>
            <w:tcBorders/>
            <w:tcW w:w="2880" w:type="dxa"/>
            <w:textDirection w:val="lrTb"/>
            <w:noWrap w:val="false"/>
          </w:tcPr>
          <w:p>
            <w:pPr>
              <w:pBdr/>
              <w:spacing/>
              <w:ind/>
              <w:rPr/>
            </w:pPr>
            <w:r>
              <w:t xml:space="preserve">1.330</w:t>
            </w:r>
            <w:r/>
          </w:p>
        </w:tc>
        <w:tc>
          <w:tcPr>
            <w:tcBorders/>
            <w:tcW w:w="2880" w:type="dxa"/>
            <w:textDirection w:val="lrTb"/>
            <w:noWrap w:val="false"/>
          </w:tcPr>
          <w:p>
            <w:pPr>
              <w:pBdr/>
              <w:spacing/>
              <w:ind/>
              <w:rPr/>
            </w:pPr>
            <w:r>
              <w:t xml:space="preserve">926,901</w:t>
            </w:r>
            <w:r/>
          </w:p>
        </w:tc>
      </w:tr>
      <w:tr>
        <w:trPr/>
        <w:tc>
          <w:tcPr>
            <w:tcBorders/>
            <w:tcW w:w="2880" w:type="dxa"/>
            <w:textDirection w:val="lrTb"/>
            <w:noWrap w:val="false"/>
          </w:tcPr>
          <w:p>
            <w:pPr>
              <w:pBdr/>
              <w:spacing/>
              <w:ind/>
              <w:rPr/>
            </w:pPr>
            <w:r>
              <w:t xml:space="preserve">SPAIN</w:t>
            </w:r>
            <w:r/>
          </w:p>
        </w:tc>
        <w:tc>
          <w:tcPr>
            <w:tcBorders/>
            <w:tcW w:w="2880" w:type="dxa"/>
            <w:textDirection w:val="lrTb"/>
            <w:noWrap w:val="false"/>
          </w:tcPr>
          <w:p>
            <w:pPr>
              <w:pBdr/>
              <w:spacing/>
              <w:ind/>
              <w:rPr/>
            </w:pPr>
            <w:r>
              <w:t xml:space="preserve">1.330</w:t>
            </w:r>
            <w:r/>
          </w:p>
        </w:tc>
        <w:tc>
          <w:tcPr>
            <w:tcBorders/>
            <w:tcW w:w="2880" w:type="dxa"/>
            <w:textDirection w:val="lrTb"/>
            <w:noWrap w:val="false"/>
          </w:tcPr>
          <w:p>
            <w:pPr>
              <w:pBdr/>
              <w:spacing/>
              <w:ind/>
              <w:rPr/>
            </w:pPr>
            <w:r>
              <w:t xml:space="preserve">1,091,687</w:t>
            </w:r>
            <w:r/>
          </w:p>
        </w:tc>
      </w:tr>
      <w:tr>
        <w:trPr/>
        <w:tc>
          <w:tcPr>
            <w:tcBorders/>
            <w:tcW w:w="2880" w:type="dxa"/>
            <w:textDirection w:val="lrTb"/>
            <w:noWrap w:val="false"/>
          </w:tcPr>
          <w:p>
            <w:pPr>
              <w:pBdr/>
              <w:spacing/>
              <w:ind/>
              <w:rPr/>
            </w:pPr>
            <w:r>
              <w:t xml:space="preserve">SOUTH KOREA</w:t>
            </w:r>
            <w:r/>
          </w:p>
        </w:tc>
        <w:tc>
          <w:tcPr>
            <w:tcBorders/>
            <w:tcW w:w="2880" w:type="dxa"/>
            <w:textDirection w:val="lrTb"/>
            <w:noWrap w:val="false"/>
          </w:tcPr>
          <w:p>
            <w:pPr>
              <w:pBdr/>
              <w:spacing/>
              <w:ind/>
              <w:rPr/>
            </w:pPr>
            <w:r>
              <w:t xml:space="preserve">1.318</w:t>
            </w:r>
            <w:r/>
          </w:p>
        </w:tc>
        <w:tc>
          <w:tcPr>
            <w:tcBorders/>
            <w:tcW w:w="2880" w:type="dxa"/>
            <w:textDirection w:val="lrTb"/>
            <w:noWrap w:val="false"/>
          </w:tcPr>
          <w:p>
            <w:pPr>
              <w:pBdr/>
              <w:spacing/>
              <w:ind/>
              <w:rPr/>
            </w:pPr>
            <w:r>
              <w:t xml:space="preserve">804,870</w:t>
            </w:r>
            <w:r/>
          </w:p>
        </w:tc>
      </w:tr>
      <w:tr>
        <w:trPr/>
        <w:tc>
          <w:tcPr>
            <w:tcBorders/>
            <w:tcW w:w="2880" w:type="dxa"/>
            <w:textDirection w:val="lrTb"/>
            <w:noWrap w:val="false"/>
          </w:tcPr>
          <w:p>
            <w:pPr>
              <w:pBdr/>
              <w:spacing/>
              <w:ind/>
              <w:rPr/>
            </w:pPr>
            <w:r>
              <w:t xml:space="preserve">CANADA</w:t>
            </w:r>
            <w:r/>
          </w:p>
        </w:tc>
        <w:tc>
          <w:tcPr>
            <w:tcBorders/>
            <w:tcW w:w="2880" w:type="dxa"/>
            <w:textDirection w:val="lrTb"/>
            <w:noWrap w:val="false"/>
          </w:tcPr>
          <w:p>
            <w:pPr>
              <w:pBdr/>
              <w:spacing/>
              <w:ind/>
              <w:rPr/>
            </w:pPr>
            <w:r>
              <w:t xml:space="preserve">1.313</w:t>
            </w:r>
            <w:r/>
          </w:p>
        </w:tc>
        <w:tc>
          <w:tcPr>
            <w:tcBorders/>
            <w:tcW w:w="2880" w:type="dxa"/>
            <w:textDirection w:val="lrTb"/>
            <w:noWrap w:val="false"/>
          </w:tcPr>
          <w:p>
            <w:pPr>
              <w:pBdr/>
              <w:spacing/>
              <w:ind/>
              <w:rPr/>
            </w:pPr>
            <w:r>
              <w:t xml:space="preserve">976,080</w:t>
            </w:r>
            <w:r/>
          </w:p>
        </w:tc>
      </w:tr>
    </w:tbl>
    <w:p>
      <w:pPr>
        <w:pBdr/>
        <w:spacing/>
        <w:ind/>
        <w:rPr/>
      </w:pPr>
      <w:r/>
      <w:r/>
    </w:p>
    <w:p>
      <w:pPr>
        <w:pStyle w:val="876"/>
        <w:pBdr/>
        <w:spacing/>
        <w:ind/>
        <w:rPr/>
      </w:pPr>
      <w:r>
        <w:t xml:space="preserve">Top 5 Countries by Publication Volume:</w:t>
      </w:r>
      <w:r/>
    </w:p>
    <w:tbl>
      <w:tblPr>
        <w:tblStyle w:val="950"/>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Country</w:t>
            </w:r>
            <w:r/>
          </w:p>
        </w:tc>
        <w:tc>
          <w:tcPr>
            <w:tcBorders/>
            <w:tcW w:w="2880" w:type="dxa"/>
            <w:textDirection w:val="lrTb"/>
            <w:noWrap w:val="false"/>
          </w:tcPr>
          <w:p>
            <w:pPr>
              <w:pBdr/>
              <w:spacing/>
              <w:ind/>
              <w:rPr/>
            </w:pPr>
            <w:r>
              <w:t xml:space="preserve">Total Publications</w:t>
            </w:r>
            <w:r/>
          </w:p>
        </w:tc>
        <w:tc>
          <w:tcPr>
            <w:tcBorders/>
            <w:tcW w:w="2880" w:type="dxa"/>
            <w:textDirection w:val="lrTb"/>
            <w:noWrap w:val="false"/>
          </w:tcPr>
          <w:p>
            <w:pPr>
              <w:pBdr/>
              <w:spacing/>
              <w:ind/>
              <w:rPr/>
            </w:pPr>
            <w:r>
              <w:t xml:space="preserve">Avg CNCI</w:t>
            </w:r>
            <w:r/>
          </w:p>
        </w:tc>
      </w:tr>
      <w:tr>
        <w:trPr/>
        <w:tc>
          <w:tcPr>
            <w:tcBorders/>
            <w:tcW w:w="2880" w:type="dxa"/>
            <w:textDirection w:val="lrTb"/>
            <w:noWrap w:val="false"/>
          </w:tcPr>
          <w:p>
            <w:pPr>
              <w:pBdr/>
              <w:spacing/>
              <w:ind/>
              <w:rPr/>
            </w:pPr>
            <w:r>
              <w:t xml:space="preserve">SPAIN</w:t>
            </w:r>
            <w:r/>
          </w:p>
        </w:tc>
        <w:tc>
          <w:tcPr>
            <w:tcBorders/>
            <w:tcW w:w="2880" w:type="dxa"/>
            <w:textDirection w:val="lrTb"/>
            <w:noWrap w:val="false"/>
          </w:tcPr>
          <w:p>
            <w:pPr>
              <w:pBdr/>
              <w:spacing/>
              <w:ind/>
              <w:rPr/>
            </w:pPr>
            <w:r>
              <w:t xml:space="preserve">1,091,687</w:t>
            </w:r>
            <w:r/>
          </w:p>
        </w:tc>
        <w:tc>
          <w:tcPr>
            <w:tcBorders/>
            <w:tcW w:w="2880" w:type="dxa"/>
            <w:textDirection w:val="lrTb"/>
            <w:noWrap w:val="false"/>
          </w:tcPr>
          <w:p>
            <w:pPr>
              <w:pBdr/>
              <w:spacing/>
              <w:ind/>
              <w:rPr/>
            </w:pPr>
            <w:r>
              <w:t xml:space="preserve">1.330</w:t>
            </w:r>
            <w:r/>
          </w:p>
        </w:tc>
      </w:tr>
      <w:tr>
        <w:trPr/>
        <w:tc>
          <w:tcPr>
            <w:tcBorders/>
            <w:tcW w:w="2880" w:type="dxa"/>
            <w:textDirection w:val="lrTb"/>
            <w:noWrap w:val="false"/>
          </w:tcPr>
          <w:p>
            <w:pPr>
              <w:pBdr/>
              <w:spacing/>
              <w:ind/>
              <w:rPr/>
            </w:pPr>
            <w:r>
              <w:t xml:space="preserve">BRAZIL</w:t>
            </w:r>
            <w:r/>
          </w:p>
        </w:tc>
        <w:tc>
          <w:tcPr>
            <w:tcBorders/>
            <w:tcW w:w="2880" w:type="dxa"/>
            <w:textDirection w:val="lrTb"/>
            <w:noWrap w:val="false"/>
          </w:tcPr>
          <w:p>
            <w:pPr>
              <w:pBdr/>
              <w:spacing/>
              <w:ind/>
              <w:rPr/>
            </w:pPr>
            <w:r>
              <w:t xml:space="preserve">1,086,793</w:t>
            </w:r>
            <w:r/>
          </w:p>
        </w:tc>
        <w:tc>
          <w:tcPr>
            <w:tcBorders/>
            <w:tcW w:w="2880" w:type="dxa"/>
            <w:textDirection w:val="lrTb"/>
            <w:noWrap w:val="false"/>
          </w:tcPr>
          <w:p>
            <w:pPr>
              <w:pBdr/>
              <w:spacing/>
              <w:ind/>
              <w:rPr/>
            </w:pPr>
            <w:r>
              <w:t xml:space="preserve">1.270</w:t>
            </w:r>
            <w:r/>
          </w:p>
        </w:tc>
      </w:tr>
      <w:tr>
        <w:trPr/>
        <w:tc>
          <w:tcPr>
            <w:tcBorders/>
            <w:tcW w:w="2880" w:type="dxa"/>
            <w:textDirection w:val="lrTb"/>
            <w:noWrap w:val="false"/>
          </w:tcPr>
          <w:p>
            <w:pPr>
              <w:pBdr/>
              <w:spacing/>
              <w:ind/>
              <w:rPr/>
            </w:pPr>
            <w:r>
              <w:t xml:space="preserve">CANADA</w:t>
            </w:r>
            <w:r/>
          </w:p>
        </w:tc>
        <w:tc>
          <w:tcPr>
            <w:tcBorders/>
            <w:tcW w:w="2880" w:type="dxa"/>
            <w:textDirection w:val="lrTb"/>
            <w:noWrap w:val="false"/>
          </w:tcPr>
          <w:p>
            <w:pPr>
              <w:pBdr/>
              <w:spacing/>
              <w:ind/>
              <w:rPr/>
            </w:pPr>
            <w:r>
              <w:t xml:space="preserve">976,080</w:t>
            </w:r>
            <w:r/>
          </w:p>
        </w:tc>
        <w:tc>
          <w:tcPr>
            <w:tcBorders/>
            <w:tcW w:w="2880" w:type="dxa"/>
            <w:textDirection w:val="lrTb"/>
            <w:noWrap w:val="false"/>
          </w:tcPr>
          <w:p>
            <w:pPr>
              <w:pBdr/>
              <w:spacing/>
              <w:ind/>
              <w:rPr/>
            </w:pPr>
            <w:r>
              <w:t xml:space="preserve">1.313</w:t>
            </w:r>
            <w:r/>
          </w:p>
        </w:tc>
      </w:tr>
      <w:tr>
        <w:trPr/>
        <w:tc>
          <w:tcPr>
            <w:tcBorders/>
            <w:tcW w:w="2880" w:type="dxa"/>
            <w:textDirection w:val="lrTb"/>
            <w:noWrap w:val="false"/>
          </w:tcPr>
          <w:p>
            <w:pPr>
              <w:pBdr/>
              <w:spacing/>
              <w:ind/>
              <w:rPr/>
            </w:pPr>
            <w:r>
              <w:t xml:space="preserve">SWITZERLAND</w:t>
            </w:r>
            <w:r/>
          </w:p>
        </w:tc>
        <w:tc>
          <w:tcPr>
            <w:tcBorders/>
            <w:tcW w:w="2880" w:type="dxa"/>
            <w:textDirection w:val="lrTb"/>
            <w:noWrap w:val="false"/>
          </w:tcPr>
          <w:p>
            <w:pPr>
              <w:pBdr/>
              <w:spacing/>
              <w:ind/>
              <w:rPr/>
            </w:pPr>
            <w:r>
              <w:t xml:space="preserve">966,760</w:t>
            </w:r>
            <w:r/>
          </w:p>
        </w:tc>
        <w:tc>
          <w:tcPr>
            <w:tcBorders/>
            <w:tcW w:w="2880" w:type="dxa"/>
            <w:textDirection w:val="lrTb"/>
            <w:noWrap w:val="false"/>
          </w:tcPr>
          <w:p>
            <w:pPr>
              <w:pBdr/>
              <w:spacing/>
              <w:ind/>
              <w:rPr/>
            </w:pPr>
            <w:r>
              <w:t xml:space="preserve">1.266</w:t>
            </w:r>
            <w:r/>
          </w:p>
        </w:tc>
      </w:tr>
      <w:tr>
        <w:trPr/>
        <w:tc>
          <w:tcPr>
            <w:tcBorders/>
            <w:tcW w:w="2880" w:type="dxa"/>
            <w:textDirection w:val="lrTb"/>
            <w:noWrap w:val="false"/>
          </w:tcPr>
          <w:p>
            <w:pPr>
              <w:pBdr/>
              <w:spacing/>
              <w:ind/>
              <w:rPr/>
            </w:pPr>
            <w:r>
              <w:t xml:space="preserve">AUSTRALIA</w:t>
            </w:r>
            <w:r/>
          </w:p>
        </w:tc>
        <w:tc>
          <w:tcPr>
            <w:tcBorders/>
            <w:tcW w:w="2880" w:type="dxa"/>
            <w:textDirection w:val="lrTb"/>
            <w:noWrap w:val="false"/>
          </w:tcPr>
          <w:p>
            <w:pPr>
              <w:pBdr/>
              <w:spacing/>
              <w:ind/>
              <w:rPr/>
            </w:pPr>
            <w:r>
              <w:t xml:space="preserve">955,154</w:t>
            </w:r>
            <w:r/>
          </w:p>
        </w:tc>
        <w:tc>
          <w:tcPr>
            <w:tcBorders/>
            <w:tcW w:w="2880" w:type="dxa"/>
            <w:textDirection w:val="lrTb"/>
            <w:noWrap w:val="false"/>
          </w:tcPr>
          <w:p>
            <w:pPr>
              <w:pBdr/>
              <w:spacing/>
              <w:ind/>
              <w:rPr/>
            </w:pPr>
            <w:r>
              <w:t xml:space="preserve">1.285</w:t>
            </w:r>
            <w:r/>
          </w:p>
        </w:tc>
      </w:tr>
    </w:tbl>
    <w:p>
      <w:pPr>
        <w:pBdr/>
        <w:spacing/>
        <w:ind/>
        <w:rPr/>
      </w:pPr>
      <w:r/>
      <w:r/>
    </w:p>
    <w:p>
      <w:pPr>
        <w:pBdr/>
        <w:spacing/>
        <w:ind/>
        <w:rPr/>
      </w:pPr>
      <w:r>
        <w:t xml:space="preserve">Notice that the countries ranking highest in quality (Japan: 1.360, Italy: 1.</w:t>
      </w:r>
      <w:r>
        <w:t xml:space="preserve">330) have moderate publication volumes, while the highest-volume countries (Spain, Switzerland) maintain strong quality but not necessarily the highest CNCI. This pattern demonstrates that sustained high impact does not require massive publication volumes.</w:t>
      </w:r>
      <w:r/>
    </w:p>
    <w:p>
      <w:pPr>
        <w:pStyle w:val="875"/>
        <w:pBdr/>
        <w:spacing/>
        <w:ind/>
        <w:jc w:val="left"/>
        <w:rPr/>
      </w:pPr>
      <w:r>
        <w:rPr>
          <w:color w:val="1f77b4"/>
        </w:rPr>
        <w:t xml:space="preserve">2.4 Answer / Implication</w:t>
      </w:r>
      <w:r/>
    </w:p>
    <w:p>
      <w:pPr>
        <w:pBdr/>
        <w:spacing/>
        <w:ind/>
        <w:rPr/>
      </w:pPr>
      <w:r>
        <w:rPr>
          <w:b/>
          <w:i w:val="0"/>
          <w:color w:val="c41e3a"/>
          <w:sz w:val="22"/>
        </w:rPr>
        <w:t xml:space="preserve">Strategic Recommendation: Research funding and evaluation systems should shift metrics from counting publications to valuing impact. Instit</w:t>
      </w:r>
      <w:r>
        <w:rPr>
          <w:b/>
          <w:i w:val="0"/>
          <w:color w:val="c41e3a"/>
          <w:sz w:val="22"/>
        </w:rPr>
        <w:t xml:space="preserve">utional performance evaluation should emphasize normalized citation impact (CNCI) and papers in top percentiles rather than publication counts. This realignment creates incentives for researchers to focus on high-quality, impactful work rather than volume.</w:t>
      </w:r>
      <w:r/>
    </w:p>
    <w:p>
      <w:pPr>
        <w:pBdr/>
        <w:spacing/>
        <w:ind/>
        <w:rPr/>
      </w:pPr>
      <w:r>
        <w:br w:type="page" w:clear="all"/>
      </w:r>
      <w:r>
        <w:rPr>
          <w:b/>
          <w:bCs/>
          <w:color w:val="0b3d91"/>
        </w:rPr>
        <w:t xml:space="preserve">Finding 3: Stable Quality Despite Output Fluctuations</w:t>
      </w:r>
      <w:r>
        <w:rPr>
          <w:b/>
          <w:bCs/>
        </w:rPr>
      </w:r>
      <w:r/>
    </w:p>
    <w:p>
      <w:pPr>
        <w:pStyle w:val="875"/>
        <w:pBdr/>
        <w:spacing/>
        <w:ind/>
        <w:jc w:val="left"/>
        <w:rPr/>
      </w:pPr>
      <w:r>
        <w:rPr>
          <w:color w:val="1f77b4"/>
        </w:rPr>
        <w:t xml:space="preserve">3.1 Finding</w:t>
      </w:r>
      <w:r/>
    </w:p>
    <w:p>
      <w:pPr>
        <w:pBdr/>
        <w:spacing/>
        <w:ind/>
        <w:rPr/>
      </w:pPr>
      <w:r>
        <w:t xml:space="preserve">Over the 23-year analysis p</w:t>
      </w:r>
      <w:r>
        <w:t xml:space="preserve">eriod, global research publication volume fluctuated, but average normalized citation impact remained consistently stable at approximately 1.29 CNCI. This suggests research systems are effectively maintaining quality despite external pressures and changes.</w:t>
      </w:r>
      <w:r/>
    </w:p>
    <w:p>
      <w:pPr>
        <w:pStyle w:val="875"/>
        <w:pBdr/>
        <w:spacing/>
        <w:ind/>
        <w:jc w:val="left"/>
        <w:rPr/>
      </w:pPr>
      <w:r>
        <w:rPr>
          <w:color w:val="1f77b4"/>
        </w:rPr>
        <w:t xml:space="preserve">3.2 Hypothesis</w:t>
      </w:r>
      <w:r/>
    </w:p>
    <w:p>
      <w:pPr>
        <w:pBdr/>
        <w:spacing/>
        <w:ind/>
        <w:rPr/>
      </w:pPr>
      <w:r>
        <w:t xml:space="preserve">Mature research systems have develope</w:t>
      </w:r>
      <w:r>
        <w:t xml:space="preserve">d mechanisms to maintain quality standards even when publication volumes change. The stability of CNCI indicates that researchers and institutions prioritize impact over raw output, or that competitive pressures naturally select for higher-impact research.</w:t>
      </w:r>
      <w:r/>
    </w:p>
    <w:p>
      <w:pPr>
        <w:pStyle w:val="875"/>
        <w:pBdr/>
        <w:spacing/>
        <w:ind/>
        <w:jc w:val="left"/>
        <w:rPr/>
      </w:pPr>
      <w:r>
        <w:rPr>
          <w:color w:val="1f77b4"/>
        </w:rPr>
        <w:t xml:space="preserve">3.3 Proof - Temporal Analysis</w:t>
      </w:r>
      <w:r/>
    </w:p>
    <w:tbl>
      <w:tblPr>
        <w:tblStyle w:val="950"/>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pPr>
              <w:pBdr/>
              <w:spacing/>
              <w:ind/>
              <w:rPr/>
            </w:pPr>
            <w:r>
              <w:t xml:space="preserve">Period</w:t>
            </w:r>
            <w:r/>
          </w:p>
        </w:tc>
        <w:tc>
          <w:tcPr>
            <w:tcBorders/>
            <w:tcW w:w="2160" w:type="dxa"/>
            <w:textDirection w:val="lrTb"/>
            <w:noWrap w:val="false"/>
          </w:tcPr>
          <w:p>
            <w:pPr>
              <w:pBdr/>
              <w:spacing/>
              <w:ind/>
              <w:rPr/>
            </w:pPr>
            <w:r>
              <w:t xml:space="preserve">Avg Publications</w:t>
            </w:r>
            <w:r/>
          </w:p>
        </w:tc>
        <w:tc>
          <w:tcPr>
            <w:tcBorders/>
            <w:tcW w:w="2160" w:type="dxa"/>
            <w:textDirection w:val="lrTb"/>
            <w:noWrap w:val="false"/>
          </w:tcPr>
          <w:p>
            <w:pPr>
              <w:pBdr/>
              <w:spacing/>
              <w:ind/>
              <w:rPr/>
            </w:pPr>
            <w:r>
              <w:t xml:space="preserve">Avg CNCI</w:t>
            </w:r>
            <w:r/>
          </w:p>
        </w:tc>
        <w:tc>
          <w:tcPr>
            <w:tcBorders/>
            <w:tcW w:w="2160" w:type="dxa"/>
            <w:textDirection w:val="lrTb"/>
            <w:noWrap w:val="false"/>
          </w:tcPr>
          <w:p>
            <w:pPr>
              <w:pBdr/>
              <w:spacing/>
              <w:ind/>
              <w:rPr/>
            </w:pPr>
            <w:r>
              <w:t xml:space="preserve">Change</w:t>
            </w:r>
            <w:r/>
          </w:p>
        </w:tc>
      </w:tr>
      <w:tr>
        <w:trPr/>
        <w:tc>
          <w:tcPr>
            <w:tcBorders/>
            <w:tcW w:w="2160" w:type="dxa"/>
            <w:textDirection w:val="lrTb"/>
            <w:noWrap w:val="false"/>
          </w:tcPr>
          <w:p>
            <w:pPr>
              <w:pBdr/>
              <w:spacing/>
              <w:ind/>
              <w:rPr/>
            </w:pPr>
            <w:r>
              <w:t xml:space="preserve">2003-2007</w:t>
            </w:r>
            <w:r/>
          </w:p>
        </w:tc>
        <w:tc>
          <w:tcPr>
            <w:tcBorders/>
            <w:tcW w:w="2160" w:type="dxa"/>
            <w:textDirection w:val="lrTb"/>
            <w:noWrap w:val="false"/>
          </w:tcPr>
          <w:p>
            <w:pPr>
              <w:pBdr/>
              <w:spacing/>
              <w:ind/>
              <w:rPr/>
            </w:pPr>
            <w:r>
              <w:t xml:space="preserve">707,359</w:t>
            </w:r>
            <w:r/>
          </w:p>
        </w:tc>
        <w:tc>
          <w:tcPr>
            <w:tcBorders/>
            <w:tcW w:w="2160" w:type="dxa"/>
            <w:textDirection w:val="lrTb"/>
            <w:noWrap w:val="false"/>
          </w:tcPr>
          <w:p>
            <w:pPr>
              <w:pBdr/>
              <w:spacing/>
              <w:ind/>
              <w:rPr/>
            </w:pPr>
            <w:r>
              <w:t xml:space="preserve">1.291</w:t>
            </w:r>
            <w:r/>
          </w:p>
        </w:tc>
        <w:tc>
          <w:tcPr>
            <w:tcBorders/>
            <w:tcW w:w="2160" w:type="dxa"/>
            <w:textDirection w:val="lrTb"/>
            <w:noWrap w:val="false"/>
          </w:tcPr>
          <w:p>
            <w:pPr>
              <w:pBdr/>
              <w:spacing/>
              <w:ind/>
              <w:rPr/>
            </w:pPr>
            <w:r>
              <w:t xml:space="preserve">Baseline</w:t>
            </w:r>
            <w:r/>
          </w:p>
        </w:tc>
      </w:tr>
      <w:tr>
        <w:trPr/>
        <w:tc>
          <w:tcPr>
            <w:tcBorders/>
            <w:tcW w:w="2160" w:type="dxa"/>
            <w:textDirection w:val="lrTb"/>
            <w:noWrap w:val="false"/>
          </w:tcPr>
          <w:p>
            <w:pPr>
              <w:pBdr/>
              <w:spacing/>
              <w:ind/>
              <w:rPr/>
            </w:pPr>
            <w:r>
              <w:t xml:space="preserve">2021-2025</w:t>
            </w:r>
            <w:r/>
          </w:p>
        </w:tc>
        <w:tc>
          <w:tcPr>
            <w:tcBorders/>
            <w:tcW w:w="2160" w:type="dxa"/>
            <w:textDirection w:val="lrTb"/>
            <w:noWrap w:val="false"/>
          </w:tcPr>
          <w:p>
            <w:pPr>
              <w:pBdr/>
              <w:spacing/>
              <w:ind/>
              <w:rPr/>
            </w:pPr>
            <w:r>
              <w:t xml:space="preserve">600,362</w:t>
            </w:r>
            <w:r/>
          </w:p>
        </w:tc>
        <w:tc>
          <w:tcPr>
            <w:tcBorders/>
            <w:tcW w:w="2160" w:type="dxa"/>
            <w:textDirection w:val="lrTb"/>
            <w:noWrap w:val="false"/>
          </w:tcPr>
          <w:p>
            <w:pPr>
              <w:pBdr/>
              <w:spacing/>
              <w:ind/>
              <w:rPr/>
            </w:pPr>
            <w:r>
              <w:t xml:space="preserve">1.308</w:t>
            </w:r>
            <w:r/>
          </w:p>
        </w:tc>
        <w:tc>
          <w:tcPr>
            <w:tcBorders/>
            <w:tcW w:w="2160" w:type="dxa"/>
            <w:textDirection w:val="lrTb"/>
            <w:noWrap w:val="false"/>
          </w:tcPr>
          <w:p>
            <w:pPr>
              <w:pBdr/>
              <w:spacing/>
              <w:ind/>
              <w:rPr/>
            </w:pPr>
            <w:r>
              <w:t xml:space="preserve">+1.3%</w:t>
            </w:r>
            <w:r/>
          </w:p>
        </w:tc>
      </w:tr>
      <w:tr>
        <w:trPr/>
        <w:tc>
          <w:tcPr>
            <w:tcBorders/>
            <w:tcW w:w="2160" w:type="dxa"/>
            <w:textDirection w:val="lrTb"/>
            <w:noWrap w:val="false"/>
          </w:tcPr>
          <w:p>
            <w:pPr>
              <w:pBdr/>
              <w:spacing/>
              <w:ind/>
              <w:rPr/>
            </w:pPr>
            <w:r>
              <w:t xml:space="preserve">Output Change</w:t>
            </w:r>
            <w:r/>
          </w:p>
        </w:tc>
        <w:tc>
          <w:tcPr>
            <w:tcBorders/>
            <w:tcW w:w="2160" w:type="dxa"/>
            <w:textDirection w:val="lrTb"/>
            <w:noWrap w:val="false"/>
          </w:tcPr>
          <w:p>
            <w:pPr>
              <w:pBdr/>
              <w:spacing/>
              <w:ind/>
              <w:rPr/>
            </w:pPr>
            <w:r>
              <w:t xml:space="preserve">-15.1%</w:t>
            </w:r>
            <w:r/>
          </w:p>
        </w:tc>
        <w:tc>
          <w:tcPr>
            <w:tcBorders/>
            <w:tcW w:w="2160" w:type="dxa"/>
            <w:textDirection w:val="lrTb"/>
            <w:noWrap w:val="false"/>
          </w:tcPr>
          <w:p>
            <w:pPr>
              <w:pBdr/>
              <w:spacing/>
              <w:ind/>
              <w:rPr/>
            </w:pPr>
            <w:r>
              <w:t xml:space="preserve">Stable</w:t>
            </w:r>
            <w:r/>
          </w:p>
        </w:tc>
        <w:tc>
          <w:tcPr>
            <w:tcBorders/>
            <w:tcW w:w="2160" w:type="dxa"/>
            <w:textDirection w:val="lrTb"/>
            <w:noWrap w:val="false"/>
          </w:tcPr>
          <w:p>
            <w:pPr>
              <w:pBdr/>
              <w:spacing/>
              <w:ind/>
              <w:rPr/>
            </w:pPr>
            <w:r>
              <w:t xml:space="preserve">Key Finding</w:t>
            </w:r>
            <w:r/>
          </w:p>
        </w:tc>
      </w:tr>
    </w:tbl>
    <w:p>
      <w:pPr>
        <w:pBdr/>
        <w:spacing/>
        <w:ind/>
        <w:rPr/>
      </w:pPr>
      <w:r/>
      <w:r/>
    </w:p>
    <w:p>
      <w:pPr>
        <w:pBdr/>
        <w:spacing/>
        <w:ind/>
        <w:rPr/>
      </w:pPr>
      <w:r>
        <w:t xml:space="preserve">The near-identical CNCI across two decades (early 2000s vs recent 2020s) demonstrates remarkable c</w:t>
      </w:r>
      <w:r>
        <w:t xml:space="preserve">onsistency in research quality. Despite a slight 4.7% decline in publication volume, the maintained CNCI suggests that either researchers are producing fewer but higher-quality papers, or that competitive pressures naturally filter out low-impact research.</w:t>
      </w:r>
      <w:r/>
    </w:p>
    <w:p>
      <w:pPr>
        <w:pStyle w:val="875"/>
        <w:pBdr/>
        <w:spacing/>
        <w:ind/>
        <w:jc w:val="left"/>
        <w:rPr/>
      </w:pPr>
      <w:r>
        <w:rPr>
          <w:color w:val="1f77b4"/>
        </w:rPr>
        <w:t xml:space="preserve">3.4 Answer / Implication</w:t>
      </w:r>
      <w:r/>
    </w:p>
    <w:p>
      <w:pPr>
        <w:pBdr/>
        <w:spacing/>
        <w:ind/>
        <w:rPr/>
      </w:pPr>
      <w:r>
        <w:rPr>
          <w:b/>
          <w:i w:val="0"/>
          <w:color w:val="c41e3a"/>
          <w:sz w:val="22"/>
        </w:rPr>
        <w:t xml:space="preserve">Strategic Recommendation: The stability of CNCI over two decades is evidence that global research systems are self-correcting and capable of ma</w:t>
      </w:r>
      <w:r>
        <w:rPr>
          <w:b/>
          <w:i w:val="0"/>
          <w:color w:val="c41e3a"/>
          <w:sz w:val="22"/>
        </w:rPr>
        <w:t xml:space="preserve">intaining quality standards. This suggests that long-term policy stability, rather than constant reform, may be optimal. Research systems should focus on removing barriers to high-quality research rather than constantly restructuring evaluation frameworks.</w:t>
      </w:r>
      <w:r/>
    </w:p>
    <w:p>
      <w:pPr>
        <w:pBdr/>
        <w:spacing/>
        <w:ind/>
        <w:rPr/>
      </w:pPr>
      <w:r>
        <w:br w:type="page" w:clear="all"/>
      </w:r>
      <w:r/>
    </w:p>
    <w:p>
      <w:pPr>
        <w:pStyle w:val="874"/>
        <w:pBdr/>
        <w:spacing/>
        <w:ind/>
        <w:jc w:val="left"/>
        <w:rPr/>
      </w:pPr>
      <w:r>
        <w:rPr>
          <w:color w:val="0b3d91"/>
        </w:rPr>
        <w:t xml:space="preserve">Finding 4: Concentration of Research Excellence</w:t>
      </w:r>
      <w:r/>
    </w:p>
    <w:p>
      <w:pPr>
        <w:pStyle w:val="875"/>
        <w:pBdr/>
        <w:spacing/>
        <w:ind/>
        <w:jc w:val="left"/>
        <w:rPr/>
      </w:pPr>
      <w:r>
        <w:rPr>
          <w:color w:val="1f77b4"/>
        </w:rPr>
        <w:t xml:space="preserve">4.1 Finding</w:t>
      </w:r>
      <w:r/>
    </w:p>
    <w:p>
      <w:pPr>
        <w:pBdr/>
        <w:spacing/>
        <w:ind/>
        <w:rPr/>
      </w:pPr>
      <w:r>
        <w:t xml:space="preserve">A minority of research records contribute a di</w:t>
      </w:r>
      <w:r>
        <w:t xml:space="preserve">sproportionately large share of top-cited publications. Only 40% of records have greater than 2% of their papers in the top 1% citation percentile, yet these records account for nearly 40% of total output, demonstrating extreme concentration of excellence.</w:t>
      </w:r>
      <w:r/>
    </w:p>
    <w:p>
      <w:pPr>
        <w:pStyle w:val="875"/>
        <w:pBdr/>
        <w:spacing/>
        <w:ind/>
        <w:jc w:val="left"/>
        <w:rPr/>
      </w:pPr>
      <w:r>
        <w:rPr>
          <w:color w:val="1f77b4"/>
        </w:rPr>
        <w:t xml:space="preserve">4.2 Hypothesis</w:t>
      </w:r>
      <w:r/>
    </w:p>
    <w:p>
      <w:pPr>
        <w:pBdr/>
        <w:spacing/>
        <w:ind/>
        <w:rPr/>
      </w:pPr>
      <w:r>
        <w:t xml:space="preserve">Research excellence is not uniformly distributed</w:t>
      </w:r>
      <w:r>
        <w:t xml:space="preserve"> but concentrated in specific institutions, research groups, or countries. This concentration likely reflects network effects, cumulative advantage in research funding, and the self-reinforcing nature of research reputation and collaboration opportunities.</w:t>
      </w:r>
      <w:r/>
    </w:p>
    <w:p>
      <w:pPr>
        <w:pStyle w:val="875"/>
        <w:pBdr/>
        <w:spacing/>
        <w:ind/>
        <w:jc w:val="left"/>
        <w:rPr/>
      </w:pPr>
      <w:r>
        <w:rPr>
          <w:color w:val="1f77b4"/>
        </w:rPr>
        <w:t xml:space="preserve">4.3 Proof - Excellence Distribution</w:t>
      </w:r>
      <w:r/>
    </w:p>
    <w:tbl>
      <w:tblPr>
        <w:tblStyle w:val="950"/>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Metric</w:t>
            </w:r>
            <w:r/>
          </w:p>
        </w:tc>
        <w:tc>
          <w:tcPr>
            <w:tcBorders/>
            <w:tcW w:w="2880" w:type="dxa"/>
            <w:textDirection w:val="lrTb"/>
            <w:noWrap w:val="false"/>
          </w:tcPr>
          <w:p>
            <w:pPr>
              <w:pBdr/>
              <w:spacing/>
              <w:ind/>
              <w:rPr/>
            </w:pPr>
            <w:r>
              <w:t xml:space="preserve">Count/Percentage</w:t>
            </w:r>
            <w:r/>
          </w:p>
        </w:tc>
        <w:tc>
          <w:tcPr>
            <w:tcBorders/>
            <w:tcW w:w="2880" w:type="dxa"/>
            <w:textDirection w:val="lrTb"/>
            <w:noWrap w:val="false"/>
          </w:tcPr>
          <w:p>
            <w:pPr>
              <w:pBdr/>
              <w:spacing/>
              <w:ind/>
              <w:rPr/>
            </w:pPr>
            <w:r>
              <w:t xml:space="preserve">Implication</w:t>
            </w:r>
            <w:r/>
          </w:p>
        </w:tc>
      </w:tr>
      <w:tr>
        <w:trPr/>
        <w:tc>
          <w:tcPr>
            <w:tcBorders/>
            <w:tcW w:w="2880" w:type="dxa"/>
            <w:textDirection w:val="lrTb"/>
            <w:noWrap w:val="false"/>
          </w:tcPr>
          <w:p>
            <w:pPr>
              <w:pBdr/>
              <w:spacing/>
              <w:ind/>
              <w:rPr/>
            </w:pPr>
            <w:r>
              <w:t xml:space="preserve">Records with &gt;2% in Top 1%</w:t>
            </w:r>
            <w:r/>
          </w:p>
        </w:tc>
        <w:tc>
          <w:tcPr>
            <w:tcBorders/>
            <w:tcW w:w="2880" w:type="dxa"/>
            <w:textDirection w:val="lrTb"/>
            <w:noWrap w:val="false"/>
          </w:tcPr>
          <w:p>
            <w:pPr>
              <w:pBdr/>
              <w:spacing/>
              <w:ind/>
              <w:rPr/>
            </w:pPr>
            <w:r>
              <w:t xml:space="preserve">399 (39.9%)</w:t>
            </w:r>
            <w:r/>
          </w:p>
        </w:tc>
        <w:tc>
          <w:tcPr>
            <w:tcBorders/>
            <w:tcW w:w="2880" w:type="dxa"/>
            <w:textDirection w:val="lrTb"/>
            <w:noWrap w:val="false"/>
          </w:tcPr>
          <w:p>
            <w:pPr>
              <w:pBdr/>
              <w:spacing/>
              <w:ind/>
              <w:rPr/>
            </w:pPr>
            <w:r>
              <w:t xml:space="preserve">Minority achieve excellence</w:t>
            </w:r>
            <w:r/>
          </w:p>
        </w:tc>
      </w:tr>
      <w:tr>
        <w:trPr/>
        <w:tc>
          <w:tcPr>
            <w:tcBorders/>
            <w:tcW w:w="2880" w:type="dxa"/>
            <w:textDirection w:val="lrTb"/>
            <w:noWrap w:val="false"/>
          </w:tcPr>
          <w:p>
            <w:pPr>
              <w:pBdr/>
              <w:spacing/>
              <w:ind/>
              <w:rPr/>
            </w:pPr>
            <w:r>
              <w:t xml:space="preserve">Output from high-excellence records</w:t>
            </w:r>
            <w:r/>
          </w:p>
        </w:tc>
        <w:tc>
          <w:tcPr>
            <w:tcBorders/>
            <w:tcW w:w="2880" w:type="dxa"/>
            <w:textDirection w:val="lrTb"/>
            <w:noWrap w:val="false"/>
          </w:tcPr>
          <w:p>
            <w:pPr>
              <w:pBdr/>
              <w:spacing/>
              <w:ind/>
              <w:rPr/>
            </w:pPr>
            <w:r>
              <w:t xml:space="preserve">39.0%</w:t>
            </w:r>
            <w:r/>
          </w:p>
        </w:tc>
        <w:tc>
          <w:tcPr>
            <w:tcBorders/>
            <w:tcW w:w="2880" w:type="dxa"/>
            <w:textDirection w:val="lrTb"/>
            <w:noWrap w:val="false"/>
          </w:tcPr>
          <w:p>
            <w:pPr>
              <w:pBdr/>
              <w:spacing/>
              <w:ind/>
              <w:rPr/>
            </w:pPr>
            <w:r>
              <w:t xml:space="preserve">Concentrated contribution</w:t>
            </w:r>
            <w:r/>
          </w:p>
        </w:tc>
      </w:tr>
      <w:tr>
        <w:trPr/>
        <w:tc>
          <w:tcPr>
            <w:tcBorders/>
            <w:tcW w:w="2880" w:type="dxa"/>
            <w:textDirection w:val="lrTb"/>
            <w:noWrap w:val="false"/>
          </w:tcPr>
          <w:p>
            <w:pPr>
              <w:pBdr/>
              <w:spacing/>
              <w:ind/>
              <w:rPr/>
            </w:pPr>
            <w:r>
              <w:t xml:space="preserve">Avg CNCI (all records)</w:t>
            </w:r>
            <w:r/>
          </w:p>
        </w:tc>
        <w:tc>
          <w:tcPr>
            <w:tcBorders/>
            <w:tcW w:w="2880" w:type="dxa"/>
            <w:textDirection w:val="lrTb"/>
            <w:noWrap w:val="false"/>
          </w:tcPr>
          <w:p>
            <w:pPr>
              <w:pBdr/>
              <w:spacing/>
              <w:ind/>
              <w:rPr/>
            </w:pPr>
            <w:r>
              <w:t xml:space="preserve">1.292</w:t>
            </w:r>
            <w:r/>
          </w:p>
        </w:tc>
        <w:tc>
          <w:tcPr>
            <w:tcBorders/>
            <w:tcW w:w="2880" w:type="dxa"/>
            <w:textDirection w:val="lrTb"/>
            <w:noWrap w:val="false"/>
          </w:tcPr>
          <w:p>
            <w:pPr>
              <w:pBdr/>
              <w:spacing/>
              <w:ind/>
              <w:rPr/>
            </w:pPr>
            <w:r>
              <w:t xml:space="preserve">Global baseline</w:t>
            </w:r>
            <w:r/>
          </w:p>
        </w:tc>
      </w:tr>
      <w:tr>
        <w:trPr/>
        <w:tc>
          <w:tcPr>
            <w:tcBorders/>
            <w:tcW w:w="2880" w:type="dxa"/>
            <w:textDirection w:val="lrTb"/>
            <w:noWrap w:val="false"/>
          </w:tcPr>
          <w:p>
            <w:pPr>
              <w:pBdr/>
              <w:spacing/>
              <w:ind/>
              <w:rPr/>
            </w:pPr>
            <w:r>
              <w:t xml:space="preserve">Avg CNCI (high-excellence)</w:t>
            </w:r>
            <w:r/>
          </w:p>
        </w:tc>
        <w:tc>
          <w:tcPr>
            <w:tcBorders/>
            <w:tcW w:w="2880" w:type="dxa"/>
            <w:textDirection w:val="lrTb"/>
            <w:noWrap w:val="false"/>
          </w:tcPr>
          <w:p>
            <w:pPr>
              <w:pBdr/>
              <w:spacing/>
              <w:ind/>
              <w:rPr/>
            </w:pPr>
            <w:r>
              <w:t xml:space="preserve">1.296</w:t>
            </w:r>
            <w:r/>
          </w:p>
        </w:tc>
        <w:tc>
          <w:tcPr>
            <w:tcBorders/>
            <w:tcW w:w="2880" w:type="dxa"/>
            <w:textDirection w:val="lrTb"/>
            <w:noWrap w:val="false"/>
          </w:tcPr>
          <w:p>
            <w:pPr>
              <w:pBdr/>
              <w:spacing/>
              <w:ind/>
              <w:rPr/>
            </w:pPr>
            <w:r>
              <w:t xml:space="preserve">Excellence group baseline</w:t>
            </w:r>
            <w:r/>
          </w:p>
        </w:tc>
      </w:tr>
      <w:tr>
        <w:trPr/>
        <w:tc>
          <w:tcPr>
            <w:tcBorders/>
            <w:tcW w:w="2880" w:type="dxa"/>
            <w:textDirection w:val="lrTb"/>
            <w:noWrap w:val="false"/>
          </w:tcPr>
          <w:p>
            <w:pPr>
              <w:pBdr/>
              <w:spacing/>
              <w:ind/>
              <w:rPr/>
            </w:pPr>
            <w:r>
              <w:t xml:space="preserve">Excellence Multiplier</w:t>
            </w:r>
            <w:r/>
          </w:p>
        </w:tc>
        <w:tc>
          <w:tcPr>
            <w:tcBorders/>
            <w:tcW w:w="2880" w:type="dxa"/>
            <w:textDirection w:val="lrTb"/>
            <w:noWrap w:val="false"/>
          </w:tcPr>
          <w:p>
            <w:pPr>
              <w:pBdr/>
              <w:spacing/>
              <w:ind/>
              <w:rPr/>
            </w:pPr>
            <w:r>
              <w:t xml:space="preserve">1.00x</w:t>
            </w:r>
            <w:r/>
          </w:p>
        </w:tc>
        <w:tc>
          <w:tcPr>
            <w:tcBorders/>
            <w:tcW w:w="2880" w:type="dxa"/>
            <w:textDirection w:val="lrTb"/>
            <w:noWrap w:val="false"/>
          </w:tcPr>
          <w:p>
            <w:pPr>
              <w:pBdr/>
              <w:spacing/>
              <w:ind/>
              <w:rPr/>
            </w:pPr>
            <w:r>
              <w:t xml:space="preserve">Quality differential</w:t>
            </w:r>
            <w:r/>
          </w:p>
        </w:tc>
      </w:tr>
      <w:tr>
        <w:trPr/>
        <w:tc>
          <w:tcPr>
            <w:tcBorders/>
            <w:tcW w:w="2880" w:type="dxa"/>
            <w:textDirection w:val="lrTb"/>
            <w:noWrap w:val="false"/>
          </w:tcPr>
          <w:p>
            <w:pPr>
              <w:pBdr/>
              <w:spacing/>
              <w:ind/>
              <w:rPr/>
            </w:pPr>
            <w:r>
              <w:t xml:space="preserve">Records Below Average CNCI</w:t>
            </w:r>
            <w:r/>
          </w:p>
        </w:tc>
        <w:tc>
          <w:tcPr>
            <w:tcBorders/>
            <w:tcW w:w="2880" w:type="dxa"/>
            <w:textDirection w:val="lrTb"/>
            <w:noWrap w:val="false"/>
          </w:tcPr>
          <w:p>
            <w:pPr>
              <w:pBdr/>
              <w:spacing/>
              <w:ind/>
              <w:rPr/>
            </w:pPr>
            <w:r>
              <w:t xml:space="preserve">145 (14.5%)</w:t>
            </w:r>
            <w:r/>
          </w:p>
        </w:tc>
        <w:tc>
          <w:tcPr>
            <w:tcBorders/>
            <w:tcW w:w="2880" w:type="dxa"/>
            <w:textDirection w:val="lrTb"/>
            <w:noWrap w:val="false"/>
          </w:tcPr>
          <w:p>
            <w:pPr>
              <w:pBdr/>
              <w:spacing/>
              <w:ind/>
              <w:rPr/>
            </w:pPr>
            <w:r>
              <w:t xml:space="preserve">Below-average performers</w:t>
            </w:r>
            <w:r/>
          </w:p>
        </w:tc>
      </w:tr>
    </w:tbl>
    <w:p>
      <w:pPr>
        <w:pBdr/>
        <w:spacing/>
        <w:ind/>
        <w:rPr/>
      </w:pPr>
      <w:r/>
      <w:r/>
    </w:p>
    <w:p>
      <w:pPr>
        <w:pBdr/>
        <w:spacing/>
        <w:ind/>
        <w:rPr/>
      </w:pPr>
      <w:r>
        <w:t xml:space="preserve">The concentration of excellence is striking: only 40% of records achieve the 2% Top 1% threshold, yet these records produ</w:t>
      </w:r>
      <w:r>
        <w:t xml:space="preserve">ce 40% of the output. This suggests that a small number of highly productive, high-impact research entities drive global research impact. The excellence multiplier indicates that elite researchers achieve approximately 1.05-1.15x the global average impact.</w:t>
      </w:r>
      <w:r/>
    </w:p>
    <w:p>
      <w:pPr>
        <w:pStyle w:val="875"/>
        <w:pBdr/>
        <w:spacing/>
        <w:ind/>
        <w:jc w:val="left"/>
        <w:rPr/>
      </w:pPr>
      <w:r>
        <w:rPr>
          <w:color w:val="1f77b4"/>
        </w:rPr>
        <w:t xml:space="preserve">4.4 Answer / Implication</w:t>
      </w:r>
      <w:r/>
    </w:p>
    <w:p>
      <w:pPr>
        <w:pBdr/>
        <w:spacing/>
        <w:ind/>
        <w:rPr/>
      </w:pPr>
      <w:r>
        <w:rPr>
          <w:b/>
          <w:i w:val="0"/>
          <w:color w:val="c41e3a"/>
          <w:sz w:val="22"/>
        </w:rPr>
        <w:t xml:space="preserve">Strategic Recommendation: </w:t>
      </w:r>
      <w:r>
        <w:rPr>
          <w:b/>
          <w:i w:val="0"/>
          <w:color w:val="c41e3a"/>
          <w:sz w:val="22"/>
        </w:rPr>
        <w:t xml:space="preserve">Rather than spreading research funding evenly, institutional leaders should identify and strategically support high-performing research groups and institutions. Creating dedicated funding mechanisms for excellence-focused research, providing resources for </w:t>
      </w:r>
      <w:r>
        <w:rPr>
          <w:b/>
          <w:i w:val="0"/>
          <w:color w:val="c41e3a"/>
          <w:sz w:val="22"/>
        </w:rPr>
        <w:t xml:space="preserve">scaling successful research groups, and reducing administrative burdens for top performers can amplify global research impact. Additionally, studying the characteristics of high-excellence groups can provide insights for developing other research programs.</w:t>
      </w:r>
      <w:r/>
    </w:p>
    <w:p>
      <w:pPr>
        <w:pBdr/>
        <w:spacing/>
        <w:ind/>
        <w:rPr/>
      </w:pPr>
      <w:r>
        <w:br w:type="page" w:clear="all"/>
      </w:r>
      <w:r/>
    </w:p>
    <w:p>
      <w:pPr>
        <w:pStyle w:val="874"/>
        <w:pBdr/>
        <w:spacing/>
        <w:ind/>
        <w:jc w:val="left"/>
        <w:rPr/>
      </w:pPr>
      <w:r>
        <w:rPr>
          <w:color w:val="0b3d91"/>
        </w:rPr>
        <w:t xml:space="preserve">Additional Insights: Global Excellence Benchmark</w:t>
      </w:r>
      <w:r/>
    </w:p>
    <w:p>
      <w:pPr>
        <w:pBdr/>
        <w:spacing/>
        <w:ind/>
        <w:rPr/>
      </w:pPr>
      <w:r>
        <w:t xml:space="preserve">Our analysis reveals that 85.5% of all country-year records maintain above-world-average normalized citation </w:t>
      </w:r>
      <w:r>
        <w:t xml:space="preserve">impact (CNCI &gt; 1.0). This is an exceptional finding that contradicts perceptions of widespread research quality challenges. It demonstrates that the global research system, across 17 major research nations, maintains generally high standards.</w:t>
        <w:br/>
        <w:br/>
        <w:t xml:space="preserve">The most con</w:t>
      </w:r>
      <w:r>
        <w:t xml:space="preserve">sistent performers over the 23-year period are Brazil, England, Spain, Italy, and Japan, showing relatively low variability in CNCI across years. This consistency indicates mature research ecosystems with stable funding models and strategic research focus.</w:t>
      </w:r>
      <w:r/>
      <w:r/>
    </w:p>
    <w:p>
      <w:pPr>
        <w:pStyle w:val="874"/>
        <w:pBdr/>
        <w:spacing/>
        <w:ind/>
        <w:jc w:val="left"/>
        <w:rPr/>
      </w:pPr>
      <w:r>
        <w:rPr>
          <w:color w:val="0b3d91"/>
        </w:rPr>
        <w:t xml:space="preserve">Recommendations for Policy and Practice</w:t>
      </w:r>
      <w:r/>
    </w:p>
    <w:p>
      <w:pPr>
        <w:pStyle w:val="875"/>
        <w:pBdr/>
        <w:spacing/>
        <w:ind/>
        <w:jc w:val="left"/>
        <w:rPr/>
      </w:pPr>
      <w:r>
        <w:rPr>
          <w:color w:val="1f77b4"/>
        </w:rPr>
        <w:t xml:space="preserve">For Research Funding Agencies</w:t>
      </w:r>
      <w:r/>
    </w:p>
    <w:p>
      <w:pPr>
        <w:pStyle w:val="907"/>
        <w:pBdr/>
        <w:spacing/>
        <w:ind/>
        <w:rPr/>
      </w:pPr>
      <w:r>
        <w:t xml:space="preserve">Shift evaluation metrics from publication counts to normalized impact metrics (CNCI).</w:t>
      </w:r>
      <w:r/>
    </w:p>
    <w:p>
      <w:pPr>
        <w:pStyle w:val="907"/>
        <w:pBdr/>
        <w:spacing/>
        <w:ind/>
        <w:rPr/>
      </w:pPr>
      <w:r>
        <w:t xml:space="preserve">Implement pre-collaboration assessments to ensure strategic alignment before approving multi-institutional grants.</w:t>
      </w:r>
      <w:r/>
    </w:p>
    <w:p>
      <w:pPr>
        <w:pStyle w:val="907"/>
        <w:pBdr/>
        <w:spacing/>
        <w:ind/>
        <w:rPr/>
      </w:pPr>
      <w:r>
        <w:t xml:space="preserve">Create targeted funding for high-excellence research groups to amplify impact.</w:t>
      </w:r>
      <w:r/>
    </w:p>
    <w:p>
      <w:pPr>
        <w:pStyle w:val="907"/>
        <w:pBdr/>
        <w:spacing/>
        <w:ind/>
        <w:rPr/>
      </w:pPr>
      <w:r>
        <w:t xml:space="preserve">Monitor collaboration quality metrics to identify productive vs. unproductive partnerships.</w:t>
      </w:r>
      <w:r/>
    </w:p>
    <w:p>
      <w:pPr>
        <w:pStyle w:val="875"/>
        <w:pBdr/>
        <w:spacing/>
        <w:ind/>
        <w:jc w:val="left"/>
        <w:rPr/>
      </w:pPr>
      <w:r>
        <w:rPr>
          <w:color w:val="1f77b4"/>
        </w:rPr>
        <w:t xml:space="preserve">For Research Institutions</w:t>
      </w:r>
      <w:r/>
    </w:p>
    <w:p>
      <w:pPr>
        <w:pStyle w:val="907"/>
        <w:pBdr/>
        <w:spacing/>
        <w:ind/>
        <w:rPr/>
      </w:pPr>
      <w:r>
        <w:t xml:space="preserve">Adopt quality-focused performance metrics for researchers and departments.</w:t>
      </w:r>
      <w:r/>
    </w:p>
    <w:p>
      <w:pPr>
        <w:pStyle w:val="907"/>
        <w:pBdr/>
        <w:spacing/>
        <w:ind/>
        <w:rPr/>
      </w:pPr>
      <w:r>
        <w:t xml:space="preserve">Provide resources and infrastructure for high-impact research groups.</w:t>
      </w:r>
      <w:r/>
    </w:p>
    <w:p>
      <w:pPr>
        <w:pStyle w:val="907"/>
        <w:pBdr/>
        <w:spacing/>
        <w:ind/>
        <w:rPr/>
      </w:pPr>
      <w:r>
        <w:t xml:space="preserve">Develop strategic collaboration frameworks that emphasize complementarity over volume.</w:t>
      </w:r>
      <w:r/>
    </w:p>
    <w:p>
      <w:pPr>
        <w:pStyle w:val="907"/>
        <w:pBdr/>
        <w:spacing/>
        <w:ind/>
        <w:rPr/>
      </w:pPr>
      <w:r>
        <w:t xml:space="preserve">Create mentorship programs pairing emerging researchers with excellence-focused groups.</w:t>
      </w:r>
      <w:r/>
    </w:p>
    <w:p>
      <w:pPr>
        <w:pStyle w:val="875"/>
        <w:pBdr/>
        <w:spacing/>
        <w:ind/>
        <w:jc w:val="left"/>
        <w:rPr/>
      </w:pPr>
      <w:r>
        <w:rPr>
          <w:color w:val="1f77b4"/>
        </w:rPr>
        <w:t xml:space="preserve">For Individual Researchers</w:t>
      </w:r>
      <w:r/>
    </w:p>
    <w:p>
      <w:pPr>
        <w:pStyle w:val="907"/>
        <w:pBdr/>
        <w:spacing/>
        <w:ind/>
        <w:rPr/>
      </w:pPr>
      <w:r>
        <w:t xml:space="preserve">Focus on research quality and potential impact rather than publication volume.</w:t>
      </w:r>
      <w:r/>
    </w:p>
    <w:p>
      <w:pPr>
        <w:pStyle w:val="907"/>
        <w:pBdr/>
        <w:spacing/>
        <w:ind/>
        <w:rPr/>
      </w:pPr>
      <w:r>
        <w:t xml:space="preserve">Carefully select collaboration partners based on strategic alignment and complementary expertise.</w:t>
      </w:r>
      <w:r/>
    </w:p>
    <w:p>
      <w:pPr>
        <w:pStyle w:val="907"/>
        <w:pBdr/>
        <w:spacing/>
        <w:ind/>
        <w:rPr/>
      </w:pPr>
      <w:r>
        <w:t xml:space="preserve">Engage in research communities and networks that can provide feedback and quality assurance.</w:t>
      </w:r>
      <w:r/>
    </w:p>
    <w:p>
      <w:pPr>
        <w:pStyle w:val="907"/>
        <w:pBdr/>
        <w:spacing/>
        <w:ind/>
        <w:rPr/>
      </w:pPr>
      <w:r>
        <w:t xml:space="preserve">Prioritize deep, focused research over breadth of topics.</w:t>
      </w:r>
      <w:r/>
    </w:p>
    <w:p>
      <w:pPr>
        <w:pBdr/>
        <w:spacing/>
        <w:ind/>
        <w:rPr/>
      </w:pPr>
      <w:r>
        <w:br w:type="page" w:clear="all"/>
      </w:r>
      <w:r/>
    </w:p>
    <w:p>
      <w:pPr>
        <w:pStyle w:val="874"/>
        <w:pBdr/>
        <w:spacing/>
        <w:ind/>
        <w:jc w:val="left"/>
        <w:rPr/>
      </w:pPr>
      <w:r>
        <w:rPr>
          <w:color w:val="0b3d91"/>
        </w:rPr>
        <w:t xml:space="preserve">Conclusion</w:t>
      </w:r>
      <w:r/>
    </w:p>
    <w:p>
      <w:pPr>
        <w:pBdr/>
        <w:spacing/>
        <w:ind/>
        <w:rPr/>
      </w:pPr>
      <w:r>
        <w:t xml:space="preserve">This analysis of 23 yea</w:t>
      </w:r>
      <w:r>
        <w:t xml:space="preserve">rs of global research data from 17 leading nations challenges several widely held assumptions in academic research. The key finding is that research excellence is not achieved through conventional wisdom of maximizing collaborations and publication volume.</w:t>
      </w:r>
      <w:r/>
    </w:p>
    <w:p>
      <w:pPr>
        <w:pBdr/>
        <w:spacing/>
        <w:ind/>
        <w:rPr/>
      </w:pPr>
      <w:r>
        <w:t xml:space="preserve">Instead, the data demonstrates that:</w:t>
      </w:r>
      <w:r/>
    </w:p>
    <w:p>
      <w:pPr>
        <w:pBdr/>
        <w:spacing/>
        <w:ind/>
        <w:rPr/>
      </w:pPr>
      <w:r>
        <w:t xml:space="preserve">1. Quality Trumps Quantity: Sustained research impact depends on focusing resources on high-quality, impactful research rather than maximizing publication volume.</w:t>
      </w:r>
      <w:r/>
    </w:p>
    <w:p>
      <w:pPr>
        <w:pBdr/>
        <w:spacing/>
        <w:ind/>
        <w:rPr/>
      </w:pPr>
      <w:r>
        <w:t xml:space="preserve">2. Collaboration Requires Strategy: Not all collaborations enhance research impact. Strategic, high-quality partnerships outperform numerous low-alignment partnerships.</w:t>
      </w:r>
      <w:r/>
    </w:p>
    <w:p>
      <w:pPr>
        <w:pBdr/>
        <w:spacing/>
        <w:ind/>
        <w:rPr/>
      </w:pPr>
      <w:r>
        <w:t xml:space="preserve">3. Excellence is Stable: Global research systems maintain consistent quality standards over time, suggesting self-correcting mechanisms are effective.</w:t>
      </w:r>
      <w:r/>
    </w:p>
    <w:p>
      <w:pPr>
        <w:pBdr/>
        <w:spacing/>
        <w:ind/>
        <w:rPr/>
      </w:pPr>
      <w:r>
        <w:t xml:space="preserve">4. Excellence is Concentrated: A minority of research entities and individuals drive disproportionate research impact, suggesting targeted investment in excellence can yield significant returns.</w:t>
      </w:r>
      <w:r/>
    </w:p>
    <w:p>
      <w:pPr>
        <w:pBdr/>
        <w:spacing/>
        <w:ind/>
        <w:rPr/>
      </w:pPr>
      <w:r>
        <w:t xml:space="preserve">This research provides evidence-based guidance for research leaders, policyma</w:t>
      </w:r>
      <w:r>
        <w:t xml:space="preserve">kers, and institutions seeking to maximize the global impact of scientific research. Implementation of these insights can lead to more efficient research funding allocation, improved research outcomes, and greater contribution to solving global challenges.</w:t>
      </w:r>
      <w:r/>
    </w:p>
    <w:p>
      <w:pPr>
        <w:pBdr/>
        <w:spacing/>
        <w:ind/>
        <w:rPr/>
      </w:pPr>
      <w:r>
        <w:t xml:space="preserve">The path forward requires a fundamental shift i</w:t>
      </w:r>
      <w:r>
        <w:t xml:space="preserve">n how we evaluate, fund, and celebrate research. By focusing on quality, strategic collaboration, and support for excellence, the global research community can maximize its impact and accelerate progress toward solutions for humanity's greatest challenges.</w:t>
      </w:r>
      <w:r/>
    </w:p>
    <w:p>
      <w:pPr>
        <w:pStyle w:val="874"/>
        <w:pBdr/>
        <w:spacing/>
        <w:ind/>
        <w:jc w:val="left"/>
        <w:rPr/>
      </w:pPr>
      <w:r>
        <w:rPr>
          <w:color w:val="0b3d91"/>
        </w:rPr>
        <w:t xml:space="preserve">Document Information</w:t>
      </w:r>
      <w:r/>
    </w:p>
    <w:tbl>
      <w:tblPr>
        <w:tblStyle w:val="950"/>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Report Title</w:t>
            </w:r>
            <w:r/>
          </w:p>
        </w:tc>
        <w:tc>
          <w:tcPr>
            <w:tcBorders/>
            <w:tcW w:w="4320" w:type="dxa"/>
            <w:textDirection w:val="lrTb"/>
            <w:noWrap w:val="false"/>
          </w:tcPr>
          <w:p>
            <w:pPr>
              <w:pBdr/>
              <w:spacing/>
              <w:ind/>
              <w:rPr/>
            </w:pPr>
            <w:r>
              <w:t xml:space="preserve">Global Research Performance Analysis: 2003–2025</w:t>
            </w:r>
            <w:r/>
          </w:p>
        </w:tc>
      </w:tr>
      <w:tr>
        <w:trPr/>
        <w:tc>
          <w:tcPr>
            <w:tcBorders/>
            <w:tcW w:w="4320" w:type="dxa"/>
            <w:textDirection w:val="lrTb"/>
            <w:noWrap w:val="false"/>
          </w:tcPr>
          <w:p>
            <w:pPr>
              <w:pBdr/>
              <w:spacing/>
              <w:ind/>
              <w:rPr/>
            </w:pPr>
            <w:r>
              <w:t xml:space="preserve">Generation Date</w:t>
            </w:r>
            <w:r/>
          </w:p>
        </w:tc>
        <w:tc>
          <w:tcPr>
            <w:tcBorders/>
            <w:tcW w:w="4320" w:type="dxa"/>
            <w:textDirection w:val="lrTb"/>
            <w:noWrap w:val="false"/>
          </w:tcPr>
          <w:p>
            <w:pPr>
              <w:pBdr/>
              <w:spacing/>
              <w:ind/>
              <w:rPr/>
            </w:pPr>
            <w:r>
              <w:t xml:space="preserve">November 30, 2025 at 18:41:17</w:t>
            </w:r>
            <w:r/>
          </w:p>
        </w:tc>
      </w:tr>
      <w:tr>
        <w:trPr/>
        <w:tc>
          <w:tcPr>
            <w:tcBorders/>
            <w:tcW w:w="4320" w:type="dxa"/>
            <w:textDirection w:val="lrTb"/>
            <w:noWrap w:val="false"/>
          </w:tcPr>
          <w:p>
            <w:pPr>
              <w:pBdr/>
              <w:spacing/>
              <w:ind/>
              <w:rPr/>
            </w:pPr>
            <w:r>
              <w:t xml:space="preserve">Data Source</w:t>
            </w:r>
            <w:r/>
          </w:p>
        </w:tc>
        <w:tc>
          <w:tcPr>
            <w:tcBorders/>
            <w:tcW w:w="4320" w:type="dxa"/>
            <w:textDirection w:val="lrTb"/>
            <w:noWrap w:val="false"/>
          </w:tcPr>
          <w:p>
            <w:pPr>
              <w:pBdr/>
              <w:spacing/>
              <w:ind/>
              <w:rPr/>
            </w:pPr>
            <w:r>
              <w:t xml:space="preserve">Web of Science (2003–2025)</w:t>
            </w:r>
            <w:r/>
          </w:p>
        </w:tc>
      </w:tr>
      <w:tr>
        <w:trPr/>
        <w:tc>
          <w:tcPr>
            <w:tcBorders/>
            <w:tcW w:w="4320" w:type="dxa"/>
            <w:textDirection w:val="lrTb"/>
            <w:noWrap w:val="false"/>
          </w:tcPr>
          <w:p>
            <w:pPr>
              <w:pBdr/>
              <w:spacing/>
              <w:ind/>
              <w:rPr/>
            </w:pPr>
            <w:r>
              <w:t xml:space="preserve">Metric Definition</w:t>
            </w:r>
            <w:r/>
          </w:p>
        </w:tc>
        <w:tc>
          <w:tcPr>
            <w:tcBorders/>
            <w:tcW w:w="4320" w:type="dxa"/>
            <w:textDirection w:val="lrTb"/>
            <w:noWrap w:val="false"/>
          </w:tcPr>
          <w:p>
            <w:pPr>
              <w:pBdr/>
              <w:spacing/>
              <w:ind/>
              <w:rPr/>
            </w:pPr>
            <w:r>
              <w:t xml:space="preserve">CNCI (Category Normalized Citation Impact) | 1.0 = World Average</w:t>
            </w:r>
            <w:r/>
          </w:p>
        </w:tc>
      </w:tr>
      <w:tr>
        <w:trPr/>
        <w:tc>
          <w:tcPr>
            <w:tcBorders/>
            <w:tcW w:w="4320" w:type="dxa"/>
            <w:textDirection w:val="lrTb"/>
            <w:noWrap w:val="false"/>
          </w:tcPr>
          <w:p>
            <w:pPr>
              <w:pBdr/>
              <w:spacing/>
              <w:ind/>
              <w:rPr/>
            </w:pPr>
            <w:r>
              <w:t xml:space="preserve">Prepared For</w:t>
            </w:r>
            <w:r/>
          </w:p>
        </w:tc>
        <w:tc>
          <w:tcPr>
            <w:tcBorders/>
            <w:tcW w:w="4320" w:type="dxa"/>
            <w:textDirection w:val="lrTb"/>
            <w:noWrap w:val="false"/>
          </w:tcPr>
          <w:p>
            <w:pPr>
              <w:pBdr/>
              <w:spacing/>
              <w:ind/>
              <w:rPr/>
            </w:pPr>
            <w:r>
              <w:t xml:space="preserve">PAIU-OPSA, IISc Bangalore</w:t>
            </w:r>
            <w:r/>
          </w:p>
        </w:tc>
      </w:tr>
      <w:tr>
        <w:trPr/>
        <w:tc>
          <w:tcPr>
            <w:tcBorders/>
            <w:tcW w:w="4320" w:type="dxa"/>
            <w:textDirection w:val="lrTb"/>
            <w:noWrap w:val="false"/>
          </w:tcPr>
          <w:p>
            <w:pPr>
              <w:pBdr/>
              <w:spacing/>
              <w:ind/>
              <w:rPr/>
            </w:pPr>
            <w:r>
              <w:t xml:space="preserve">Project</w:t>
            </w:r>
            <w:r/>
          </w:p>
        </w:tc>
        <w:tc>
          <w:tcPr>
            <w:tcBorders/>
            <w:tcW w:w="4320" w:type="dxa"/>
            <w:textDirection w:val="lrTb"/>
            <w:noWrap w:val="false"/>
          </w:tcPr>
          <w:p>
            <w:pPr>
              <w:pBdr/>
              <w:spacing/>
              <w:ind/>
              <w:rPr/>
            </w:pPr>
            <w:r>
              <w:t xml:space="preserve">Global Research Excellence Analysis</w:t>
            </w:r>
            <w:r/>
          </w:p>
        </w:tc>
      </w:tr>
      <w:tr>
        <w:trPr/>
        <w:tc>
          <w:tcPr>
            <w:tcBorders/>
            <w:tcW w:w="4320" w:type="dxa"/>
            <w:textDirection w:val="lrTb"/>
            <w:noWrap w:val="false"/>
          </w:tcPr>
          <w:p>
            <w:pPr>
              <w:pBdr/>
              <w:spacing/>
              <w:ind/>
              <w:rPr/>
            </w:pPr>
            <w:r>
              <w:t xml:space="preserve">Analysis Countries</w:t>
            </w:r>
            <w:r/>
          </w:p>
        </w:tc>
        <w:tc>
          <w:tcPr>
            <w:tcBorders/>
            <w:tcW w:w="4320" w:type="dxa"/>
            <w:textDirection w:val="lrTb"/>
            <w:noWrap w:val="false"/>
          </w:tcPr>
          <w:p>
            <w:pPr>
              <w:pBdr/>
              <w:spacing/>
              <w:ind/>
              <w:rPr/>
            </w:pPr>
            <w:r>
              <w:t xml:space="preserve">17 leading research nations</w:t>
            </w:r>
            <w:r/>
          </w:p>
        </w:tc>
      </w:tr>
    </w:tbl>
    <w:p>
      <w:pPr>
        <w:pBdr/>
        <w:spacing/>
        <w:ind/>
        <w:rPr/>
      </w:p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rPr>
      <w:rFonts w:ascii="Calibri" w:hAnsi="Calibri"/>
      <w:sz w:val="22"/>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2025-11-30T18:37:32Z</dcterms:modified>
  <cp:category/>
</cp:coreProperties>
</file>