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4"/>
          <w:szCs w:val="44"/>
        </w:rPr>
        <w:t xml:space="preserve">Master Test Plan — LedgerHub Mobile</w:t>
      </w:r>
    </w:p>
    <w:p>
      <w:pPr>
        <w:spacing w:after="400"/>
      </w:pPr>
      <w:r>
        <w:rPr>
          <w:color w:val="555555"/>
          <w:sz w:val="26"/>
          <w:szCs w:val="26"/>
        </w:rPr>
        <w:t xml:space="preserve">US-01 à US-25 — Cahier de recette fonctionnel manuel</w:t>
      </w:r>
    </w:p>
    <w:p>
      <w:pPr>
        <w:pStyle w:val="Title"/>
        <w:spacing w:after="140" w:before="280"/>
      </w:pPr>
      <w:r>
        <w:t xml:space="preserve">Master Test Plan — LedgerHub Mobile (US-01 à US-25)</w:t>
      </w:r>
    </w:p>
    <w:p>
      <w:pPr>
        <w:spacing w:after="120"/>
      </w:pPr>
      <w:r>
        <w:rPr>
          <w:b/>
          <w:bCs/>
        </w:rPr>
        <w:t xml:space="preserve">Application :</w:t>
      </w:r>
      <w:r>
        <w:t xml:space="preserve"> LedgerHub Mobile — facturation B2B conforme Factur-X 2026 (Compose Multiplatform, Android validé / iOS on hold)</w:t>
      </w:r>
    </w:p>
    <w:p>
      <w:pPr>
        <w:spacing w:after="120"/>
      </w:pPr>
      <w:r>
        <w:rPr>
          <w:b/>
          <w:bCs/>
        </w:rPr>
        <w:t xml:space="preserve">Périmètre :</w:t>
      </w:r>
      <w:r>
        <w:t xml:space="preserve"> parité fonctionnelle mobile, 25 User Stories</w:t>
      </w:r>
    </w:p>
    <w:p>
      <w:pPr>
        <w:spacing w:after="120"/>
      </w:pPr>
      <w:r>
        <w:rPr>
          <w:b/>
          <w:bCs/>
        </w:rPr>
        <w:t xml:space="preserve">Support de recette :</w:t>
      </w:r>
      <w:r>
        <w:t xml:space="preserve"> émulateur ou appareil physique Android (référence QA du projet : Pixel 5, API 35, 393×851 dp)</w:t>
      </w:r>
    </w:p>
    <w:p>
      <w:pPr>
        <w:spacing w:after="120"/>
      </w:pPr>
      <w:r>
        <w:rPr>
          <w:b/>
          <w:bCs/>
        </w:rPr>
        <w:t xml:space="preserve">Langue de rédaction des scénarios :</w:t>
      </w:r>
      <w:r>
        <w:t xml:space="preserve"> français — l'application démarre en français par défaut</w:t>
      </w:r>
    </w:p>
    <w:p>
      <w:pPr>
        <w:pStyle w:val="Heading1"/>
        <w:pageBreakBefore/>
        <w:spacing w:after="140" w:before="400"/>
      </w:pPr>
      <w:r>
        <w:t xml:space="preserve">Comment lire ce document</w:t>
      </w:r>
    </w:p>
    <w:p>
      <w:pPr>
        <w:pStyle w:val="ListParagraph"/>
        <w:numPr>
          <w:ilvl w:val="0"/>
          <w:numId w:val="1"/>
        </w:numPr>
        <w:spacing w:after="80"/>
      </w:pPr>
      <w:r>
        <w:t xml:space="preserve">Chaque scénario est identifié </w:t>
      </w:r>
      <w:r>
        <w:rPr>
          <w:rFonts w:ascii="Consolas" w:cs="Consolas" w:eastAsia="Consolas" w:hAnsi="Consolas"/>
          <w:sz w:val="20"/>
          <w:szCs w:val="20"/>
          <w:shd w:fill="EEEEEE" w:val="clear"/>
        </w:rPr>
        <w:t xml:space="preserve">[MOB-&lt;MODULE&gt;-NN]</w:t>
      </w:r>
      <w:r>
        <w:t xml:space="preserve">.</w:t>
      </w:r>
    </w:p>
    <w:p>
      <w:pPr>
        <w:pStyle w:val="ListParagraph"/>
        <w:numPr>
          <w:ilvl w:val="0"/>
          <w:numId w:val="1"/>
        </w:numPr>
        <w:spacing w:after="80"/>
      </w:pPr>
      <w:r>
        <w:rPr>
          <w:b/>
          <w:bCs/>
        </w:rPr>
        <w:t xml:space="preserve">Type</w:t>
      </w:r>
      <w:r>
        <w:t xml:space="preserve"> : </w:t>
      </w:r>
      <w:r>
        <w:rPr>
          <w:rFonts w:ascii="Consolas" w:cs="Consolas" w:eastAsia="Consolas" w:hAnsi="Consolas"/>
          <w:sz w:val="20"/>
          <w:szCs w:val="20"/>
          <w:shd w:fill="EEEEEE" w:val="clear"/>
        </w:rPr>
        <w:t xml:space="preserve">Passant</w:t>
      </w:r>
      <w:r>
        <w:t xml:space="preserve"> (chemin nominal) ou </w:t>
      </w:r>
      <w:r>
        <w:rPr>
          <w:rFonts w:ascii="Consolas" w:cs="Consolas" w:eastAsia="Consolas" w:hAnsi="Consolas"/>
          <w:sz w:val="20"/>
          <w:szCs w:val="20"/>
          <w:shd w:fill="EEEEEE" w:val="clear"/>
        </w:rPr>
        <w:t xml:space="preserve">Non passant</w:t>
      </w:r>
      <w:r>
        <w:t xml:space="preserve"> (erreur / cas limite).</w:t>
      </w:r>
    </w:p>
    <w:p>
      <w:pPr>
        <w:pStyle w:val="ListParagraph"/>
        <w:numPr>
          <w:ilvl w:val="0"/>
          <w:numId w:val="1"/>
        </w:numPr>
        <w:spacing w:after="80"/>
      </w:pPr>
      <w:r>
        <w:rPr>
          <w:b/>
          <w:bCs/>
        </w:rPr>
        <w:t xml:space="preserve">Préconditions</w:t>
      </w:r>
      <w:r>
        <w:t xml:space="preserve"> : état de l'application et des données avant de commencer le scénario.</w:t>
      </w:r>
    </w:p>
    <w:p>
      <w:pPr>
        <w:pStyle w:val="ListParagraph"/>
        <w:numPr>
          <w:ilvl w:val="0"/>
          <w:numId w:val="1"/>
        </w:numPr>
        <w:spacing w:after="80"/>
      </w:pPr>
      <w:r>
        <w:rPr>
          <w:b/>
          <w:bCs/>
        </w:rPr>
        <w:t xml:space="preserve">Actions</w:t>
      </w:r>
      <w:r>
        <w:t xml:space="preserve"> : gestes numérotés (Tap, Scroll, Swipe, Saisie, Rotation…).</w:t>
      </w:r>
    </w:p>
    <w:p>
      <w:pPr>
        <w:pStyle w:val="ListParagraph"/>
        <w:numPr>
          <w:ilvl w:val="0"/>
          <w:numId w:val="1"/>
        </w:numPr>
        <w:spacing w:after="80"/>
      </w:pPr>
      <w:r>
        <w:rPr>
          <w:b/>
          <w:bCs/>
        </w:rPr>
        <w:t xml:space="preserve">Résultat attendu</w:t>
      </w:r>
      <w:r>
        <w:t xml:space="preserve"> : décrit </w:t>
      </w:r>
      <w:r>
        <w:rPr>
          <w:b/>
          <w:bCs/>
        </w:rPr>
        <w:t xml:space="preserve">après chaque action critique</w:t>
      </w:r>
      <w:r>
        <w:t xml:space="preserve">, pas seulement à la fin — un testeur doit pouvoir arrêter le scénario au premier écart.</w:t>
      </w:r>
    </w:p>
    <w:p>
      <w:pPr>
        <w:pStyle w:val="ListParagraph"/>
        <w:numPr>
          <w:ilvl w:val="0"/>
          <w:numId w:val="1"/>
        </w:numPr>
        <w:spacing w:after="80"/>
      </w:pPr>
      <w:r>
        <w:t xml:space="preserve">Les identifiants entre backticks (ex. </w:t>
      </w:r>
      <w:r>
        <w:rPr>
          <w:rFonts w:ascii="Consolas" w:cs="Consolas" w:eastAsia="Consolas" w:hAnsi="Consolas"/>
          <w:sz w:val="20"/>
          <w:szCs w:val="20"/>
          <w:shd w:fill="EEEEEE" w:val="clear"/>
        </w:rPr>
        <w:t xml:space="preserve">theme_toggle_btn</w:t>
      </w:r>
      <w:r>
        <w:t xml:space="preserve">) sont les tags techniques (</w:t>
      </w:r>
      <w:r>
        <w:rPr>
          <w:rFonts w:ascii="Consolas" w:cs="Consolas" w:eastAsia="Consolas" w:hAnsi="Consolas"/>
          <w:sz w:val="20"/>
          <w:szCs w:val="20"/>
          <w:shd w:fill="EEEEEE" w:val="clear"/>
        </w:rPr>
        <w:t xml:space="preserve">testTag</w:t>
      </w:r>
      <w:r>
        <w:t xml:space="preserve">) posés sur les éléments — utiles si le testeur dispose d'un outil d'inspection d'accessibilité, mais chaque scénario reste lisible sans eux : ils ne remplacent jamais la description visuelle du geste.</w:t>
      </w:r>
    </w:p>
    <w:p>
      <w:pPr>
        <w:pStyle w:val="ListParagraph"/>
        <w:numPr>
          <w:ilvl w:val="0"/>
          <w:numId w:val="1"/>
        </w:numPr>
        <w:spacing w:after="80"/>
      </w:pPr>
      <w:r>
        <w:t xml:space="preserve">Sauf mention contraire, les scénarios s'exécutent en </w:t>
      </w:r>
      <w:r>
        <w:rPr>
          <w:b/>
          <w:bCs/>
        </w:rPr>
        <w:t xml:space="preserve">portrait, largeur compacte</w:t>
      </w:r>
      <w:r>
        <w:t xml:space="preserve"> (téléphone). Les scénarios de largeur étendue (tablette / paysage ≥ 840 dp) sont regroupés dans le module 9.</w:t>
      </w:r>
    </w:p>
    <w:p>
      <w:pPr>
        <w:pStyle w:val="Heading1"/>
        <w:pageBreakBefore/>
        <w:spacing w:after="140" w:before="400"/>
      </w:pPr>
      <w:r>
        <w:t xml:space="preserve">⚠️ Point d'attention transversal — deux écrans non câblés dans la navigation</w:t>
      </w:r>
    </w:p>
    <w:p>
      <w:pPr>
        <w:spacing w:after="120"/>
      </w:pPr>
      <w:r>
        <w:t xml:space="preserve">Les écrans de connexion/inscription (</w:t>
      </w:r>
      <w:r>
        <w:rPr>
          <w:rFonts w:ascii="Consolas" w:cs="Consolas" w:eastAsia="Consolas" w:hAnsi="Consolas"/>
          <w:sz w:val="20"/>
          <w:szCs w:val="20"/>
          <w:shd w:fill="EEEEEE" w:val="clear"/>
        </w:rPr>
        <w:t xml:space="preserve">login_screen</w:t>
      </w:r>
      <w:r>
        <w:t xml:space="preserve">, module 1) et e-Reporting (</w:t>
      </w:r>
      <w:r>
        <w:rPr>
          <w:rFonts w:ascii="Consolas" w:cs="Consolas" w:eastAsia="Consolas" w:hAnsi="Consolas"/>
          <w:sz w:val="20"/>
          <w:szCs w:val="20"/>
          <w:shd w:fill="EEEEEE" w:val="clear"/>
        </w:rPr>
        <w:t xml:space="preserve">ereporting_screen</w:t>
      </w:r>
      <w:r>
        <w:t xml:space="preserve">, module 11) </w:t>
      </w:r>
      <w:r>
        <w:rPr>
          <w:b/>
          <w:bCs/>
        </w:rPr>
        <w:t xml:space="preserve">existent dans le code mais ne sont reliés à aucune navigation de l'application</w:t>
      </w:r>
      <w:r>
        <w:t xml:space="preserve"> : </w:t>
      </w:r>
      <w:r>
        <w:rPr>
          <w:rFonts w:ascii="Consolas" w:cs="Consolas" w:eastAsia="Consolas" w:hAnsi="Consolas"/>
          <w:sz w:val="20"/>
          <w:szCs w:val="20"/>
          <w:shd w:fill="EEEEEE" w:val="clear"/>
        </w:rPr>
        <w:t xml:space="preserve">App.kt</w:t>
      </w:r>
      <w:r>
        <w:t xml:space="preserve"> ne les référence nulle part, et aucun bouton du shell n'y mène. Un testeur qui lance l'application arrive directement sur le tableau de bord, base de démonstration déjà peuplée, sans jamais croiser ces deux écrans. Les modules 1 et 11 documentent les scénarios attendus </w:t>
      </w:r>
      <w:r>
        <w:rPr>
          <w:b/>
          <w:bCs/>
        </w:rPr>
        <w:t xml:space="preserve">pour mémoire et pour une recette outillée</w:t>
      </w:r>
      <w:r>
        <w:t xml:space="preserve"> (harnais de test dédié), mais un testeur manuel sur l'APK standard doit les sauter et les signaler comme </w:t>
      </w:r>
      <w:r>
        <w:rPr>
          <w:b/>
          <w:bCs/>
        </w:rPr>
        <w:t xml:space="preserve">non exécutables en l'état</w:t>
      </w:r>
      <w:r>
        <w:t xml:space="preserve"> plutôt que comme échec. Détail complet, avec les autres anomalies connues, dans l'encart </w:t>
      </w:r>
      <w:r>
        <w:rPr>
          <w:b/>
          <w:bCs/>
        </w:rPr>
        <w:t xml:space="preserve">⚠️ Dette Technique &amp; Anomalies Connues</w:t>
      </w:r>
      <w:r>
        <w:t xml:space="preserve"> en fin de document.</w:t>
      </w:r>
    </w:p>
    <w:p>
      <w:pPr>
        <w:pBdr>
          <w:bottom w:val="single" w:color="AAAAAA" w:sz="6" w:space="1"/>
        </w:pBdr>
        <w:spacing w:after="240" w:before="120"/>
      </w:pPr>
    </w:p>
    <w:p>
      <w:pPr>
        <w:pStyle w:val="Heading1"/>
        <w:pageBreakBefore/>
        <w:spacing w:after="140" w:before="400"/>
      </w:pPr>
      <w:r>
        <w:t xml:space="preserve">1. Inscription &amp; Authentification (US-21)</w:t>
      </w:r>
    </w:p>
    <w:p>
      <w:pPr>
        <w:pBdr>
          <w:left w:val="single" w:color="D4A017" w:sz="18" w:space="8"/>
        </w:pBdr>
        <w:shd w:fill="FFF4CE" w:val="clear"/>
        <w:spacing w:after="160" w:before="100"/>
        <w:ind w:left="215"/>
      </w:pPr>
      <w:r>
        <w:rPr>
          <w:i/>
          <w:iCs/>
        </w:rPr>
        <w:t xml:space="preserve">⚠️ Non atteignable depuis le parcours normal de l'application — voir l'avertissement ci-dessus. Les scénarios suivants supposent un harnais de test qui monte </w:t>
      </w:r>
      <w:r>
        <w:rPr>
          <w:rFonts w:ascii="Consolas" w:cs="Consolas" w:eastAsia="Consolas" w:hAnsi="Consolas"/>
          <w:i/>
          <w:iCs/>
          <w:sz w:val="20"/>
          <w:szCs w:val="20"/>
          <w:shd w:fill="EEEEEE" w:val="clear"/>
        </w:rPr>
        <w:t xml:space="preserve">AuthScreen</w:t>
      </w:r>
      <w:r>
        <w:rPr>
          <w:i/>
          <w:iCs/>
        </w:rPr>
        <w:t xml:space="preserve"> directement (</w:t>
      </w:r>
      <w:r>
        <w:rPr>
          <w:rFonts w:ascii="Consolas" w:cs="Consolas" w:eastAsia="Consolas" w:hAnsi="Consolas"/>
          <w:i/>
          <w:iCs/>
          <w:sz w:val="20"/>
          <w:szCs w:val="20"/>
          <w:shd w:fill="EEEEEE" w:val="clear"/>
        </w:rPr>
        <w:t xml:space="preserve">login_screen</w:t>
      </w:r>
      <w:r>
        <w:rPr>
          <w:i/>
          <w:iCs/>
        </w:rPr>
        <w:t xml:space="preserve">), ou une future intégration dans </w:t>
      </w:r>
      <w:r>
        <w:rPr>
          <w:rFonts w:ascii="Consolas" w:cs="Consolas" w:eastAsia="Consolas" w:hAnsi="Consolas"/>
          <w:i/>
          <w:iCs/>
          <w:sz w:val="20"/>
          <w:szCs w:val="20"/>
          <w:shd w:fill="EEEEEE" w:val="clear"/>
        </w:rPr>
        <w:t xml:space="preserve">App.kt</w:t>
      </w:r>
      <w:r>
        <w:rPr>
          <w:i/>
          <w:iCs/>
        </w:rPr>
        <w:t xml:space="preserve">.</w:t>
      </w:r>
    </w:p>
    <w:p>
      <w:pPr>
        <w:pStyle w:val="Heading2"/>
        <w:spacing w:after="140" w:before="260"/>
      </w:pPr>
      <w:r>
        <w:t xml:space="preserve">[MOB-AUTH-01] Connexion nominale</w:t>
      </w:r>
    </w:p>
    <w:p>
      <w:pPr>
        <w:spacing w:after="120"/>
      </w:pPr>
      <w:r>
        <w:rPr>
          <w:b/>
          <w:bCs/>
        </w:rPr>
        <w:t xml:space="preserve">Type :</w:t>
      </w:r>
      <w:r>
        <w:t xml:space="preserve"> Passant</w:t>
      </w:r>
    </w:p>
    <w:p>
      <w:pPr>
        <w:spacing w:after="120"/>
      </w:pPr>
      <w:r>
        <w:rPr>
          <w:b/>
          <w:bCs/>
        </w:rPr>
        <w:t xml:space="preserve">Préconditions :</w:t>
      </w:r>
      <w:r>
        <w:t xml:space="preserve"> Écran de connexion affiché (</w:t>
      </w:r>
      <w:r>
        <w:rPr>
          <w:rFonts w:ascii="Consolas" w:cs="Consolas" w:eastAsia="Consolas" w:hAnsi="Consolas"/>
          <w:sz w:val="20"/>
          <w:szCs w:val="20"/>
          <w:shd w:fill="EEEEEE" w:val="clear"/>
        </w:rPr>
        <w:t xml:space="preserve">login_screen</w:t>
      </w:r>
      <w:r>
        <w:t xml:space="preserve">), onglet « Connexion » actif par défaut.</w:t>
      </w:r>
    </w:p>
    <w:p>
      <w:pPr>
        <w:spacing w:after="120"/>
      </w:pPr>
      <w:r>
        <w:rPr>
          <w:b/>
          <w:bCs/>
        </w:rPr>
        <w:t xml:space="preserve">Actions :</w:t>
      </w:r>
    </w:p>
    <w:p>
      <w:pPr>
        <w:spacing w:after="80"/>
        <w:ind w:left="360"/>
      </w:pPr>
      <w:r>
        <w:rPr>
          <w:b/>
          <w:bCs/>
        </w:rPr>
        <w:t xml:space="preserve">1. </w:t>
      </w:r>
      <w:r>
        <w:t xml:space="preserve">Taper dans le champ « Adresse email » (</w:t>
      </w:r>
      <w:r>
        <w:rPr>
          <w:rFonts w:ascii="Consolas" w:cs="Consolas" w:eastAsia="Consolas" w:hAnsi="Consolas"/>
          <w:sz w:val="20"/>
          <w:szCs w:val="20"/>
          <w:shd w:fill="EEEEEE" w:val="clear"/>
        </w:rPr>
        <w:t xml:space="preserve">login_email_field</w:t>
      </w:r>
      <w:r>
        <w:t xml:space="preserve">) et saisir une adresse valide (ex. </w:t>
      </w:r>
      <w:r>
        <w:rPr>
          <w:rFonts w:ascii="Consolas" w:cs="Consolas" w:eastAsia="Consolas" w:hAnsi="Consolas"/>
          <w:sz w:val="20"/>
          <w:szCs w:val="20"/>
          <w:shd w:fill="EEEEEE" w:val="clear"/>
        </w:rPr>
        <w:t xml:space="preserve">demo@ledgerhub.app</w:t>
      </w:r>
      <w:r>
        <w:t xml:space="preserve">).</w:t>
      </w:r>
    </w:p>
    <w:p>
      <w:pPr>
        <w:spacing w:after="80"/>
        <w:ind w:left="360"/>
      </w:pPr>
      <w:r>
        <w:rPr>
          <w:b/>
          <w:bCs/>
        </w:rPr>
        <w:t xml:space="preserve">2. </w:t>
      </w:r>
      <w:r>
        <w:t xml:space="preserve">Taper dans le champ « Mot de passe » (</w:t>
      </w:r>
      <w:r>
        <w:rPr>
          <w:rFonts w:ascii="Consolas" w:cs="Consolas" w:eastAsia="Consolas" w:hAnsi="Consolas"/>
          <w:sz w:val="20"/>
          <w:szCs w:val="20"/>
          <w:shd w:fill="EEEEEE" w:val="clear"/>
        </w:rPr>
        <w:t xml:space="preserve">login_password_field</w:t>
      </w:r>
      <w:r>
        <w:t xml:space="preserve">) et saisir un mot de passe quelconque non vide.</w:t>
      </w:r>
    </w:p>
    <w:p>
      <w:pPr>
        <w:spacing w:after="80"/>
        <w:ind w:left="360"/>
      </w:pPr>
      <w:r>
        <w:rPr>
          <w:b/>
          <w:bCs/>
        </w:rPr>
        <w:t xml:space="preserve">3. </w:t>
      </w:r>
      <w:r>
        <w:t xml:space="preserve">Taper sur « Se connecter » (</w:t>
      </w:r>
      <w:r>
        <w:rPr>
          <w:rFonts w:ascii="Consolas" w:cs="Consolas" w:eastAsia="Consolas" w:hAnsi="Consolas"/>
          <w:sz w:val="20"/>
          <w:szCs w:val="20"/>
          <w:shd w:fill="EEEEEE" w:val="clear"/>
        </w:rPr>
        <w:t xml:space="preserve">login_submit_button</w:t>
      </w:r>
      <w:r>
        <w:t xml:space="preserve">).</w:t>
      </w:r>
    </w:p>
    <w:p>
      <w:pPr>
        <w:spacing w:after="120"/>
      </w:pPr>
      <w:r>
        <w:rPr>
          <w:b/>
          <w:bCs/>
        </w:rPr>
        <w:t xml:space="preserve">Résultat attendu :</w:t>
      </w:r>
    </w:p>
    <w:p>
      <w:pPr>
        <w:pStyle w:val="ListParagraph"/>
        <w:numPr>
          <w:ilvl w:val="0"/>
          <w:numId w:val="1"/>
        </w:numPr>
        <w:spacing w:after="80"/>
      </w:pPr>
      <w:r>
        <w:t xml:space="preserve">Après l'étape 1-2 : le bouton « Se connecter » devient actif (il était grisé/inerte tant qu'un des deux champs était vide).</w:t>
      </w:r>
    </w:p>
    <w:p>
      <w:pPr>
        <w:pStyle w:val="ListParagraph"/>
        <w:numPr>
          <w:ilvl w:val="0"/>
          <w:numId w:val="1"/>
        </w:numPr>
        <w:spacing w:after="80"/>
      </w:pPr>
      <w:r>
        <w:t xml:space="preserve">Après l'étape 3 : un indicateur de chargement (</w:t>
      </w:r>
      <w:r>
        <w:rPr>
          <w:rFonts w:ascii="Consolas" w:cs="Consolas" w:eastAsia="Consolas" w:hAnsi="Consolas"/>
          <w:sz w:val="20"/>
          <w:szCs w:val="20"/>
          <w:shd w:fill="EEEEEE" w:val="clear"/>
        </w:rPr>
        <w:t xml:space="preserve">login_loading_indicator</w:t>
      </w:r>
      <w:r>
        <w:t xml:space="preserve">) apparaît brièvement pendant l'appel réseau.</w:t>
      </w:r>
    </w:p>
    <w:p>
      <w:pPr>
        <w:pStyle w:val="ListParagraph"/>
        <w:numPr>
          <w:ilvl w:val="0"/>
          <w:numId w:val="1"/>
        </w:numPr>
        <w:spacing w:after="80"/>
      </w:pPr>
      <w:r>
        <w:t xml:space="preserve">Résultat final : aucune erreur affichée ; le drapeau interne de succès est levé (à vérifier via le harnais, aucune navigation visible n'existe encore).</w:t>
      </w:r>
    </w:p>
    <w:p>
      <w:pPr>
        <w:pStyle w:val="Heading2"/>
        <w:spacing w:after="140" w:before="260"/>
      </w:pPr>
      <w:r>
        <w:t xml:space="preserve">[MOB-AUTH-02] Connexion — champs vides</w:t>
      </w:r>
    </w:p>
    <w:p>
      <w:pPr>
        <w:spacing w:after="120"/>
      </w:pPr>
      <w:r>
        <w:rPr>
          <w:b/>
          <w:bCs/>
        </w:rPr>
        <w:t xml:space="preserve">Type :</w:t>
      </w:r>
      <w:r>
        <w:t xml:space="preserve"> Non passant</w:t>
      </w:r>
    </w:p>
    <w:p>
      <w:pPr>
        <w:spacing w:after="120"/>
      </w:pPr>
      <w:r>
        <w:rPr>
          <w:b/>
          <w:bCs/>
        </w:rPr>
        <w:t xml:space="preserve">Préconditions :</w:t>
      </w:r>
      <w:r>
        <w:t xml:space="preserve"> Écran de connexion affiché, champs vides.</w:t>
      </w:r>
    </w:p>
    <w:p>
      <w:pPr>
        <w:spacing w:after="120"/>
      </w:pPr>
      <w:r>
        <w:rPr>
          <w:b/>
          <w:bCs/>
        </w:rPr>
        <w:t xml:space="preserve">Actions :</w:t>
      </w:r>
    </w:p>
    <w:p>
      <w:pPr>
        <w:spacing w:after="80"/>
        <w:ind w:left="360"/>
      </w:pPr>
      <w:r>
        <w:rPr>
          <w:b/>
          <w:bCs/>
        </w:rPr>
        <w:t xml:space="preserve">1. </w:t>
      </w:r>
      <w:r>
        <w:t xml:space="preserve">Observer l'état du bouton « Se connecter » sans rien saisir.</w:t>
      </w:r>
    </w:p>
    <w:p>
      <w:pPr>
        <w:spacing w:after="120"/>
      </w:pPr>
      <w:r>
        <w:rPr>
          <w:b/>
          <w:bCs/>
        </w:rPr>
        <w:t xml:space="preserve">Résultat attendu :</w:t>
      </w:r>
      <w:r>
        <w:t xml:space="preserve"> le bouton reste inerte (grisé ou sans effet au tap) : </w:t>
      </w:r>
      <w:r>
        <w:rPr>
          <w:rFonts w:ascii="Consolas" w:cs="Consolas" w:eastAsia="Consolas" w:hAnsi="Consolas"/>
          <w:sz w:val="20"/>
          <w:szCs w:val="20"/>
          <w:shd w:fill="EEEEEE" w:val="clear"/>
        </w:rPr>
        <w:t xml:space="preserve">email.isNotBlank() &amp;&amp; password.isNotBlank()</w:t>
      </w:r>
      <w:r>
        <w:t xml:space="preserve"> doit être faux.</w:t>
      </w:r>
    </w:p>
    <w:p>
      <w:pPr>
        <w:pStyle w:val="Heading2"/>
        <w:spacing w:after="140" w:before="260"/>
      </w:pPr>
      <w:r>
        <w:t xml:space="preserve">[MOB-AUTH-03] Connexion — échec réseau / identifiants refusés</w:t>
      </w:r>
    </w:p>
    <w:p>
      <w:pPr>
        <w:spacing w:after="120"/>
      </w:pPr>
      <w:r>
        <w:rPr>
          <w:b/>
          <w:bCs/>
        </w:rPr>
        <w:t xml:space="preserve">Type :</w:t>
      </w:r>
      <w:r>
        <w:t xml:space="preserve"> Non passant</w:t>
      </w:r>
    </w:p>
    <w:p>
      <w:pPr>
        <w:spacing w:after="120"/>
      </w:pPr>
      <w:r>
        <w:rPr>
          <w:b/>
          <w:bCs/>
        </w:rPr>
        <w:t xml:space="preserve">Préconditions :</w:t>
      </w:r>
      <w:r>
        <w:t xml:space="preserve"> Écran de connexion, email/mot de passe saisis, backend configuré pour renvoyer une erreur (ou réseau coupé).</w:t>
      </w:r>
    </w:p>
    <w:p>
      <w:pPr>
        <w:spacing w:after="120"/>
      </w:pPr>
      <w:r>
        <w:rPr>
          <w:b/>
          <w:bCs/>
        </w:rPr>
        <w:t xml:space="preserve">Actions :</w:t>
      </w:r>
    </w:p>
    <w:p>
      <w:pPr>
        <w:spacing w:after="80"/>
        <w:ind w:left="360"/>
      </w:pPr>
      <w:r>
        <w:rPr>
          <w:b/>
          <w:bCs/>
        </w:rPr>
        <w:t xml:space="preserve">1. </w:t>
      </w:r>
      <w:r>
        <w:t xml:space="preserve">Saisir email et mot de passe.</w:t>
      </w:r>
    </w:p>
    <w:p>
      <w:pPr>
        <w:spacing w:after="80"/>
        <w:ind w:left="360"/>
      </w:pPr>
      <w:r>
        <w:rPr>
          <w:b/>
          <w:bCs/>
        </w:rPr>
        <w:t xml:space="preserve">2. </w:t>
      </w:r>
      <w:r>
        <w:t xml:space="preserve">Taper « Se connecter ».</w:t>
      </w:r>
    </w:p>
    <w:p>
      <w:pPr>
        <w:spacing w:after="120"/>
      </w:pPr>
      <w:r>
        <w:rPr>
          <w:b/>
          <w:bCs/>
        </w:rPr>
        <w:t xml:space="preserve">Résultat attendu :</w:t>
      </w:r>
    </w:p>
    <w:p>
      <w:pPr>
        <w:pStyle w:val="ListParagraph"/>
        <w:numPr>
          <w:ilvl w:val="0"/>
          <w:numId w:val="1"/>
        </w:numPr>
        <w:spacing w:after="80"/>
      </w:pPr>
      <w:r>
        <w:t xml:space="preserve">L'indicateur de chargement disparaît.</w:t>
      </w:r>
    </w:p>
    <w:p>
      <w:pPr>
        <w:pStyle w:val="ListParagraph"/>
        <w:numPr>
          <w:ilvl w:val="0"/>
          <w:numId w:val="1"/>
        </w:numPr>
        <w:spacing w:after="80"/>
      </w:pPr>
      <w:r>
        <w:t xml:space="preserve">Un message d'erreur apparaît dans </w:t>
      </w:r>
      <w:r>
        <w:rPr>
          <w:rFonts w:ascii="Consolas" w:cs="Consolas" w:eastAsia="Consolas" w:hAnsi="Consolas"/>
          <w:sz w:val="20"/>
          <w:szCs w:val="20"/>
          <w:shd w:fill="EEEEEE" w:val="clear"/>
        </w:rPr>
        <w:t xml:space="preserve">login_error_message</w:t>
      </w:r>
      <w:r>
        <w:t xml:space="preserve"> (message du serveur, ou repli « Erreur inconnue lors de la connexion » si le serveur ne fournit aucun détail).</w:t>
      </w:r>
    </w:p>
    <w:p>
      <w:pPr>
        <w:pStyle w:val="ListParagraph"/>
        <w:numPr>
          <w:ilvl w:val="0"/>
          <w:numId w:val="1"/>
        </w:numPr>
        <w:spacing w:after="80"/>
      </w:pPr>
      <w:r>
        <w:t xml:space="preserve">Les champs saisis restent affichés (rien n'est effacé) pour permettre une nouvelle tentative.</w:t>
      </w:r>
    </w:p>
    <w:p>
      <w:pPr>
        <w:pStyle w:val="Heading2"/>
        <w:spacing w:after="140" w:before="260"/>
      </w:pPr>
      <w:r>
        <w:t xml:space="preserve">[MOB-AUTH-04] Bascule vers l'inscription</w:t>
      </w:r>
    </w:p>
    <w:p>
      <w:pPr>
        <w:spacing w:after="120"/>
      </w:pPr>
      <w:r>
        <w:rPr>
          <w:b/>
          <w:bCs/>
        </w:rPr>
        <w:t xml:space="preserve">Type :</w:t>
      </w:r>
      <w:r>
        <w:t xml:space="preserve"> Passant</w:t>
      </w:r>
    </w:p>
    <w:p>
      <w:pPr>
        <w:spacing w:after="120"/>
      </w:pPr>
      <w:r>
        <w:rPr>
          <w:b/>
          <w:bCs/>
        </w:rPr>
        <w:t xml:space="preserve">Préconditions :</w:t>
      </w:r>
      <w:r>
        <w:t xml:space="preserve"> Onglet « Connexion » actif.</w:t>
      </w:r>
    </w:p>
    <w:p>
      <w:pPr>
        <w:spacing w:after="120"/>
      </w:pPr>
      <w:r>
        <w:rPr>
          <w:b/>
          <w:bCs/>
        </w:rPr>
        <w:t xml:space="preserve">Actions :</w:t>
      </w:r>
    </w:p>
    <w:p>
      <w:pPr>
        <w:spacing w:after="80"/>
        <w:ind w:left="360"/>
      </w:pPr>
      <w:r>
        <w:rPr>
          <w:b/>
          <w:bCs/>
        </w:rPr>
        <w:t xml:space="preserve">1. </w:t>
      </w:r>
      <w:r>
        <w:t xml:space="preserve">Taper « Pas encore de compte ? S'inscrire » (</w:t>
      </w:r>
      <w:r>
        <w:rPr>
          <w:rFonts w:ascii="Consolas" w:cs="Consolas" w:eastAsia="Consolas" w:hAnsi="Consolas"/>
          <w:sz w:val="20"/>
          <w:szCs w:val="20"/>
          <w:shd w:fill="EEEEEE" w:val="clear"/>
        </w:rPr>
        <w:t xml:space="preserve">login_register_link</w:t>
      </w:r>
      <w:r>
        <w:t xml:space="preserve">) ou l'onglet « Inscription » (</w:t>
      </w:r>
      <w:r>
        <w:rPr>
          <w:rFonts w:ascii="Consolas" w:cs="Consolas" w:eastAsia="Consolas" w:hAnsi="Consolas"/>
          <w:sz w:val="20"/>
          <w:szCs w:val="20"/>
          <w:shd w:fill="EEEEEE" w:val="clear"/>
        </w:rPr>
        <w:t xml:space="preserve">auth_tab_register</w:t>
      </w:r>
      <w:r>
        <w:t xml:space="preserve">).</w:t>
      </w:r>
    </w:p>
    <w:p>
      <w:pPr>
        <w:spacing w:after="120"/>
      </w:pPr>
      <w:r>
        <w:rPr>
          <w:b/>
          <w:bCs/>
        </w:rPr>
        <w:t xml:space="preserve">Résultat attendu :</w:t>
      </w:r>
      <w:r>
        <w:t xml:space="preserve"> le formulaire bascule sur les champs d'inscription : SIRET, Raison sociale (auto-complétée), Email, Mot de passe. Le titre affiche « Créer votre espace LedgerHub » / sous-titre « Votre SIRET suffit, nous récupérons le reste ».</w:t>
      </w:r>
    </w:p>
    <w:p>
      <w:pPr>
        <w:pStyle w:val="Heading2"/>
        <w:spacing w:after="140" w:before="260"/>
      </w:pPr>
      <w:r>
        <w:t xml:space="preserve">[MOB-AUTH-05] Inscription — vérification SIRENE automatique et réussie</w:t>
      </w:r>
    </w:p>
    <w:p>
      <w:pPr>
        <w:spacing w:after="120"/>
      </w:pPr>
      <w:r>
        <w:rPr>
          <w:b/>
          <w:bCs/>
        </w:rPr>
        <w:t xml:space="preserve">Type :</w:t>
      </w:r>
      <w:r>
        <w:t xml:space="preserve"> Passant</w:t>
      </w:r>
    </w:p>
    <w:p>
      <w:pPr>
        <w:spacing w:after="120"/>
      </w:pPr>
      <w:r>
        <w:rPr>
          <w:b/>
          <w:bCs/>
        </w:rPr>
        <w:t xml:space="preserve">Préconditions :</w:t>
      </w:r>
      <w:r>
        <w:t xml:space="preserve"> Onglet « Inscription » actif, champ SIRET vide.</w:t>
      </w:r>
    </w:p>
    <w:p>
      <w:pPr>
        <w:spacing w:after="120"/>
      </w:pPr>
      <w:r>
        <w:rPr>
          <w:b/>
          <w:bCs/>
        </w:rPr>
        <w:t xml:space="preserve">Actions :</w:t>
      </w:r>
    </w:p>
    <w:p>
      <w:pPr>
        <w:spacing w:after="80"/>
        <w:ind w:left="360"/>
      </w:pPr>
      <w:r>
        <w:rPr>
          <w:b/>
          <w:bCs/>
        </w:rPr>
        <w:t xml:space="preserve">1. </w:t>
      </w:r>
      <w:r>
        <w:t xml:space="preserve">Taper dans le champ SIRET (</w:t>
      </w:r>
      <w:r>
        <w:rPr>
          <w:rFonts w:ascii="Consolas" w:cs="Consolas" w:eastAsia="Consolas" w:hAnsi="Consolas"/>
          <w:sz w:val="20"/>
          <w:szCs w:val="20"/>
          <w:shd w:fill="EEEEEE" w:val="clear"/>
        </w:rPr>
        <w:t xml:space="preserve">auth_siret_input</w:t>
      </w:r>
      <w:r>
        <w:t xml:space="preserve">) et saisir progressivement les 14 chiffres du SIRET de démonstration.</w:t>
      </w:r>
    </w:p>
    <w:p>
      <w:pPr>
        <w:spacing w:after="80"/>
        <w:ind w:left="360"/>
      </w:pPr>
      <w:r>
        <w:rPr>
          <w:b/>
          <w:bCs/>
        </w:rPr>
        <w:t xml:space="preserve">2. </w:t>
      </w:r>
      <w:r>
        <w:t xml:space="preserve">Ne rien taper d'autre : observer le déclenchement automatique de la vérification dès le 14ᵉ chiffre.</w:t>
      </w:r>
    </w:p>
    <w:p>
      <w:pPr>
        <w:spacing w:after="120"/>
      </w:pPr>
      <w:r>
        <w:rPr>
          <w:b/>
          <w:bCs/>
        </w:rPr>
        <w:t xml:space="preserve">Résultat attendu :</w:t>
      </w:r>
    </w:p>
    <w:p>
      <w:pPr>
        <w:pStyle w:val="ListParagraph"/>
        <w:numPr>
          <w:ilvl w:val="0"/>
          <w:numId w:val="1"/>
        </w:numPr>
        <w:spacing w:after="80"/>
      </w:pPr>
      <w:r>
        <w:t xml:space="preserve">Après le 13ᵉ chiffre : aucune vérification ne démarre.</w:t>
      </w:r>
    </w:p>
    <w:p>
      <w:pPr>
        <w:pStyle w:val="ListParagraph"/>
        <w:numPr>
          <w:ilvl w:val="0"/>
          <w:numId w:val="1"/>
        </w:numPr>
        <w:spacing w:after="80"/>
      </w:pPr>
      <w:r>
        <w:t xml:space="preserve">Dès le 14ᵉ chiffre (aucun bouton à presser) : un indicateur de chargement (</w:t>
      </w:r>
      <w:r>
        <w:rPr>
          <w:rFonts w:ascii="Consolas" w:cs="Consolas" w:eastAsia="Consolas" w:hAnsi="Consolas"/>
          <w:sz w:val="20"/>
          <w:szCs w:val="20"/>
          <w:shd w:fill="EEEEEE" w:val="clear"/>
        </w:rPr>
        <w:t xml:space="preserve">auth_siret_loader</w:t>
      </w:r>
      <w:r>
        <w:t xml:space="preserve">) apparaît avec le message « Vérification auprès de l'API SIRENE… ».</w:t>
      </w:r>
    </w:p>
    <w:p>
      <w:pPr>
        <w:pStyle w:val="ListParagraph"/>
        <w:numPr>
          <w:ilvl w:val="0"/>
          <w:numId w:val="1"/>
        </w:numPr>
        <w:spacing w:after="80"/>
      </w:pPr>
      <w:r>
        <w:t xml:space="preserve">Sous ~1 seconde : le badge vert « ✓ Entreprise vérifiée via l'API SIRENE » (</w:t>
      </w:r>
      <w:r>
        <w:rPr>
          <w:rFonts w:ascii="Consolas" w:cs="Consolas" w:eastAsia="Consolas" w:hAnsi="Consolas"/>
          <w:sz w:val="20"/>
          <w:szCs w:val="20"/>
          <w:shd w:fill="EEEEEE" w:val="clear"/>
        </w:rPr>
        <w:t xml:space="preserve">auth_sirene_verified_badge</w:t>
      </w:r>
      <w:r>
        <w:t xml:space="preserve">) s'affiche.</w:t>
      </w:r>
    </w:p>
    <w:p>
      <w:pPr>
        <w:pStyle w:val="ListParagraph"/>
        <w:numPr>
          <w:ilvl w:val="0"/>
          <w:numId w:val="1"/>
        </w:numPr>
        <w:spacing w:after="80"/>
      </w:pPr>
      <w:r>
        <w:t xml:space="preserve">Le champ « Raison sociale » (</w:t>
      </w:r>
      <w:r>
        <w:rPr>
          <w:rFonts w:ascii="Consolas" w:cs="Consolas" w:eastAsia="Consolas" w:hAnsi="Consolas"/>
          <w:sz w:val="20"/>
          <w:szCs w:val="20"/>
          <w:shd w:fill="EEEEEE" w:val="clear"/>
        </w:rPr>
        <w:t xml:space="preserve">auth_company_name_input</w:t>
      </w:r>
      <w:r>
        <w:t xml:space="preserve">) se remplit automatiquement avec le nom retourné.</w:t>
      </w:r>
    </w:p>
    <w:p>
      <w:pPr>
        <w:pStyle w:val="ListParagraph"/>
        <w:numPr>
          <w:ilvl w:val="0"/>
          <w:numId w:val="1"/>
        </w:numPr>
        <w:spacing w:after="80"/>
      </w:pPr>
      <w:r>
        <w:t xml:space="preserve">Le bouton « Créer mon espace » devient actif (il était inerte tant que la vérification n'avait pas abouti).</w:t>
      </w:r>
    </w:p>
    <w:p>
      <w:pPr>
        <w:pStyle w:val="Heading2"/>
        <w:spacing w:after="140" w:before="260"/>
      </w:pPr>
      <w:r>
        <w:t xml:space="preserve">[MOB-AUTH-06] Inscription — SIRET introuvable</w:t>
      </w:r>
    </w:p>
    <w:p>
      <w:pPr>
        <w:spacing w:after="120"/>
      </w:pPr>
      <w:r>
        <w:rPr>
          <w:b/>
          <w:bCs/>
        </w:rPr>
        <w:t xml:space="preserve">Type :</w:t>
      </w:r>
      <w:r>
        <w:t xml:space="preserve"> Non passant</w:t>
      </w:r>
    </w:p>
    <w:p>
      <w:pPr>
        <w:spacing w:after="120"/>
      </w:pPr>
      <w:r>
        <w:rPr>
          <w:b/>
          <w:bCs/>
        </w:rPr>
        <w:t xml:space="preserve">Préconditions :</w:t>
      </w:r>
      <w:r>
        <w:t xml:space="preserve"> Onglet « Inscription », champ SIRET vide.</w:t>
      </w:r>
    </w:p>
    <w:p>
      <w:pPr>
        <w:spacing w:after="120"/>
      </w:pPr>
      <w:r>
        <w:rPr>
          <w:b/>
          <w:bCs/>
        </w:rPr>
        <w:t xml:space="preserve">Actions :</w:t>
      </w:r>
    </w:p>
    <w:p>
      <w:pPr>
        <w:spacing w:after="80"/>
        <w:ind w:left="360"/>
      </w:pPr>
      <w:r>
        <w:rPr>
          <w:b/>
          <w:bCs/>
        </w:rPr>
        <w:t xml:space="preserve">1. </w:t>
      </w:r>
      <w:r>
        <w:t xml:space="preserve">Saisir 14 chiffres ne correspondant à aucune entreprise connue du répertoire SIRENE simulé.</w:t>
      </w:r>
    </w:p>
    <w:p>
      <w:pPr>
        <w:spacing w:after="120"/>
      </w:pPr>
      <w:r>
        <w:rPr>
          <w:b/>
          <w:bCs/>
        </w:rPr>
        <w:t xml:space="preserve">Résultat attendu :</w:t>
      </w:r>
      <w:r>
        <w:t xml:space="preserve"> le message « SIRET introuvable au répertoire SIRENE. » remplace le badge vert ; le champ Raison sociale reste vide ; le bouton « Créer mon espace » reste inerte.</w:t>
      </w:r>
    </w:p>
    <w:p>
      <w:pPr>
        <w:pStyle w:val="Heading2"/>
        <w:spacing w:after="140" w:before="260"/>
      </w:pPr>
      <w:r>
        <w:t xml:space="preserve">[MOB-AUTH-07] Inscription — répertoire SIRENE indisponible</w:t>
      </w:r>
    </w:p>
    <w:p>
      <w:pPr>
        <w:spacing w:after="120"/>
      </w:pPr>
      <w:r>
        <w:rPr>
          <w:b/>
          <w:bCs/>
        </w:rPr>
        <w:t xml:space="preserve">Type :</w:t>
      </w:r>
      <w:r>
        <w:t xml:space="preserve"> Non passant</w:t>
      </w:r>
    </w:p>
    <w:p>
      <w:pPr>
        <w:spacing w:after="120"/>
      </w:pPr>
      <w:r>
        <w:rPr>
          <w:b/>
          <w:bCs/>
        </w:rPr>
        <w:t xml:space="preserve">Préconditions :</w:t>
      </w:r>
      <w:r>
        <w:t xml:space="preserve"> Service de vérification SIRENE simulé en panne (harnais de test).</w:t>
      </w:r>
    </w:p>
    <w:p>
      <w:pPr>
        <w:spacing w:after="120"/>
      </w:pPr>
      <w:r>
        <w:rPr>
          <w:b/>
          <w:bCs/>
        </w:rPr>
        <w:t xml:space="preserve">Actions :</w:t>
      </w:r>
    </w:p>
    <w:p>
      <w:pPr>
        <w:spacing w:after="80"/>
        <w:ind w:left="360"/>
      </w:pPr>
      <w:r>
        <w:rPr>
          <w:b/>
          <w:bCs/>
        </w:rPr>
        <w:t xml:space="preserve">1. </w:t>
      </w:r>
      <w:r>
        <w:t xml:space="preserve">Saisir un SIRET à 14 chiffres.</w:t>
      </w:r>
    </w:p>
    <w:p>
      <w:pPr>
        <w:spacing w:after="120"/>
      </w:pPr>
      <w:r>
        <w:rPr>
          <w:b/>
          <w:bCs/>
        </w:rPr>
        <w:t xml:space="preserve">Résultat attendu :</w:t>
      </w:r>
      <w:r>
        <w:t xml:space="preserve"> message distinct des deux précédents — « Répertoire SIRENE indisponible, réessayez. » — pour ne pas laisser croire à tort que le SIRET est invalide.</w:t>
      </w:r>
    </w:p>
    <w:p>
      <w:pPr>
        <w:pStyle w:val="Heading2"/>
        <w:spacing w:after="140" w:before="260"/>
      </w:pPr>
      <w:r>
        <w:t xml:space="preserve">[MOB-AUTH-08] Inscription — correction du SIRET pendant une vérification en cours</w:t>
      </w:r>
    </w:p>
    <w:p>
      <w:pPr>
        <w:spacing w:after="120"/>
      </w:pPr>
      <w:r>
        <w:rPr>
          <w:b/>
          <w:bCs/>
        </w:rPr>
        <w:t xml:space="preserve">Type :</w:t>
      </w:r>
      <w:r>
        <w:t xml:space="preserve"> Non passant / cas limite</w:t>
      </w:r>
    </w:p>
    <w:p>
      <w:pPr>
        <w:spacing w:after="120"/>
      </w:pPr>
      <w:r>
        <w:rPr>
          <w:b/>
          <w:bCs/>
        </w:rPr>
        <w:t xml:space="preserve">Préconditions :</w:t>
      </w:r>
      <w:r>
        <w:t xml:space="preserve"> Onglet « Inscription ».</w:t>
      </w:r>
    </w:p>
    <w:p>
      <w:pPr>
        <w:spacing w:after="120"/>
      </w:pPr>
      <w:r>
        <w:rPr>
          <w:b/>
          <w:bCs/>
        </w:rPr>
        <w:t xml:space="preserve">Actions :</w:t>
      </w:r>
    </w:p>
    <w:p>
      <w:pPr>
        <w:spacing w:after="80"/>
        <w:ind w:left="360"/>
      </w:pPr>
      <w:r>
        <w:rPr>
          <w:b/>
          <w:bCs/>
        </w:rPr>
        <w:t xml:space="preserve">1. </w:t>
      </w:r>
      <w:r>
        <w:t xml:space="preserve">Saisir rapidement 14 chiffres, puis avant l'affichage du résultat, effacer un chiffre et le remplacer par un autre (nouveau SIRET à 14 chiffres).</w:t>
      </w:r>
    </w:p>
    <w:p>
      <w:pPr>
        <w:spacing w:after="120"/>
      </w:pPr>
      <w:r>
        <w:rPr>
          <w:b/>
          <w:bCs/>
        </w:rPr>
        <w:t xml:space="preserve">Résultat attendu :</w:t>
      </w:r>
      <w:r>
        <w:t xml:space="preserve"> seul le résultat de la </w:t>
      </w:r>
      <w:r>
        <w:rPr>
          <w:b/>
          <w:bCs/>
        </w:rPr>
        <w:t xml:space="preserve">dernière</w:t>
      </w:r>
      <w:r>
        <w:t xml:space="preserve"> saisie s'affiche ; aucun résultat obsolète de la première vérification n'apparaît après coup (annulation de la requête en vol).</w:t>
      </w:r>
    </w:p>
    <w:p>
      <w:pPr>
        <w:pStyle w:val="Heading2"/>
        <w:spacing w:after="140" w:before="260"/>
      </w:pPr>
      <w:r>
        <w:t xml:space="preserve">[MOB-AUTH-09] Inscription — nom auto-rempli puis modifié manuellement</w:t>
      </w:r>
    </w:p>
    <w:p>
      <w:pPr>
        <w:spacing w:after="120"/>
      </w:pPr>
      <w:r>
        <w:rPr>
          <w:b/>
          <w:bCs/>
        </w:rPr>
        <w:t xml:space="preserve">Type :</w:t>
      </w:r>
      <w:r>
        <w:t xml:space="preserve"> Passant</w:t>
      </w:r>
    </w:p>
    <w:p>
      <w:pPr>
        <w:spacing w:after="120"/>
      </w:pPr>
      <w:r>
        <w:rPr>
          <w:b/>
          <w:bCs/>
        </w:rPr>
        <w:t xml:space="preserve">Préconditions :</w:t>
      </w:r>
      <w:r>
        <w:t xml:space="preserve"> SIRET vérifié avec succès, champ Raison sociale auto-rempli.</w:t>
      </w:r>
    </w:p>
    <w:p>
      <w:pPr>
        <w:spacing w:after="120"/>
      </w:pPr>
      <w:r>
        <w:rPr>
          <w:b/>
          <w:bCs/>
        </w:rPr>
        <w:t xml:space="preserve">Actions :</w:t>
      </w:r>
    </w:p>
    <w:p>
      <w:pPr>
        <w:spacing w:after="80"/>
        <w:ind w:left="360"/>
      </w:pPr>
      <w:r>
        <w:rPr>
          <w:b/>
          <w:bCs/>
        </w:rPr>
        <w:t xml:space="preserve">1. </w:t>
      </w:r>
      <w:r>
        <w:t xml:space="preserve">Taper dans le champ Raison sociale et modifier le texte auto-rempli.</w:t>
      </w:r>
    </w:p>
    <w:p>
      <w:pPr>
        <w:spacing w:after="80"/>
        <w:ind w:left="360"/>
      </w:pPr>
      <w:r>
        <w:rPr>
          <w:b/>
          <w:bCs/>
        </w:rPr>
        <w:t xml:space="preserve">2. </w:t>
      </w:r>
      <w:r>
        <w:t xml:space="preserve">Effacer un chiffre du SIRET (le faisant repasser sous 14 chiffres) puis le ressaisir.</w:t>
      </w:r>
    </w:p>
    <w:p>
      <w:pPr>
        <w:spacing w:after="120"/>
      </w:pPr>
      <w:r>
        <w:rPr>
          <w:b/>
          <w:bCs/>
        </w:rPr>
        <w:t xml:space="preserve">Résultat attendu :</w:t>
      </w:r>
    </w:p>
    <w:p>
      <w:pPr>
        <w:pStyle w:val="ListParagraph"/>
        <w:numPr>
          <w:ilvl w:val="0"/>
          <w:numId w:val="1"/>
        </w:numPr>
        <w:spacing w:after="80"/>
      </w:pPr>
      <w:r>
        <w:t xml:space="preserve">Après l'étape 1 : le texte modifié reste tel quel, sans être écrasé par une future réponse SIRENE.</w:t>
      </w:r>
    </w:p>
    <w:p>
      <w:pPr>
        <w:pStyle w:val="ListParagraph"/>
        <w:numPr>
          <w:ilvl w:val="0"/>
          <w:numId w:val="1"/>
        </w:numPr>
        <w:spacing w:after="80"/>
      </w:pPr>
      <w:r>
        <w:t xml:space="preserve">Après l'étape 2 : le nom modifié manuellement </w:t>
      </w:r>
      <w:r>
        <w:rPr>
          <w:b/>
          <w:bCs/>
        </w:rPr>
        <w:t xml:space="preserve">n'est pas effacé</w:t>
      </w:r>
      <w:r>
        <w:t xml:space="preserve"> (seul un nom encore auto-rempli serait vidé quand le SIRET redescend sous 14 chiffres).</w:t>
      </w:r>
    </w:p>
    <w:p>
      <w:pPr>
        <w:pBdr>
          <w:bottom w:val="single" w:color="AAAAAA" w:sz="6" w:space="1"/>
        </w:pBdr>
        <w:spacing w:after="240" w:before="120"/>
      </w:pPr>
    </w:p>
    <w:p>
      <w:pPr>
        <w:pStyle w:val="Heading1"/>
        <w:pageBreakBefore/>
        <w:spacing w:after="140" w:before="400"/>
      </w:pPr>
      <w:r>
        <w:t xml:space="preserve">2. Dashboard / Vue d'ensemble</w:t>
      </w:r>
    </w:p>
    <w:p>
      <w:pPr>
        <w:pStyle w:val="Heading2"/>
        <w:spacing w:after="140" w:before="260"/>
      </w:pPr>
      <w:r>
        <w:t xml:space="preserve">[MOB-DASH-01] Affichage nominal au démarrage</w:t>
      </w:r>
    </w:p>
    <w:p>
      <w:pPr>
        <w:spacing w:after="120"/>
      </w:pPr>
      <w:r>
        <w:rPr>
          <w:b/>
          <w:bCs/>
        </w:rPr>
        <w:t xml:space="preserve">Type :</w:t>
      </w:r>
      <w:r>
        <w:t xml:space="preserve"> Passant</w:t>
      </w:r>
    </w:p>
    <w:p>
      <w:pPr>
        <w:spacing w:after="120"/>
      </w:pPr>
      <w:r>
        <w:rPr>
          <w:b/>
          <w:bCs/>
        </w:rPr>
        <w:t xml:space="preserve">Préconditions :</w:t>
      </w:r>
      <w:r>
        <w:t xml:space="preserve"> Application lancée sur données de démonstration (semis initial), onglet « Vue d'ensemble » actif par défaut.</w:t>
      </w:r>
    </w:p>
    <w:p>
      <w:pPr>
        <w:spacing w:after="120"/>
      </w:pPr>
      <w:r>
        <w:rPr>
          <w:b/>
          <w:bCs/>
        </w:rPr>
        <w:t xml:space="preserve">Actions :</w:t>
      </w:r>
    </w:p>
    <w:p>
      <w:pPr>
        <w:spacing w:after="80"/>
        <w:ind w:left="360"/>
      </w:pPr>
      <w:r>
        <w:rPr>
          <w:b/>
          <w:bCs/>
        </w:rPr>
        <w:t xml:space="preserve">1. </w:t>
      </w:r>
      <w:r>
        <w:t xml:space="preserve">Observer l'écran (</w:t>
      </w:r>
      <w:r>
        <w:rPr>
          <w:rFonts w:ascii="Consolas" w:cs="Consolas" w:eastAsia="Consolas" w:hAnsi="Consolas"/>
          <w:sz w:val="20"/>
          <w:szCs w:val="20"/>
          <w:shd w:fill="EEEEEE" w:val="clear"/>
        </w:rPr>
        <w:t xml:space="preserve">dashboard_screen</w:t>
      </w:r>
      <w:r>
        <w:t xml:space="preserve">) sans interaction.</w:t>
      </w:r>
    </w:p>
    <w:p>
      <w:pPr>
        <w:spacing w:after="120"/>
      </w:pPr>
      <w:r>
        <w:rPr>
          <w:b/>
          <w:bCs/>
        </w:rPr>
        <w:t xml:space="preserve">Résultat attendu :</w:t>
      </w:r>
    </w:p>
    <w:p>
      <w:pPr>
        <w:pStyle w:val="ListParagraph"/>
        <w:numPr>
          <w:ilvl w:val="0"/>
          <w:numId w:val="1"/>
        </w:numPr>
        <w:spacing w:after="80"/>
      </w:pPr>
      <w:r>
        <w:t xml:space="preserve">Titre « Vue d'ensemble » et sous-titre « Pilotez votre activité et votre conformité 2026 » visibles.</w:t>
      </w:r>
    </w:p>
    <w:p>
      <w:pPr>
        <w:pStyle w:val="ListParagraph"/>
        <w:numPr>
          <w:ilvl w:val="0"/>
          <w:numId w:val="1"/>
        </w:numPr>
        <w:spacing w:after="80"/>
      </w:pPr>
      <w:r>
        <w:t xml:space="preserve">Grille de 4 cartes KPI (</w:t>
      </w:r>
      <w:r>
        <w:rPr>
          <w:rFonts w:ascii="Consolas" w:cs="Consolas" w:eastAsia="Consolas" w:hAnsi="Consolas"/>
          <w:sz w:val="20"/>
          <w:szCs w:val="20"/>
          <w:shd w:fill="EEEEEE" w:val="clear"/>
        </w:rPr>
        <w:t xml:space="preserve">dashboard_kpi_grid</w:t>
      </w:r>
      <w:r>
        <w:t xml:space="preserve">) en 2×2 : « Chiffre d'affaires » / « En attente de paiement » en première ligne, « Factures émises » / « Devis en attente » en seconde.</w:t>
      </w:r>
    </w:p>
    <w:p>
      <w:pPr>
        <w:pStyle w:val="ListParagraph"/>
        <w:numPr>
          <w:ilvl w:val="0"/>
          <w:numId w:val="1"/>
        </w:numPr>
        <w:spacing w:after="80"/>
      </w:pPr>
      <w:r>
        <w:t xml:space="preserve">Chaque carte affiche un montant cohérent avec les données de démonstration (ex. « 25 263,60 € » sur Chiffre d'affaires).</w:t>
      </w:r>
    </w:p>
    <w:p>
      <w:pPr>
        <w:pStyle w:val="ListParagraph"/>
        <w:numPr>
          <w:ilvl w:val="0"/>
          <w:numId w:val="1"/>
        </w:numPr>
        <w:spacing w:after="80"/>
      </w:pPr>
      <w:r>
        <w:t xml:space="preserve">Aucun indicateur de chargement (</w:t>
      </w:r>
      <w:r>
        <w:rPr>
          <w:rFonts w:ascii="Consolas" w:cs="Consolas" w:eastAsia="Consolas" w:hAnsi="Consolas"/>
          <w:sz w:val="20"/>
          <w:szCs w:val="20"/>
          <w:shd w:fill="EEEEEE" w:val="clear"/>
        </w:rPr>
        <w:t xml:space="preserve">dashboard_loading_indicator</w:t>
      </w:r>
      <w:r>
        <w:t xml:space="preserve">) ni message d'erreur (</w:t>
      </w:r>
      <w:r>
        <w:rPr>
          <w:rFonts w:ascii="Consolas" w:cs="Consolas" w:eastAsia="Consolas" w:hAnsi="Consolas"/>
          <w:sz w:val="20"/>
          <w:szCs w:val="20"/>
          <w:shd w:fill="EEEEEE" w:val="clear"/>
        </w:rPr>
        <w:t xml:space="preserve">dashboard_load_error</w:t>
      </w:r>
      <w:r>
        <w:t xml:space="preserve">) visible.</w:t>
      </w:r>
    </w:p>
    <w:p>
      <w:pPr>
        <w:pStyle w:val="Heading2"/>
        <w:spacing w:after="140" w:before="260"/>
      </w:pPr>
      <w:r>
        <w:t xml:space="preserve">[MOB-DASH-02] Défilement jusqu'au graphique et à la liste</w:t>
      </w:r>
    </w:p>
    <w:p>
      <w:pPr>
        <w:spacing w:after="120"/>
      </w:pPr>
      <w:r>
        <w:rPr>
          <w:b/>
          <w:bCs/>
        </w:rPr>
        <w:t xml:space="preserve">Type :</w:t>
      </w:r>
      <w:r>
        <w:t xml:space="preserve"> Passant</w:t>
      </w:r>
    </w:p>
    <w:p>
      <w:pPr>
        <w:spacing w:after="120"/>
      </w:pPr>
      <w:r>
        <w:rPr>
          <w:b/>
          <w:bCs/>
        </w:rPr>
        <w:t xml:space="preserve">Préconditions :</w:t>
      </w:r>
      <w:r>
        <w:t xml:space="preserve"> Écran Dashboard affiché.</w:t>
      </w:r>
    </w:p>
    <w:p>
      <w:pPr>
        <w:spacing w:after="120"/>
      </w:pPr>
      <w:r>
        <w:rPr>
          <w:b/>
          <w:bCs/>
        </w:rPr>
        <w:t xml:space="preserve">Actions :</w:t>
      </w:r>
    </w:p>
    <w:p>
      <w:pPr>
        <w:spacing w:after="80"/>
        <w:ind w:left="360"/>
      </w:pPr>
      <w:r>
        <w:rPr>
          <w:b/>
          <w:bCs/>
        </w:rPr>
        <w:t xml:space="preserve">1. </w:t>
      </w:r>
      <w:r>
        <w:t xml:space="preserve">Scroller verticalement vers le bas depuis la grille KPI.</w:t>
      </w:r>
    </w:p>
    <w:p>
      <w:pPr>
        <w:spacing w:after="120"/>
      </w:pPr>
      <w:r>
        <w:rPr>
          <w:b/>
          <w:bCs/>
        </w:rPr>
        <w:t xml:space="preserve">Résultat attendu :</w:t>
      </w:r>
    </w:p>
    <w:p>
      <w:pPr>
        <w:pStyle w:val="ListParagraph"/>
        <w:numPr>
          <w:ilvl w:val="0"/>
          <w:numId w:val="1"/>
        </w:numPr>
        <w:spacing w:after="80"/>
      </w:pPr>
      <w:r>
        <w:t xml:space="preserve">La section « Chiffre d'affaires — 6 derniers mois — montants TTC encaissés » apparaît avec le graphique (</w:t>
      </w:r>
      <w:r>
        <w:rPr>
          <w:rFonts w:ascii="Consolas" w:cs="Consolas" w:eastAsia="Consolas" w:hAnsi="Consolas"/>
          <w:sz w:val="20"/>
          <w:szCs w:val="20"/>
          <w:shd w:fill="EEEEEE" w:val="clear"/>
        </w:rPr>
        <w:t xml:space="preserve">dashboard_revenue_chart</w:t>
      </w:r>
      <w:r>
        <w:t xml:space="preserve">, courbe/aire dessinée en Canvas, sans bibliothèque tierce) et les libellés Min/Max.</w:t>
      </w:r>
    </w:p>
    <w:p>
      <w:pPr>
        <w:pStyle w:val="ListParagraph"/>
        <w:numPr>
          <w:ilvl w:val="0"/>
          <w:numId w:val="1"/>
        </w:numPr>
        <w:spacing w:after="80"/>
      </w:pPr>
      <w:r>
        <w:t xml:space="preserve">En poursuivant le défilement : la section « Factures récentes » (</w:t>
      </w:r>
      <w:r>
        <w:rPr>
          <w:rFonts w:ascii="Consolas" w:cs="Consolas" w:eastAsia="Consolas" w:hAnsi="Consolas"/>
          <w:sz w:val="20"/>
          <w:szCs w:val="20"/>
          <w:shd w:fill="EEEEEE" w:val="clear"/>
        </w:rPr>
        <w:t xml:space="preserve">dashboard_recent_activity_list</w:t>
      </w:r>
      <w:r>
        <w:t xml:space="preserve">), puis « Devis à relancer » (</w:t>
      </w:r>
      <w:r>
        <w:rPr>
          <w:rFonts w:ascii="Consolas" w:cs="Consolas" w:eastAsia="Consolas" w:hAnsi="Consolas"/>
          <w:sz w:val="20"/>
          <w:szCs w:val="20"/>
          <w:shd w:fill="EEEEEE" w:val="clear"/>
        </w:rPr>
        <w:t xml:space="preserve">dashboard_quotes_to_followup_section</w:t>
      </w:r>
      <w:r>
        <w:t xml:space="preserve">).</w:t>
      </w:r>
    </w:p>
    <w:p>
      <w:pPr>
        <w:pStyle w:val="Heading2"/>
        <w:spacing w:after="140" w:before="260"/>
      </w:pPr>
      <w:r>
        <w:t xml:space="preserve">[MOB-DASH-03] Animation du graphique de revenu</w:t>
      </w:r>
    </w:p>
    <w:p>
      <w:pPr>
        <w:spacing w:after="120"/>
      </w:pPr>
      <w:r>
        <w:rPr>
          <w:b/>
          <w:bCs/>
        </w:rPr>
        <w:t xml:space="preserve">Type :</w:t>
      </w:r>
      <w:r>
        <w:t xml:space="preserve"> Passant</w:t>
      </w:r>
    </w:p>
    <w:p>
      <w:pPr>
        <w:spacing w:after="120"/>
      </w:pPr>
      <w:r>
        <w:rPr>
          <w:b/>
          <w:bCs/>
        </w:rPr>
        <w:t xml:space="preserve">Préconditions :</w:t>
      </w:r>
      <w:r>
        <w:t xml:space="preserve"> Dashboard affiché, graphique visible à l'écran.</w:t>
      </w:r>
    </w:p>
    <w:p>
      <w:pPr>
        <w:spacing w:after="120"/>
      </w:pPr>
      <w:r>
        <w:rPr>
          <w:b/>
          <w:bCs/>
        </w:rPr>
        <w:t xml:space="preserve">Actions :</w:t>
      </w:r>
    </w:p>
    <w:p>
      <w:pPr>
        <w:spacing w:after="80"/>
        <w:ind w:left="360"/>
      </w:pPr>
      <w:r>
        <w:rPr>
          <w:b/>
          <w:bCs/>
        </w:rPr>
        <w:t xml:space="preserve">1. </w:t>
      </w:r>
      <w:r>
        <w:t xml:space="preserve">Naviguer vers un autre onglet puis revenir sur « Vue d'ensemble » (ou déclencher un rechargement des données).</w:t>
      </w:r>
    </w:p>
    <w:p>
      <w:pPr>
        <w:spacing w:after="120"/>
      </w:pPr>
      <w:r>
        <w:rPr>
          <w:b/>
          <w:bCs/>
        </w:rPr>
        <w:t xml:space="preserve">Résultat attendu :</w:t>
      </w:r>
      <w:r>
        <w:t xml:space="preserve"> la courbe se redessine avec une animation de révélation d'environ 600 ms (pas un affichage instantané) — vérifier visuellement l'effet de tracé progressif.</w:t>
      </w:r>
    </w:p>
    <w:p>
      <w:pPr>
        <w:pStyle w:val="Heading2"/>
        <w:spacing w:after="140" w:before="260"/>
      </w:pPr>
      <w:r>
        <w:t xml:space="preserve">[MOB-DASH-04] Liste des factures récentes — état vide</w:t>
      </w:r>
    </w:p>
    <w:p>
      <w:pPr>
        <w:spacing w:after="120"/>
      </w:pPr>
      <w:r>
        <w:rPr>
          <w:b/>
          <w:bCs/>
        </w:rPr>
        <w:t xml:space="preserve">Type :</w:t>
      </w:r>
      <w:r>
        <w:t xml:space="preserve"> Non passant / cas limite</w:t>
      </w:r>
    </w:p>
    <w:p>
      <w:pPr>
        <w:spacing w:after="120"/>
      </w:pPr>
      <w:r>
        <w:rPr>
          <w:b/>
          <w:bCs/>
        </w:rPr>
        <w:t xml:space="preserve">Préconditions :</w:t>
      </w:r>
      <w:r>
        <w:t xml:space="preserve"> Base sans aucune facture (compte neuf, avant tout semis de démonstration).</w:t>
      </w:r>
    </w:p>
    <w:p>
      <w:pPr>
        <w:spacing w:after="120"/>
      </w:pPr>
      <w:r>
        <w:rPr>
          <w:b/>
          <w:bCs/>
        </w:rPr>
        <w:t xml:space="preserve">Actions :</w:t>
      </w:r>
    </w:p>
    <w:p>
      <w:pPr>
        <w:spacing w:after="80"/>
        <w:ind w:left="360"/>
      </w:pPr>
      <w:r>
        <w:rPr>
          <w:b/>
          <w:bCs/>
        </w:rPr>
        <w:t xml:space="preserve">1. </w:t>
      </w:r>
      <w:r>
        <w:t xml:space="preserve">Défiler jusqu'à la section « Factures récentes ».</w:t>
      </w:r>
    </w:p>
    <w:p>
      <w:pPr>
        <w:spacing w:after="120"/>
      </w:pPr>
      <w:r>
        <w:rPr>
          <w:b/>
          <w:bCs/>
        </w:rPr>
        <w:t xml:space="preserve">Résultat attendu :</w:t>
      </w:r>
      <w:r>
        <w:t xml:space="preserve"> le message « Aucun document pour le moment » (</w:t>
      </w:r>
      <w:r>
        <w:rPr>
          <w:rFonts w:ascii="Consolas" w:cs="Consolas" w:eastAsia="Consolas" w:hAnsi="Consolas"/>
          <w:sz w:val="20"/>
          <w:szCs w:val="20"/>
          <w:shd w:fill="EEEEEE" w:val="clear"/>
        </w:rPr>
        <w:t xml:space="preserve">dashboard_recent_activity_empty</w:t>
      </w:r>
      <w:r>
        <w:t xml:space="preserve">) s'affiche à la place de la liste.</w:t>
      </w:r>
    </w:p>
    <w:p>
      <w:pPr>
        <w:pStyle w:val="Heading2"/>
        <w:spacing w:after="140" w:before="260"/>
      </w:pPr>
      <w:r>
        <w:t xml:space="preserve">[MOB-DASH-05] Devis à relancer — urgence de couleur</w:t>
      </w:r>
    </w:p>
    <w:p>
      <w:pPr>
        <w:spacing w:after="120"/>
      </w:pPr>
      <w:r>
        <w:rPr>
          <w:b/>
          <w:bCs/>
        </w:rPr>
        <w:t xml:space="preserve">Type :</w:t>
      </w:r>
      <w:r>
        <w:t xml:space="preserve"> Passant</w:t>
      </w:r>
    </w:p>
    <w:p>
      <w:pPr>
        <w:spacing w:after="120"/>
      </w:pPr>
      <w:r>
        <w:rPr>
          <w:b/>
          <w:bCs/>
        </w:rPr>
        <w:t xml:space="preserve">Préconditions :</w:t>
      </w:r>
      <w:r>
        <w:t xml:space="preserve"> Au moins un devis envoyé dont la date de validité est à ≤ 3 jours (seuil </w:t>
      </w:r>
      <w:r>
        <w:rPr>
          <w:rFonts w:ascii="Consolas" w:cs="Consolas" w:eastAsia="Consolas" w:hAnsi="Consolas"/>
          <w:sz w:val="20"/>
          <w:szCs w:val="20"/>
          <w:shd w:fill="EEEEEE" w:val="clear"/>
        </w:rPr>
        <w:t xml:space="preserve">URGENT_THRESHOLD_DAYS</w:t>
      </w:r>
      <w:r>
        <w:t xml:space="preserve">), un autre expiré, un autre à échéance lointaine.</w:t>
      </w:r>
    </w:p>
    <w:p>
      <w:pPr>
        <w:spacing w:after="120"/>
      </w:pPr>
      <w:r>
        <w:rPr>
          <w:b/>
          <w:bCs/>
        </w:rPr>
        <w:t xml:space="preserve">Actions :</w:t>
      </w:r>
    </w:p>
    <w:p>
      <w:pPr>
        <w:spacing w:after="80"/>
        <w:ind w:left="360"/>
      </w:pPr>
      <w:r>
        <w:rPr>
          <w:b/>
          <w:bCs/>
        </w:rPr>
        <w:t xml:space="preserve">1. </w:t>
      </w:r>
      <w:r>
        <w:t xml:space="preserve">Défiler jusqu'à « Devis à relancer ».</w:t>
      </w:r>
    </w:p>
    <w:p>
      <w:pPr>
        <w:spacing w:after="80"/>
        <w:ind w:left="360"/>
      </w:pPr>
      <w:r>
        <w:rPr>
          <w:b/>
          <w:bCs/>
        </w:rPr>
        <w:t xml:space="preserve">2. </w:t>
      </w:r>
      <w:r>
        <w:t xml:space="preserve">Observer la couleur du libellé d'échéance de chaque devis listé.</w:t>
      </w:r>
    </w:p>
    <w:p>
      <w:pPr>
        <w:spacing w:after="120"/>
      </w:pPr>
      <w:r>
        <w:rPr>
          <w:b/>
          <w:bCs/>
        </w:rPr>
        <w:t xml:space="preserve">Résultat attendu :</w:t>
      </w:r>
    </w:p>
    <w:p>
      <w:pPr>
        <w:pStyle w:val="ListParagraph"/>
        <w:numPr>
          <w:ilvl w:val="0"/>
          <w:numId w:val="1"/>
        </w:numPr>
        <w:spacing w:after="80"/>
      </w:pPr>
      <w:r>
        <w:t xml:space="preserve">Devis à échéance lointaine : libellé neutre « J-&lt;n&gt; ».</w:t>
      </w:r>
    </w:p>
    <w:p>
      <w:pPr>
        <w:pStyle w:val="ListParagraph"/>
        <w:numPr>
          <w:ilvl w:val="0"/>
          <w:numId w:val="1"/>
        </w:numPr>
        <w:spacing w:after="80"/>
      </w:pPr>
      <w:r>
        <w:t xml:space="preserve">Devis à ≤ 3 jours : libellé en </w:t>
      </w:r>
      <w:r>
        <w:rPr>
          <w:b/>
          <w:bCs/>
        </w:rPr>
        <w:t xml:space="preserve">ambre</w:t>
      </w:r>
      <w:r>
        <w:t xml:space="preserve">.</w:t>
      </w:r>
    </w:p>
    <w:p>
      <w:pPr>
        <w:pStyle w:val="ListParagraph"/>
        <w:numPr>
          <w:ilvl w:val="0"/>
          <w:numId w:val="1"/>
        </w:numPr>
        <w:spacing w:after="80"/>
      </w:pPr>
      <w:r>
        <w:t xml:space="preserve">Devis échu (0 jour restant) : libellé « Expire aujourd'hui » ; devis expiré (passé) : libellé « Expiré » en </w:t>
      </w:r>
      <w:r>
        <w:rPr>
          <w:b/>
          <w:bCs/>
        </w:rPr>
        <w:t xml:space="preserve">rouge</w:t>
      </w:r>
      <w:r>
        <w:t xml:space="preserve">.</w:t>
      </w:r>
    </w:p>
    <w:p>
      <w:pPr>
        <w:pStyle w:val="Heading2"/>
        <w:spacing w:after="140" w:before="260"/>
      </w:pPr>
      <w:r>
        <w:t xml:space="preserve">[MOB-DASH-06] Devis à relancer — état vide</w:t>
      </w:r>
    </w:p>
    <w:p>
      <w:pPr>
        <w:spacing w:after="120"/>
      </w:pPr>
      <w:r>
        <w:rPr>
          <w:b/>
          <w:bCs/>
        </w:rPr>
        <w:t xml:space="preserve">Type :</w:t>
      </w:r>
      <w:r>
        <w:t xml:space="preserve"> Non passant / cas limite</w:t>
      </w:r>
    </w:p>
    <w:p>
      <w:pPr>
        <w:spacing w:after="120"/>
      </w:pPr>
      <w:r>
        <w:rPr>
          <w:b/>
          <w:bCs/>
        </w:rPr>
        <w:t xml:space="preserve">Préconditions :</w:t>
      </w:r>
      <w:r>
        <w:t xml:space="preserve"> Aucun devis envoyé sans réponse.</w:t>
      </w:r>
    </w:p>
    <w:p>
      <w:pPr>
        <w:spacing w:after="120"/>
      </w:pPr>
      <w:r>
        <w:rPr>
          <w:b/>
          <w:bCs/>
        </w:rPr>
        <w:t xml:space="preserve">Actions :</w:t>
      </w:r>
    </w:p>
    <w:p>
      <w:pPr>
        <w:spacing w:after="80"/>
        <w:ind w:left="360"/>
      </w:pPr>
      <w:r>
        <w:rPr>
          <w:b/>
          <w:bCs/>
        </w:rPr>
        <w:t xml:space="preserve">1. </w:t>
      </w:r>
      <w:r>
        <w:t xml:space="preserve">Défiler jusqu'à la section.</w:t>
      </w:r>
    </w:p>
    <w:p>
      <w:pPr>
        <w:spacing w:after="120"/>
      </w:pPr>
      <w:r>
        <w:rPr>
          <w:b/>
          <w:bCs/>
        </w:rPr>
        <w:t xml:space="preserve">Résultat attendu :</w:t>
      </w:r>
      <w:r>
        <w:t xml:space="preserve"> message « Aucun devis à relancer pour l'instant. » (</w:t>
      </w:r>
      <w:r>
        <w:rPr>
          <w:rFonts w:ascii="Consolas" w:cs="Consolas" w:eastAsia="Consolas" w:hAnsi="Consolas"/>
          <w:sz w:val="20"/>
          <w:szCs w:val="20"/>
          <w:shd w:fill="EEEEEE" w:val="clear"/>
        </w:rPr>
        <w:t xml:space="preserve">dashboard_quotes_to_followup_empty</w:t>
      </w:r>
      <w:r>
        <w:t xml:space="preserve">).</w:t>
      </w:r>
    </w:p>
    <w:p>
      <w:pPr>
        <w:pStyle w:val="Heading2"/>
        <w:spacing w:after="140" w:before="260"/>
      </w:pPr>
      <w:r>
        <w:t xml:space="preserve">[MOB-DASH-07] Échec de chargement du tableau de bord</w:t>
      </w:r>
    </w:p>
    <w:p>
      <w:pPr>
        <w:spacing w:after="120"/>
      </w:pPr>
      <w:r>
        <w:rPr>
          <w:b/>
          <w:bCs/>
        </w:rPr>
        <w:t xml:space="preserve">Type :</w:t>
      </w:r>
      <w:r>
        <w:t xml:space="preserve"> Non passant</w:t>
      </w:r>
    </w:p>
    <w:p>
      <w:pPr>
        <w:spacing w:after="120"/>
      </w:pPr>
      <w:r>
        <w:rPr>
          <w:b/>
          <w:bCs/>
        </w:rPr>
        <w:t xml:space="preserve">Préconditions :</w:t>
      </w:r>
      <w:r>
        <w:t xml:space="preserve"> Backend/base local inaccessible au lancement.</w:t>
      </w:r>
    </w:p>
    <w:p>
      <w:pPr>
        <w:spacing w:after="120"/>
      </w:pPr>
      <w:r>
        <w:rPr>
          <w:b/>
          <w:bCs/>
        </w:rPr>
        <w:t xml:space="preserve">Actions :</w:t>
      </w:r>
    </w:p>
    <w:p>
      <w:pPr>
        <w:spacing w:after="80"/>
        <w:ind w:left="360"/>
      </w:pPr>
      <w:r>
        <w:rPr>
          <w:b/>
          <w:bCs/>
        </w:rPr>
        <w:t xml:space="preserve">1. </w:t>
      </w:r>
      <w:r>
        <w:t xml:space="preserve">Lancer l'application (ou forcer une erreur de lecture).</w:t>
      </w:r>
    </w:p>
    <w:p>
      <w:pPr>
        <w:spacing w:after="120"/>
      </w:pPr>
      <w:r>
        <w:rPr>
          <w:b/>
          <w:bCs/>
        </w:rPr>
        <w:t xml:space="preserve">Résultat attendu :</w:t>
      </w:r>
      <w:r>
        <w:t xml:space="preserve"> message d'erreur affiché dans </w:t>
      </w:r>
      <w:r>
        <w:rPr>
          <w:rFonts w:ascii="Consolas" w:cs="Consolas" w:eastAsia="Consolas" w:hAnsi="Consolas"/>
          <w:sz w:val="20"/>
          <w:szCs w:val="20"/>
          <w:shd w:fill="EEEEEE" w:val="clear"/>
        </w:rPr>
        <w:t xml:space="preserve">dashboard_load_error</w:t>
      </w:r>
      <w:r>
        <w:t xml:space="preserve"> (toast/texte « Erreur lors du chargement du tableau de bord » ou équivalent) ; l'application ne plante pas et reste utilisable.</w:t>
      </w:r>
    </w:p>
    <w:p>
      <w:pPr>
        <w:pStyle w:val="Heading2"/>
        <w:spacing w:after="140" w:before="260"/>
      </w:pPr>
      <w:r>
        <w:t xml:space="preserve">[MOB-DASH-08] Absence de mise en page tablette dédiée</w:t>
      </w:r>
    </w:p>
    <w:p>
      <w:pPr>
        <w:spacing w:after="120"/>
      </w:pPr>
      <w:r>
        <w:rPr>
          <w:b/>
          <w:bCs/>
        </w:rPr>
        <w:t xml:space="preserve">Type :</w:t>
      </w:r>
      <w:r>
        <w:t xml:space="preserve"> Passant / non-régression</w:t>
      </w:r>
    </w:p>
    <w:p>
      <w:pPr>
        <w:spacing w:after="120"/>
      </w:pPr>
      <w:r>
        <w:rPr>
          <w:b/>
          <w:bCs/>
        </w:rPr>
        <w:t xml:space="preserve">Préconditions :</w:t>
      </w:r>
      <w:r>
        <w:t xml:space="preserve"> Dashboard affiché.</w:t>
      </w:r>
    </w:p>
    <w:p>
      <w:pPr>
        <w:spacing w:after="120"/>
      </w:pPr>
      <w:r>
        <w:rPr>
          <w:b/>
          <w:bCs/>
        </w:rPr>
        <w:t xml:space="preserve">Actions :</w:t>
      </w:r>
    </w:p>
    <w:p>
      <w:pPr>
        <w:spacing w:after="80"/>
        <w:ind w:left="360"/>
      </w:pPr>
      <w:r>
        <w:rPr>
          <w:b/>
          <w:bCs/>
        </w:rPr>
        <w:t xml:space="preserve">1. </w:t>
      </w:r>
      <w:r>
        <w:t xml:space="preserve">Faire pivoter l'appareil en paysage, ou basculer sur un émulateur tablette (≥ 840 dp).</w:t>
      </w:r>
    </w:p>
    <w:p>
      <w:pPr>
        <w:spacing w:after="120"/>
      </w:pPr>
      <w:r>
        <w:rPr>
          <w:b/>
          <w:bCs/>
        </w:rPr>
        <w:t xml:space="preserve">Résultat attendu :</w:t>
      </w:r>
      <w:r>
        <w:t xml:space="preserve"> contrairement au Rapprochement bancaire, le Dashboard </w:t>
      </w:r>
      <w:r>
        <w:rPr>
          <w:b/>
          <w:bCs/>
        </w:rPr>
        <w:t xml:space="preserve">n'a pas</w:t>
      </w:r>
      <w:r>
        <w:t xml:space="preserve"> de rupture de mise en page à 840 dp — c'est le même </w:t>
      </w:r>
      <w:r>
        <w:rPr>
          <w:rFonts w:ascii="Consolas" w:cs="Consolas" w:eastAsia="Consolas" w:hAnsi="Consolas"/>
          <w:sz w:val="20"/>
          <w:szCs w:val="20"/>
          <w:shd w:fill="EEEEEE" w:val="clear"/>
        </w:rPr>
        <w:t xml:space="preserve">Column</w:t>
      </w:r>
      <w:r>
        <w:t xml:space="preserve"> défilant qui se réorganise par simple retour à la ligne. Vérifier qu'aucune carte ne se retrouve tronquée ou superposée.</w:t>
      </w:r>
    </w:p>
    <w:p>
      <w:pPr>
        <w:pBdr>
          <w:bottom w:val="single" w:color="AAAAAA" w:sz="6" w:space="1"/>
        </w:pBdr>
        <w:spacing w:after="240" w:before="120"/>
      </w:pPr>
    </w:p>
    <w:p>
      <w:pPr>
        <w:pStyle w:val="Heading1"/>
        <w:pageBreakBefore/>
        <w:spacing w:after="140" w:before="400"/>
      </w:pPr>
      <w:r>
        <w:t xml:space="preserve">3. Annuaire — Clients &amp; DGFIP</w:t>
      </w:r>
    </w:p>
    <w:p>
      <w:pPr>
        <w:pStyle w:val="Heading2"/>
        <w:spacing w:after="140" w:before="260"/>
      </w:pPr>
      <w:r>
        <w:t xml:space="preserve">3.1 Fiches clients (CRUD)</w:t>
      </w:r>
    </w:p>
    <w:p>
      <w:pPr>
        <w:pStyle w:val="Heading2"/>
        <w:spacing w:after="140" w:before="260"/>
      </w:pPr>
      <w:r>
        <w:t xml:space="preserve">[MOB-CLI-01] Liste des clients — état vide</w:t>
      </w:r>
    </w:p>
    <w:p>
      <w:pPr>
        <w:spacing w:after="120"/>
      </w:pPr>
      <w:r>
        <w:rPr>
          <w:b/>
          <w:bCs/>
        </w:rPr>
        <w:t xml:space="preserve">Type :</w:t>
      </w:r>
      <w:r>
        <w:t xml:space="preserve"> Non passant / cas limite</w:t>
      </w:r>
    </w:p>
    <w:p>
      <w:pPr>
        <w:spacing w:after="120"/>
      </w:pPr>
      <w:r>
        <w:rPr>
          <w:b/>
          <w:bCs/>
        </w:rPr>
        <w:t xml:space="preserve">Préconditions :</w:t>
      </w:r>
      <w:r>
        <w:t xml:space="preserve"> Aucun client enregistré.</w:t>
      </w:r>
    </w:p>
    <w:p>
      <w:pPr>
        <w:spacing w:after="120"/>
      </w:pPr>
      <w:r>
        <w:rPr>
          <w:b/>
          <w:bCs/>
        </w:rPr>
        <w:t xml:space="preserve">Actions :</w:t>
      </w:r>
    </w:p>
    <w:p>
      <w:pPr>
        <w:spacing w:after="80"/>
        <w:ind w:left="360"/>
      </w:pPr>
      <w:r>
        <w:rPr>
          <w:b/>
          <w:bCs/>
        </w:rPr>
        <w:t xml:space="preserve">1. </w:t>
      </w:r>
      <w:r>
        <w:t xml:space="preserve">Ouvrir l'onglet « Clients » (</w:t>
      </w:r>
      <w:r>
        <w:rPr>
          <w:rFonts w:ascii="Consolas" w:cs="Consolas" w:eastAsia="Consolas" w:hAnsi="Consolas"/>
          <w:sz w:val="20"/>
          <w:szCs w:val="20"/>
          <w:shd w:fill="EEEEEE" w:val="clear"/>
        </w:rPr>
        <w:t xml:space="preserve">clients_screen</w:t>
      </w:r>
      <w:r>
        <w:t xml:space="preserve">).</w:t>
      </w:r>
    </w:p>
    <w:p>
      <w:pPr>
        <w:spacing w:after="120"/>
      </w:pPr>
      <w:r>
        <w:rPr>
          <w:b/>
          <w:bCs/>
        </w:rPr>
        <w:t xml:space="preserve">Résultat attendu :</w:t>
      </w:r>
      <w:r>
        <w:t xml:space="preserve"> message « Aucun client enregistré. » (</w:t>
      </w:r>
      <w:r>
        <w:rPr>
          <w:rFonts w:ascii="Consolas" w:cs="Consolas" w:eastAsia="Consolas" w:hAnsi="Consolas"/>
          <w:sz w:val="20"/>
          <w:szCs w:val="20"/>
          <w:shd w:fill="EEEEEE" w:val="clear"/>
        </w:rPr>
        <w:t xml:space="preserve">clients_empty_state</w:t>
      </w:r>
      <w:r>
        <w:t xml:space="preserve">).</w:t>
      </w:r>
    </w:p>
    <w:p>
      <w:pPr>
        <w:pStyle w:val="Heading2"/>
        <w:spacing w:after="140" w:before="260"/>
      </w:pPr>
      <w:r>
        <w:t xml:space="preserve">[MOB-CLI-02] Création d'un client — nominal</w:t>
      </w:r>
    </w:p>
    <w:p>
      <w:pPr>
        <w:spacing w:after="120"/>
      </w:pPr>
      <w:r>
        <w:rPr>
          <w:b/>
          <w:bCs/>
        </w:rPr>
        <w:t xml:space="preserve">Type :</w:t>
      </w:r>
      <w:r>
        <w:t xml:space="preserve"> Passant</w:t>
      </w:r>
    </w:p>
    <w:p>
      <w:pPr>
        <w:spacing w:after="120"/>
      </w:pPr>
      <w:r>
        <w:rPr>
          <w:b/>
          <w:bCs/>
        </w:rPr>
        <w:t xml:space="preserve">Préconditions :</w:t>
      </w:r>
      <w:r>
        <w:t xml:space="preserve"> Onglet Clients affiché.</w:t>
      </w:r>
    </w:p>
    <w:p>
      <w:pPr>
        <w:spacing w:after="120"/>
      </w:pPr>
      <w:r>
        <w:rPr>
          <w:b/>
          <w:bCs/>
        </w:rPr>
        <w:t xml:space="preserve">Actions :</w:t>
      </w:r>
    </w:p>
    <w:p>
      <w:pPr>
        <w:spacing w:after="80"/>
        <w:ind w:left="360"/>
      </w:pPr>
      <w:r>
        <w:rPr>
          <w:b/>
          <w:bCs/>
        </w:rPr>
        <w:t xml:space="preserve">1. </w:t>
      </w:r>
      <w:r>
        <w:t xml:space="preserve">Taper « Ajouter un client » (</w:t>
      </w:r>
      <w:r>
        <w:rPr>
          <w:rFonts w:ascii="Consolas" w:cs="Consolas" w:eastAsia="Consolas" w:hAnsi="Consolas"/>
          <w:sz w:val="20"/>
          <w:szCs w:val="20"/>
          <w:shd w:fill="EEEEEE" w:val="clear"/>
        </w:rPr>
        <w:t xml:space="preserve">clients_add_button</w:t>
      </w:r>
      <w:r>
        <w:t xml:space="preserve">).</w:t>
      </w:r>
    </w:p>
    <w:p>
      <w:pPr>
        <w:spacing w:after="80"/>
        <w:ind w:left="360"/>
      </w:pPr>
      <w:r>
        <w:rPr>
          <w:b/>
          <w:bCs/>
        </w:rPr>
        <w:t xml:space="preserve">2. </w:t>
      </w:r>
      <w:r>
        <w:t xml:space="preserve">Renseigner Raison sociale (</w:t>
      </w:r>
      <w:r>
        <w:rPr>
          <w:rFonts w:ascii="Consolas" w:cs="Consolas" w:eastAsia="Consolas" w:hAnsi="Consolas"/>
          <w:sz w:val="20"/>
          <w:szCs w:val="20"/>
          <w:shd w:fill="EEEEEE" w:val="clear"/>
        </w:rPr>
        <w:t xml:space="preserve">client_form_name</w:t>
      </w:r>
      <w:r>
        <w:t xml:space="preserve">), SIRET 14 chiffres valides (</w:t>
      </w:r>
      <w:r>
        <w:rPr>
          <w:rFonts w:ascii="Consolas" w:cs="Consolas" w:eastAsia="Consolas" w:hAnsi="Consolas"/>
          <w:sz w:val="20"/>
          <w:szCs w:val="20"/>
          <w:shd w:fill="EEEEEE" w:val="clear"/>
        </w:rPr>
        <w:t xml:space="preserve">client_form_siret</w:t>
      </w:r>
      <w:r>
        <w:t xml:space="preserve">), Email (</w:t>
      </w:r>
      <w:r>
        <w:rPr>
          <w:rFonts w:ascii="Consolas" w:cs="Consolas" w:eastAsia="Consolas" w:hAnsi="Consolas"/>
          <w:sz w:val="20"/>
          <w:szCs w:val="20"/>
          <w:shd w:fill="EEEEEE" w:val="clear"/>
        </w:rPr>
        <w:t xml:space="preserve">client_form_email</w:t>
      </w:r>
      <w:r>
        <w:t xml:space="preserve">).</w:t>
      </w:r>
    </w:p>
    <w:p>
      <w:pPr>
        <w:spacing w:after="80"/>
        <w:ind w:left="360"/>
      </w:pPr>
      <w:r>
        <w:rPr>
          <w:b/>
          <w:bCs/>
        </w:rPr>
        <w:t xml:space="preserve">3. </w:t>
      </w:r>
      <w:r>
        <w:t xml:space="preserve">Taper « Enregistrer » (</w:t>
      </w:r>
      <w:r>
        <w:rPr>
          <w:rFonts w:ascii="Consolas" w:cs="Consolas" w:eastAsia="Consolas" w:hAnsi="Consolas"/>
          <w:sz w:val="20"/>
          <w:szCs w:val="20"/>
          <w:shd w:fill="EEEEEE" w:val="clear"/>
        </w:rPr>
        <w:t xml:space="preserve">client_form_save</w:t>
      </w:r>
      <w:r>
        <w:t xml:space="preserve">).</w:t>
      </w:r>
    </w:p>
    <w:p>
      <w:pPr>
        <w:spacing w:after="120"/>
      </w:pPr>
      <w:r>
        <w:rPr>
          <w:b/>
          <w:bCs/>
        </w:rPr>
        <w:t xml:space="preserve">Résultat attendu :</w:t>
      </w:r>
    </w:p>
    <w:p>
      <w:pPr>
        <w:pStyle w:val="ListParagraph"/>
        <w:numPr>
          <w:ilvl w:val="0"/>
          <w:numId w:val="1"/>
        </w:numPr>
        <w:spacing w:after="80"/>
      </w:pPr>
      <w:r>
        <w:t xml:space="preserve">Après l'étape 1 : la boîte de dialogue « Nouveau client » (</w:t>
      </w:r>
      <w:r>
        <w:rPr>
          <w:rFonts w:ascii="Consolas" w:cs="Consolas" w:eastAsia="Consolas" w:hAnsi="Consolas"/>
          <w:sz w:val="20"/>
          <w:szCs w:val="20"/>
          <w:shd w:fill="EEEEEE" w:val="clear"/>
        </w:rPr>
        <w:t xml:space="preserve">client_form_dialog</w:t>
      </w:r>
      <w:r>
        <w:t xml:space="preserve">) s'ouvre.</w:t>
      </w:r>
    </w:p>
    <w:p>
      <w:pPr>
        <w:pStyle w:val="ListParagraph"/>
        <w:numPr>
          <w:ilvl w:val="0"/>
          <w:numId w:val="1"/>
        </w:numPr>
        <w:spacing w:after="80"/>
      </w:pPr>
      <w:r>
        <w:t xml:space="preserve">Après l'étape 3 : la boîte se ferme, un message « Client ajouté » (</w:t>
      </w:r>
      <w:r>
        <w:rPr>
          <w:rFonts w:ascii="Consolas" w:cs="Consolas" w:eastAsia="Consolas" w:hAnsi="Consolas"/>
          <w:sz w:val="20"/>
          <w:szCs w:val="20"/>
          <w:shd w:fill="EEEEEE" w:val="clear"/>
        </w:rPr>
        <w:t xml:space="preserve">clients_feedback</w:t>
      </w:r>
      <w:r>
        <w:t xml:space="preserve">) apparaît, et la nouvelle fiche est visible dans la liste (</w:t>
      </w:r>
      <w:r>
        <w:rPr>
          <w:rFonts w:ascii="Consolas" w:cs="Consolas" w:eastAsia="Consolas" w:hAnsi="Consolas"/>
          <w:sz w:val="20"/>
          <w:szCs w:val="20"/>
          <w:shd w:fill="EEEEEE" w:val="clear"/>
        </w:rPr>
        <w:t xml:space="preserve">card(siret)</w:t>
      </w:r>
      <w:r>
        <w:t xml:space="preserve">).</w:t>
      </w:r>
    </w:p>
    <w:p>
      <w:pPr>
        <w:pStyle w:val="Heading2"/>
        <w:spacing w:after="140" w:before="260"/>
      </w:pPr>
      <w:r>
        <w:t xml:space="preserve">[MOB-CLI-03] Création — SIRET invalide (longueur)</w:t>
      </w:r>
    </w:p>
    <w:p>
      <w:pPr>
        <w:spacing w:after="120"/>
      </w:pPr>
      <w:r>
        <w:rPr>
          <w:b/>
          <w:bCs/>
        </w:rPr>
        <w:t xml:space="preserve">Type :</w:t>
      </w:r>
      <w:r>
        <w:t xml:space="preserve"> Non passant</w:t>
      </w:r>
    </w:p>
    <w:p>
      <w:pPr>
        <w:spacing w:after="120"/>
      </w:pPr>
      <w:r>
        <w:rPr>
          <w:b/>
          <w:bCs/>
        </w:rPr>
        <w:t xml:space="preserve">Préconditions :</w:t>
      </w:r>
      <w:r>
        <w:t xml:space="preserve"> Formulaire de nouveau client ouvert.</w:t>
      </w:r>
    </w:p>
    <w:p>
      <w:pPr>
        <w:spacing w:after="120"/>
      </w:pPr>
      <w:r>
        <w:rPr>
          <w:b/>
          <w:bCs/>
        </w:rPr>
        <w:t xml:space="preserve">Actions :</w:t>
      </w:r>
    </w:p>
    <w:p>
      <w:pPr>
        <w:spacing w:after="80"/>
        <w:ind w:left="360"/>
      </w:pPr>
      <w:r>
        <w:rPr>
          <w:b/>
          <w:bCs/>
        </w:rPr>
        <w:t xml:space="preserve">1. </w:t>
      </w:r>
      <w:r>
        <w:t xml:space="preserve">Saisir un SIRET de 10 chiffres.</w:t>
      </w:r>
    </w:p>
    <w:p>
      <w:pPr>
        <w:spacing w:after="80"/>
        <w:ind w:left="360"/>
      </w:pPr>
      <w:r>
        <w:rPr>
          <w:b/>
          <w:bCs/>
        </w:rPr>
        <w:t xml:space="preserve">2. </w:t>
      </w:r>
      <w:r>
        <w:t xml:space="preserve">Taper « Enregistrer ».</w:t>
      </w:r>
    </w:p>
    <w:p>
      <w:pPr>
        <w:spacing w:after="120"/>
      </w:pPr>
      <w:r>
        <w:rPr>
          <w:b/>
          <w:bCs/>
        </w:rPr>
        <w:t xml:space="preserve">Résultat attendu :</w:t>
      </w:r>
      <w:r>
        <w:t xml:space="preserve"> le champ SIRET s'entoure de rouge, message « Le SIRET doit comporter exactement 14 chiffres » ; la boîte de dialogue reste ouverte ; le bouton Enregistrer reste cliquable (il ne se grise jamais — l'erreur se révèle au clic, jamais un bouton mort sans explication).</w:t>
      </w:r>
    </w:p>
    <w:p>
      <w:pPr>
        <w:pStyle w:val="Heading2"/>
        <w:spacing w:after="140" w:before="260"/>
      </w:pPr>
      <w:r>
        <w:t xml:space="preserve">[MOB-CLI-04] Création — raison sociale trop courte</w:t>
      </w:r>
    </w:p>
    <w:p>
      <w:pPr>
        <w:spacing w:after="120"/>
      </w:pPr>
      <w:r>
        <w:rPr>
          <w:b/>
          <w:bCs/>
        </w:rPr>
        <w:t xml:space="preserve">Type :</w:t>
      </w:r>
      <w:r>
        <w:t xml:space="preserve"> Non passant</w:t>
      </w:r>
    </w:p>
    <w:p>
      <w:pPr>
        <w:spacing w:after="120"/>
      </w:pPr>
      <w:r>
        <w:rPr>
          <w:b/>
          <w:bCs/>
        </w:rPr>
        <w:t xml:space="preserve">Préconditions :</w:t>
      </w:r>
      <w:r>
        <w:t xml:space="preserve"> Formulaire ouvert.</w:t>
      </w:r>
    </w:p>
    <w:p>
      <w:pPr>
        <w:spacing w:after="120"/>
      </w:pPr>
      <w:r>
        <w:rPr>
          <w:b/>
          <w:bCs/>
        </w:rPr>
        <w:t xml:space="preserve">Actions :</w:t>
      </w:r>
    </w:p>
    <w:p>
      <w:pPr>
        <w:spacing w:after="80"/>
        <w:ind w:left="360"/>
      </w:pPr>
      <w:r>
        <w:rPr>
          <w:b/>
          <w:bCs/>
        </w:rPr>
        <w:t xml:space="preserve">1. </w:t>
      </w:r>
      <w:r>
        <w:t xml:space="preserve">Saisir un seul caractère dans Raison sociale, compléter le reste valablement.</w:t>
      </w:r>
    </w:p>
    <w:p>
      <w:pPr>
        <w:spacing w:after="80"/>
        <w:ind w:left="360"/>
      </w:pPr>
      <w:r>
        <w:rPr>
          <w:b/>
          <w:bCs/>
        </w:rPr>
        <w:t xml:space="preserve">2. </w:t>
      </w:r>
      <w:r>
        <w:t xml:space="preserve">Taper « Enregistrer ».</w:t>
      </w:r>
    </w:p>
    <w:p>
      <w:pPr>
        <w:spacing w:after="120"/>
      </w:pPr>
      <w:r>
        <w:rPr>
          <w:b/>
          <w:bCs/>
        </w:rPr>
        <w:t xml:space="preserve">Résultat attendu :</w:t>
      </w:r>
      <w:r>
        <w:t xml:space="preserve"> erreur « La raison sociale doit comporter au moins 2 caractères ».</w:t>
      </w:r>
    </w:p>
    <w:p>
      <w:pPr>
        <w:pStyle w:val="Heading2"/>
        <w:spacing w:after="140" w:before="260"/>
      </w:pPr>
      <w:r>
        <w:t xml:space="preserve">[MOB-CLI-05] Création — email invalide</w:t>
      </w:r>
    </w:p>
    <w:p>
      <w:pPr>
        <w:spacing w:after="120"/>
      </w:pPr>
      <w:r>
        <w:rPr>
          <w:b/>
          <w:bCs/>
        </w:rPr>
        <w:t xml:space="preserve">Type :</w:t>
      </w:r>
      <w:r>
        <w:t xml:space="preserve"> Non passant</w:t>
      </w:r>
    </w:p>
    <w:p>
      <w:pPr>
        <w:spacing w:after="120"/>
      </w:pPr>
      <w:r>
        <w:rPr>
          <w:b/>
          <w:bCs/>
        </w:rPr>
        <w:t xml:space="preserve">Préconditions :</w:t>
      </w:r>
      <w:r>
        <w:t xml:space="preserve"> Formulaire ouvert.</w:t>
      </w:r>
    </w:p>
    <w:p>
      <w:pPr>
        <w:spacing w:after="120"/>
      </w:pPr>
      <w:r>
        <w:rPr>
          <w:b/>
          <w:bCs/>
        </w:rPr>
        <w:t xml:space="preserve">Actions :</w:t>
      </w:r>
    </w:p>
    <w:p>
      <w:pPr>
        <w:spacing w:after="80"/>
        <w:ind w:left="360"/>
      </w:pPr>
      <w:r>
        <w:rPr>
          <w:b/>
          <w:bCs/>
        </w:rPr>
        <w:t xml:space="preserve">1. </w:t>
      </w:r>
      <w:r>
        <w:t xml:space="preserve">Saisir un email sans arobase ou sans domaine (ex. « client-exemple »).</w:t>
      </w:r>
    </w:p>
    <w:p>
      <w:pPr>
        <w:spacing w:after="80"/>
        <w:ind w:left="360"/>
      </w:pPr>
      <w:r>
        <w:rPr>
          <w:b/>
          <w:bCs/>
        </w:rPr>
        <w:t xml:space="preserve">2. </w:t>
      </w:r>
      <w:r>
        <w:t xml:space="preserve">Taper « Enregistrer ».</w:t>
      </w:r>
    </w:p>
    <w:p>
      <w:pPr>
        <w:spacing w:after="120"/>
      </w:pPr>
      <w:r>
        <w:rPr>
          <w:b/>
          <w:bCs/>
        </w:rPr>
        <w:t xml:space="preserve">Résultat attendu :</w:t>
      </w:r>
      <w:r>
        <w:t xml:space="preserve"> erreur « Adresse email invalide ».</w:t>
      </w:r>
    </w:p>
    <w:p>
      <w:pPr>
        <w:pStyle w:val="Heading2"/>
        <w:spacing w:after="140" w:before="260"/>
      </w:pPr>
      <w:r>
        <w:t xml:space="preserve">[MOB-CLI-06] Création — SIRET déjà utilisé</w:t>
      </w:r>
    </w:p>
    <w:p>
      <w:pPr>
        <w:spacing w:after="120"/>
      </w:pPr>
      <w:r>
        <w:rPr>
          <w:b/>
          <w:bCs/>
        </w:rPr>
        <w:t xml:space="preserve">Type :</w:t>
      </w:r>
      <w:r>
        <w:t xml:space="preserve"> Non passant</w:t>
      </w:r>
    </w:p>
    <w:p>
      <w:pPr>
        <w:spacing w:after="120"/>
      </w:pPr>
      <w:r>
        <w:rPr>
          <w:b/>
          <w:bCs/>
        </w:rPr>
        <w:t xml:space="preserve">Préconditions :</w:t>
      </w:r>
      <w:r>
        <w:t xml:space="preserve"> Un client avec le SIRET </w:t>
      </w:r>
      <w:r>
        <w:rPr>
          <w:rFonts w:ascii="Consolas" w:cs="Consolas" w:eastAsia="Consolas" w:hAnsi="Consolas"/>
          <w:sz w:val="20"/>
          <w:szCs w:val="20"/>
          <w:shd w:fill="EEEEEE" w:val="clear"/>
        </w:rPr>
        <w:t xml:space="preserve">X</w:t>
      </w:r>
      <w:r>
        <w:t xml:space="preserve"> existe déjà.</w:t>
      </w:r>
    </w:p>
    <w:p>
      <w:pPr>
        <w:spacing w:after="120"/>
      </w:pPr>
      <w:r>
        <w:rPr>
          <w:b/>
          <w:bCs/>
        </w:rPr>
        <w:t xml:space="preserve">Actions :</w:t>
      </w:r>
    </w:p>
    <w:p>
      <w:pPr>
        <w:spacing w:after="80"/>
        <w:ind w:left="360"/>
      </w:pPr>
      <w:r>
        <w:rPr>
          <w:b/>
          <w:bCs/>
        </w:rPr>
        <w:t xml:space="preserve">1. </w:t>
      </w:r>
      <w:r>
        <w:t xml:space="preserve">Créer un nouveau client avec le même SIRET </w:t>
      </w:r>
      <w:r>
        <w:rPr>
          <w:rFonts w:ascii="Consolas" w:cs="Consolas" w:eastAsia="Consolas" w:hAnsi="Consolas"/>
          <w:sz w:val="20"/>
          <w:szCs w:val="20"/>
          <w:shd w:fill="EEEEEE" w:val="clear"/>
        </w:rPr>
        <w:t xml:space="preserve">X</w:t>
      </w:r>
      <w:r>
        <w:t xml:space="preserve">.</w:t>
      </w:r>
    </w:p>
    <w:p>
      <w:pPr>
        <w:spacing w:after="80"/>
        <w:ind w:left="360"/>
      </w:pPr>
      <w:r>
        <w:rPr>
          <w:b/>
          <w:bCs/>
        </w:rPr>
        <w:t xml:space="preserve">2. </w:t>
      </w:r>
      <w:r>
        <w:t xml:space="preserve">Taper « Enregistrer ».</w:t>
      </w:r>
    </w:p>
    <w:p>
      <w:pPr>
        <w:spacing w:after="120"/>
      </w:pPr>
      <w:r>
        <w:rPr>
          <w:b/>
          <w:bCs/>
        </w:rPr>
        <w:t xml:space="preserve">Résultat attendu :</w:t>
      </w:r>
      <w:r>
        <w:t xml:space="preserve"> erreur sur le champ SIRET « Un client porte déjà ce SIRET » ; aucune deuxième fiche créée.</w:t>
      </w:r>
    </w:p>
    <w:p>
      <w:pPr>
        <w:pStyle w:val="Heading2"/>
        <w:spacing w:after="140" w:before="260"/>
      </w:pPr>
      <w:r>
        <w:t xml:space="preserve">[MOB-CLI-07] Édition — SIRET verrouillé</w:t>
      </w:r>
    </w:p>
    <w:p>
      <w:pPr>
        <w:spacing w:after="120"/>
      </w:pPr>
      <w:r>
        <w:rPr>
          <w:b/>
          <w:bCs/>
        </w:rPr>
        <w:t xml:space="preserve">Type :</w:t>
      </w:r>
      <w:r>
        <w:t xml:space="preserve"> Passant / non-régression</w:t>
      </w:r>
    </w:p>
    <w:p>
      <w:pPr>
        <w:spacing w:after="120"/>
      </w:pPr>
      <w:r>
        <w:rPr>
          <w:b/>
          <w:bCs/>
        </w:rPr>
        <w:t xml:space="preserve">Préconditions :</w:t>
      </w:r>
      <w:r>
        <w:t xml:space="preserve"> Un client existant, liste affichée.</w:t>
      </w:r>
    </w:p>
    <w:p>
      <w:pPr>
        <w:spacing w:after="120"/>
      </w:pPr>
      <w:r>
        <w:rPr>
          <w:b/>
          <w:bCs/>
        </w:rPr>
        <w:t xml:space="preserve">Actions :</w:t>
      </w:r>
    </w:p>
    <w:p>
      <w:pPr>
        <w:spacing w:after="80"/>
        <w:ind w:left="360"/>
      </w:pPr>
      <w:r>
        <w:rPr>
          <w:b/>
          <w:bCs/>
        </w:rPr>
        <w:t xml:space="preserve">1. </w:t>
      </w:r>
      <w:r>
        <w:t xml:space="preserve">Taper « Modifier » (</w:t>
      </w:r>
      <w:r>
        <w:rPr>
          <w:rFonts w:ascii="Consolas" w:cs="Consolas" w:eastAsia="Consolas" w:hAnsi="Consolas"/>
          <w:sz w:val="20"/>
          <w:szCs w:val="20"/>
          <w:shd w:fill="EEEEEE" w:val="clear"/>
        </w:rPr>
        <w:t xml:space="preserve">editButton(siret)</w:t>
      </w:r>
      <w:r>
        <w:t xml:space="preserve">) sur une fiche.</w:t>
      </w:r>
    </w:p>
    <w:p>
      <w:pPr>
        <w:spacing w:after="80"/>
        <w:ind w:left="360"/>
      </w:pPr>
      <w:r>
        <w:rPr>
          <w:b/>
          <w:bCs/>
        </w:rPr>
        <w:t xml:space="preserve">2. </w:t>
      </w:r>
      <w:r>
        <w:t xml:space="preserve">Observer le champ SIRET.</w:t>
      </w:r>
    </w:p>
    <w:p>
      <w:pPr>
        <w:spacing w:after="120"/>
      </w:pPr>
      <w:r>
        <w:rPr>
          <w:b/>
          <w:bCs/>
        </w:rPr>
        <w:t xml:space="preserve">Résultat attendu :</w:t>
      </w:r>
      <w:r>
        <w:t xml:space="preserve"> le champ SIRET est </w:t>
      </w:r>
      <w:r>
        <w:rPr>
          <w:b/>
          <w:bCs/>
        </w:rPr>
        <w:t xml:space="preserve">désactivé</w:t>
      </w:r>
      <w:r>
        <w:t xml:space="preserve"> (non éditable) ; un texte d'aide indique « Le SIRET identifie la fiche et ne peut pas être modifié ». Nom et email restent éditables.</w:t>
      </w:r>
    </w:p>
    <w:p>
      <w:pPr>
        <w:pStyle w:val="Heading2"/>
        <w:spacing w:after="140" w:before="260"/>
      </w:pPr>
      <w:r>
        <w:t xml:space="preserve">[MOB-CLI-08] Édition — nominal</w:t>
      </w:r>
    </w:p>
    <w:p>
      <w:pPr>
        <w:spacing w:after="120"/>
      </w:pPr>
      <w:r>
        <w:rPr>
          <w:b/>
          <w:bCs/>
        </w:rPr>
        <w:t xml:space="preserve">Type :</w:t>
      </w:r>
      <w:r>
        <w:t xml:space="preserve"> Passant</w:t>
      </w:r>
    </w:p>
    <w:p>
      <w:pPr>
        <w:spacing w:after="120"/>
      </w:pPr>
      <w:r>
        <w:rPr>
          <w:b/>
          <w:bCs/>
        </w:rPr>
        <w:t xml:space="preserve">Préconditions :</w:t>
      </w:r>
      <w:r>
        <w:t xml:space="preserve"> Fiche client ouverte en édition.</w:t>
      </w:r>
    </w:p>
    <w:p>
      <w:pPr>
        <w:spacing w:after="120"/>
      </w:pPr>
      <w:r>
        <w:rPr>
          <w:b/>
          <w:bCs/>
        </w:rPr>
        <w:t xml:space="preserve">Actions :</w:t>
      </w:r>
    </w:p>
    <w:p>
      <w:pPr>
        <w:spacing w:after="80"/>
        <w:ind w:left="360"/>
      </w:pPr>
      <w:r>
        <w:rPr>
          <w:b/>
          <w:bCs/>
        </w:rPr>
        <w:t xml:space="preserve">1. </w:t>
      </w:r>
      <w:r>
        <w:t xml:space="preserve">Modifier la Raison sociale.</w:t>
      </w:r>
    </w:p>
    <w:p>
      <w:pPr>
        <w:spacing w:after="80"/>
        <w:ind w:left="360"/>
      </w:pPr>
      <w:r>
        <w:rPr>
          <w:b/>
          <w:bCs/>
        </w:rPr>
        <w:t xml:space="preserve">2. </w:t>
      </w:r>
      <w:r>
        <w:t xml:space="preserve">Taper « Enregistrer ».</w:t>
      </w:r>
    </w:p>
    <w:p>
      <w:pPr>
        <w:spacing w:after="120"/>
      </w:pPr>
      <w:r>
        <w:rPr>
          <w:b/>
          <w:bCs/>
        </w:rPr>
        <w:t xml:space="preserve">Résultat attendu :</w:t>
      </w:r>
      <w:r>
        <w:t xml:space="preserve"> message « Client mis à jour » ; la carte de la liste reflète le nouveau nom.</w:t>
      </w:r>
    </w:p>
    <w:p>
      <w:pPr>
        <w:pStyle w:val="Heading2"/>
        <w:spacing w:after="140" w:before="260"/>
      </w:pPr>
      <w:r>
        <w:t xml:space="preserve">[MOB-CLI-09] Suppression — client non référencé</w:t>
      </w:r>
    </w:p>
    <w:p>
      <w:pPr>
        <w:spacing w:after="120"/>
      </w:pPr>
      <w:r>
        <w:rPr>
          <w:b/>
          <w:bCs/>
        </w:rPr>
        <w:t xml:space="preserve">Type :</w:t>
      </w:r>
      <w:r>
        <w:t xml:space="preserve"> Passant</w:t>
      </w:r>
    </w:p>
    <w:p>
      <w:pPr>
        <w:spacing w:after="120"/>
      </w:pPr>
      <w:r>
        <w:rPr>
          <w:b/>
          <w:bCs/>
        </w:rPr>
        <w:t xml:space="preserve">Préconditions :</w:t>
      </w:r>
      <w:r>
        <w:t xml:space="preserve"> Un client existant, jamais utilisé sur aucune facture.</w:t>
      </w:r>
    </w:p>
    <w:p>
      <w:pPr>
        <w:spacing w:after="120"/>
      </w:pPr>
      <w:r>
        <w:rPr>
          <w:b/>
          <w:bCs/>
        </w:rPr>
        <w:t xml:space="preserve">Actions :</w:t>
      </w:r>
    </w:p>
    <w:p>
      <w:pPr>
        <w:spacing w:after="80"/>
        <w:ind w:left="360"/>
      </w:pPr>
      <w:r>
        <w:rPr>
          <w:b/>
          <w:bCs/>
        </w:rPr>
        <w:t xml:space="preserve">1. </w:t>
      </w:r>
      <w:r>
        <w:t xml:space="preserve">Taper « Supprimer » (</w:t>
      </w:r>
      <w:r>
        <w:rPr>
          <w:rFonts w:ascii="Consolas" w:cs="Consolas" w:eastAsia="Consolas" w:hAnsi="Consolas"/>
          <w:sz w:val="20"/>
          <w:szCs w:val="20"/>
          <w:shd w:fill="EEEEEE" w:val="clear"/>
        </w:rPr>
        <w:t xml:space="preserve">deleteButton(siret)</w:t>
      </w:r>
      <w:r>
        <w:t xml:space="preserve">).</w:t>
      </w:r>
    </w:p>
    <w:p>
      <w:pPr>
        <w:spacing w:after="80"/>
        <w:ind w:left="360"/>
      </w:pPr>
      <w:r>
        <w:rPr>
          <w:b/>
          <w:bCs/>
        </w:rPr>
        <w:t xml:space="preserve">2. </w:t>
      </w:r>
      <w:r>
        <w:t xml:space="preserve">Confirmer dans la boîte de dialogue « Supprimer ce client ? » (</w:t>
      </w:r>
      <w:r>
        <w:rPr>
          <w:rFonts w:ascii="Consolas" w:cs="Consolas" w:eastAsia="Consolas" w:hAnsi="Consolas"/>
          <w:sz w:val="20"/>
          <w:szCs w:val="20"/>
          <w:shd w:fill="EEEEEE" w:val="clear"/>
        </w:rPr>
        <w:t xml:space="preserve">client_delete_dialog</w:t>
      </w:r>
      <w:r>
        <w:t xml:space="preserve"> / </w:t>
      </w:r>
      <w:r>
        <w:rPr>
          <w:rFonts w:ascii="Consolas" w:cs="Consolas" w:eastAsia="Consolas" w:hAnsi="Consolas"/>
          <w:sz w:val="20"/>
          <w:szCs w:val="20"/>
          <w:shd w:fill="EEEEEE" w:val="clear"/>
        </w:rPr>
        <w:t xml:space="preserve">client_delete_confirm</w:t>
      </w:r>
      <w:r>
        <w:t xml:space="preserve">).</w:t>
      </w:r>
    </w:p>
    <w:p>
      <w:pPr>
        <w:spacing w:after="120"/>
      </w:pPr>
      <w:r>
        <w:rPr>
          <w:b/>
          <w:bCs/>
        </w:rPr>
        <w:t xml:space="preserve">Résultat attendu :</w:t>
      </w:r>
    </w:p>
    <w:p>
      <w:pPr>
        <w:pStyle w:val="ListParagraph"/>
        <w:numPr>
          <w:ilvl w:val="0"/>
          <w:numId w:val="1"/>
        </w:numPr>
        <w:spacing w:after="80"/>
      </w:pPr>
      <w:r>
        <w:t xml:space="preserve">Après l'étape 1 : la boîte affiche « Cette fiche sera retirée de la liste. Les factures déjà émises ne sont pas modifiées. »</w:t>
      </w:r>
    </w:p>
    <w:p>
      <w:pPr>
        <w:pStyle w:val="ListParagraph"/>
        <w:numPr>
          <w:ilvl w:val="0"/>
          <w:numId w:val="1"/>
        </w:numPr>
        <w:spacing w:after="80"/>
      </w:pPr>
      <w:r>
        <w:t xml:space="preserve">Après l'étape 2 : message « Client supprimé » ; la fiche disparaît de la liste.</w:t>
      </w:r>
    </w:p>
    <w:p>
      <w:pPr>
        <w:pStyle w:val="Heading2"/>
        <w:spacing w:after="140" w:before="260"/>
      </w:pPr>
      <w:r>
        <w:t xml:space="preserve">[MOB-CLI-10] Suppression — client référencé sur une facture (bloquée)</w:t>
      </w:r>
    </w:p>
    <w:p>
      <w:pPr>
        <w:spacing w:after="120"/>
      </w:pPr>
      <w:r>
        <w:rPr>
          <w:b/>
          <w:bCs/>
        </w:rPr>
        <w:t xml:space="preserve">Type :</w:t>
      </w:r>
      <w:r>
        <w:t xml:space="preserve"> Non passant</w:t>
      </w:r>
    </w:p>
    <w:p>
      <w:pPr>
        <w:spacing w:after="120"/>
      </w:pPr>
      <w:r>
        <w:rPr>
          <w:b/>
          <w:bCs/>
        </w:rPr>
        <w:t xml:space="preserve">Préconditions :</w:t>
      </w:r>
      <w:r>
        <w:t xml:space="preserve"> Un client déjà cité sur au moins une facture émise.</w:t>
      </w:r>
    </w:p>
    <w:p>
      <w:pPr>
        <w:spacing w:after="120"/>
      </w:pPr>
      <w:r>
        <w:rPr>
          <w:b/>
          <w:bCs/>
        </w:rPr>
        <w:t xml:space="preserve">Actions :</w:t>
      </w:r>
    </w:p>
    <w:p>
      <w:pPr>
        <w:spacing w:after="80"/>
        <w:ind w:left="360"/>
      </w:pPr>
      <w:r>
        <w:rPr>
          <w:b/>
          <w:bCs/>
        </w:rPr>
        <w:t xml:space="preserve">1. </w:t>
      </w:r>
      <w:r>
        <w:t xml:space="preserve">Taper « Supprimer » puis confirmer.</w:t>
      </w:r>
    </w:p>
    <w:p>
      <w:pPr>
        <w:spacing w:after="120"/>
      </w:pPr>
      <w:r>
        <w:rPr>
          <w:b/>
          <w:bCs/>
        </w:rPr>
        <w:t xml:space="preserve">Résultat attendu :</w:t>
      </w:r>
      <w:r>
        <w:t xml:space="preserve"> bannière d'erreur « Suppression impossible : ce client figure sur &lt;n&gt; facture(s) émise(s) » (</w:t>
      </w:r>
      <w:r>
        <w:rPr>
          <w:rFonts w:ascii="Consolas" w:cs="Consolas" w:eastAsia="Consolas" w:hAnsi="Consolas"/>
          <w:sz w:val="20"/>
          <w:szCs w:val="20"/>
          <w:shd w:fill="EEEEEE" w:val="clear"/>
        </w:rPr>
        <w:t xml:space="preserve">clients_error</w:t>
      </w:r>
      <w:r>
        <w:t xml:space="preserve">) ; la fiche reste dans la liste.</w:t>
      </w:r>
    </w:p>
    <w:p>
      <w:pPr>
        <w:pStyle w:val="Heading2"/>
        <w:spacing w:after="140" w:before="260"/>
      </w:pPr>
      <w:r>
        <w:t xml:space="preserve">3.2 Annuaire DGFIP (recherche SIREN/SIRET, routage PPF/PDP)</w:t>
      </w:r>
    </w:p>
    <w:p>
      <w:pPr>
        <w:pStyle w:val="Heading2"/>
        <w:spacing w:after="140" w:before="260"/>
      </w:pPr>
      <w:r>
        <w:t xml:space="preserve">[MOB-DIR-01] Recherche — SIRET valide (clé de Luhn correcte)</w:t>
      </w:r>
    </w:p>
    <w:p>
      <w:pPr>
        <w:spacing w:after="120"/>
      </w:pPr>
      <w:r>
        <w:rPr>
          <w:b/>
          <w:bCs/>
        </w:rPr>
        <w:t xml:space="preserve">Type :</w:t>
      </w:r>
      <w:r>
        <w:t xml:space="preserve"> Passant</w:t>
      </w:r>
    </w:p>
    <w:p>
      <w:pPr>
        <w:spacing w:after="120"/>
      </w:pPr>
      <w:r>
        <w:rPr>
          <w:b/>
          <w:bCs/>
        </w:rPr>
        <w:t xml:space="preserve">Préconditions :</w:t>
      </w:r>
      <w:r>
        <w:t xml:space="preserve"> Onglet « Annuaire DGFIP » (</w:t>
      </w:r>
      <w:r>
        <w:rPr>
          <w:rFonts w:ascii="Consolas" w:cs="Consolas" w:eastAsia="Consolas" w:hAnsi="Consolas"/>
          <w:sz w:val="20"/>
          <w:szCs w:val="20"/>
          <w:shd w:fill="EEEEEE" w:val="clear"/>
        </w:rPr>
        <w:t xml:space="preserve">directory_screen</w:t>
      </w:r>
      <w:r>
        <w:t xml:space="preserve">).</w:t>
      </w:r>
    </w:p>
    <w:p>
      <w:pPr>
        <w:spacing w:after="120"/>
      </w:pPr>
      <w:r>
        <w:rPr>
          <w:b/>
          <w:bCs/>
        </w:rPr>
        <w:t xml:space="preserve">Actions :</w:t>
      </w:r>
    </w:p>
    <w:p>
      <w:pPr>
        <w:spacing w:after="80"/>
        <w:ind w:left="360"/>
      </w:pPr>
      <w:r>
        <w:rPr>
          <w:b/>
          <w:bCs/>
        </w:rPr>
        <w:t xml:space="preserve">1. </w:t>
      </w:r>
      <w:r>
        <w:t xml:space="preserve">Saisir un SIRET à 14 chiffres dont la clé de Luhn est valide dans le champ de recherche (</w:t>
      </w:r>
      <w:r>
        <w:rPr>
          <w:rFonts w:ascii="Consolas" w:cs="Consolas" w:eastAsia="Consolas" w:hAnsi="Consolas"/>
          <w:sz w:val="20"/>
          <w:szCs w:val="20"/>
          <w:shd w:fill="EEEEEE" w:val="clear"/>
        </w:rPr>
        <w:t xml:space="preserve">directory_search_field</w:t>
      </w:r>
      <w:r>
        <w:t xml:space="preserve">).</w:t>
      </w:r>
    </w:p>
    <w:p>
      <w:pPr>
        <w:spacing w:after="80"/>
        <w:ind w:left="360"/>
      </w:pPr>
      <w:r>
        <w:rPr>
          <w:b/>
          <w:bCs/>
        </w:rPr>
        <w:t xml:space="preserve">2. </w:t>
      </w:r>
      <w:r>
        <w:t xml:space="preserve">Observer l'indicateur de clé (</w:t>
      </w:r>
      <w:r>
        <w:rPr>
          <w:rFonts w:ascii="Consolas" w:cs="Consolas" w:eastAsia="Consolas" w:hAnsi="Consolas"/>
          <w:sz w:val="20"/>
          <w:szCs w:val="20"/>
          <w:shd w:fill="EEEEEE" w:val="clear"/>
        </w:rPr>
        <w:t xml:space="preserve">directory_luhn_indicator</w:t>
      </w:r>
      <w:r>
        <w:t xml:space="preserve">) avant de lancer la recherche.</w:t>
      </w:r>
    </w:p>
    <w:p>
      <w:pPr>
        <w:spacing w:after="80"/>
        <w:ind w:left="360"/>
      </w:pPr>
      <w:r>
        <w:rPr>
          <w:b/>
          <w:bCs/>
        </w:rPr>
        <w:t xml:space="preserve">3. </w:t>
      </w:r>
      <w:r>
        <w:t xml:space="preserve">Taper « Rechercher » (</w:t>
      </w:r>
      <w:r>
        <w:rPr>
          <w:rFonts w:ascii="Consolas" w:cs="Consolas" w:eastAsia="Consolas" w:hAnsi="Consolas"/>
          <w:sz w:val="20"/>
          <w:szCs w:val="20"/>
          <w:shd w:fill="EEEEEE" w:val="clear"/>
        </w:rPr>
        <w:t xml:space="preserve">directory_search_button</w:t>
      </w:r>
      <w:r>
        <w:t xml:space="preserve">).</w:t>
      </w:r>
    </w:p>
    <w:p>
      <w:pPr>
        <w:spacing w:after="120"/>
      </w:pPr>
      <w:r>
        <w:rPr>
          <w:b/>
          <w:bCs/>
        </w:rPr>
        <w:t xml:space="preserve">Résultat attendu :</w:t>
      </w:r>
    </w:p>
    <w:p>
      <w:pPr>
        <w:pStyle w:val="ListParagraph"/>
        <w:numPr>
          <w:ilvl w:val="0"/>
          <w:numId w:val="1"/>
        </w:numPr>
        <w:spacing w:after="80"/>
      </w:pPr>
      <w:r>
        <w:t xml:space="preserve">Après l'étape 2 : indicateur vert « ✓ Clé de Luhn valide — SIREN/SIRET ».</w:t>
      </w:r>
    </w:p>
    <w:p>
      <w:pPr>
        <w:pStyle w:val="ListParagraph"/>
        <w:numPr>
          <w:ilvl w:val="0"/>
          <w:numId w:val="1"/>
        </w:numPr>
        <w:spacing w:after="80"/>
      </w:pPr>
      <w:r>
        <w:t xml:space="preserve">Après l'étape 3 : indicateur de chargement (</w:t>
      </w:r>
      <w:r>
        <w:rPr>
          <w:rFonts w:ascii="Consolas" w:cs="Consolas" w:eastAsia="Consolas" w:hAnsi="Consolas"/>
          <w:sz w:val="20"/>
          <w:szCs w:val="20"/>
          <w:shd w:fill="EEEEEE" w:val="clear"/>
        </w:rPr>
        <w:t xml:space="preserve">directory_loading</w:t>
      </w:r>
      <w:r>
        <w:t xml:space="preserve">) bref, puis une carte résultat (</w:t>
      </w:r>
      <w:r>
        <w:rPr>
          <w:rFonts w:ascii="Consolas" w:cs="Consolas" w:eastAsia="Consolas" w:hAnsi="Consolas"/>
          <w:sz w:val="20"/>
          <w:szCs w:val="20"/>
          <w:shd w:fill="EEEEEE" w:val="clear"/>
        </w:rPr>
        <w:t xml:space="preserve">directory_result_card</w:t>
      </w:r>
      <w:r>
        <w:t xml:space="preserve">) avec raison sociale, SIREN/SIRET, numéro de TVA (ou mention franchise en base), badge de routage PPF ou PDP, statut et date de dernière synchronisation.</w:t>
      </w:r>
    </w:p>
    <w:p>
      <w:pPr>
        <w:pStyle w:val="Heading2"/>
        <w:spacing w:after="140" w:before="260"/>
      </w:pPr>
      <w:r>
        <w:t xml:space="preserve">[MOB-DIR-02] Recherche — clé de Luhn invalide</w:t>
      </w:r>
    </w:p>
    <w:p>
      <w:pPr>
        <w:spacing w:after="120"/>
      </w:pPr>
      <w:r>
        <w:rPr>
          <w:b/>
          <w:bCs/>
        </w:rPr>
        <w:t xml:space="preserve">Type :</w:t>
      </w:r>
      <w:r>
        <w:t xml:space="preserve"> Non passant</w:t>
      </w:r>
    </w:p>
    <w:p>
      <w:pPr>
        <w:spacing w:after="120"/>
      </w:pPr>
      <w:r>
        <w:rPr>
          <w:b/>
          <w:bCs/>
        </w:rPr>
        <w:t xml:space="preserve">Préconditions :</w:t>
      </w:r>
      <w:r>
        <w:t xml:space="preserve"> Écran Annuaire DGFIP.</w:t>
      </w:r>
    </w:p>
    <w:p>
      <w:pPr>
        <w:spacing w:after="120"/>
      </w:pPr>
      <w:r>
        <w:rPr>
          <w:b/>
          <w:bCs/>
        </w:rPr>
        <w:t xml:space="preserve">Actions :</w:t>
      </w:r>
    </w:p>
    <w:p>
      <w:pPr>
        <w:spacing w:after="80"/>
        <w:ind w:left="360"/>
      </w:pPr>
      <w:r>
        <w:rPr>
          <w:b/>
          <w:bCs/>
        </w:rPr>
        <w:t xml:space="preserve">1. </w:t>
      </w:r>
      <w:r>
        <w:t xml:space="preserve">Saisir 14 chiffres dont la clé de Luhn est incorrecte.</w:t>
      </w:r>
    </w:p>
    <w:p>
      <w:pPr>
        <w:spacing w:after="120"/>
      </w:pPr>
      <w:r>
        <w:rPr>
          <w:b/>
          <w:bCs/>
        </w:rPr>
        <w:t xml:space="preserve">Résultat attendu :</w:t>
      </w:r>
      <w:r>
        <w:t xml:space="preserve"> indicateur rouge « ✗ Clé de Luhn invalide » ; le bouton Rechercher peut rester actif mais un tap n'aboutit qu'à un résultat « non trouvé » ou une désactivation du bouton selon </w:t>
      </w:r>
      <w:r>
        <w:rPr>
          <w:rFonts w:ascii="Consolas" w:cs="Consolas" w:eastAsia="Consolas" w:hAnsi="Consolas"/>
          <w:sz w:val="20"/>
          <w:szCs w:val="20"/>
          <w:shd w:fill="EEEEEE" w:val="clear"/>
        </w:rPr>
        <w:t xml:space="preserve">isSearchEnabled</w:t>
      </w:r>
      <w:r>
        <w:t xml:space="preserve"> — vérifier que la recherche n'aboutit jamais à une fausse fiche.</w:t>
      </w:r>
    </w:p>
    <w:p>
      <w:pPr>
        <w:pStyle w:val="Heading2"/>
        <w:spacing w:after="140" w:before="260"/>
      </w:pPr>
      <w:r>
        <w:t xml:space="preserve">[MOB-DIR-03] Recherche — identifiant introuvable</w:t>
      </w:r>
    </w:p>
    <w:p>
      <w:pPr>
        <w:spacing w:after="120"/>
      </w:pPr>
      <w:r>
        <w:rPr>
          <w:b/>
          <w:bCs/>
        </w:rPr>
        <w:t xml:space="preserve">Type :</w:t>
      </w:r>
      <w:r>
        <w:t xml:space="preserve"> Non passant</w:t>
      </w:r>
    </w:p>
    <w:p>
      <w:pPr>
        <w:spacing w:after="120"/>
      </w:pPr>
      <w:r>
        <w:rPr>
          <w:b/>
          <w:bCs/>
        </w:rPr>
        <w:t xml:space="preserve">Préconditions :</w:t>
      </w:r>
      <w:r>
        <w:t xml:space="preserve"> Écran Annuaire DGFIP.</w:t>
      </w:r>
    </w:p>
    <w:p>
      <w:pPr>
        <w:spacing w:after="120"/>
      </w:pPr>
      <w:r>
        <w:rPr>
          <w:b/>
          <w:bCs/>
        </w:rPr>
        <w:t xml:space="preserve">Actions :</w:t>
      </w:r>
    </w:p>
    <w:p>
      <w:pPr>
        <w:spacing w:after="80"/>
        <w:ind w:left="360"/>
      </w:pPr>
      <w:r>
        <w:rPr>
          <w:b/>
          <w:bCs/>
        </w:rPr>
        <w:t xml:space="preserve">1. </w:t>
      </w:r>
      <w:r>
        <w:t xml:space="preserve">Saisir un SIREN/SIRET valide en clé mais absent de l'annuaire simulé.</w:t>
      </w:r>
    </w:p>
    <w:p>
      <w:pPr>
        <w:spacing w:after="80"/>
        <w:ind w:left="360"/>
      </w:pPr>
      <w:r>
        <w:rPr>
          <w:b/>
          <w:bCs/>
        </w:rPr>
        <w:t xml:space="preserve">2. </w:t>
      </w:r>
      <w:r>
        <w:t xml:space="preserve">Taper Rechercher.</w:t>
      </w:r>
    </w:p>
    <w:p>
      <w:pPr>
        <w:spacing w:after="120"/>
      </w:pPr>
      <w:r>
        <w:rPr>
          <w:b/>
          <w:bCs/>
        </w:rPr>
        <w:t xml:space="preserve">Résultat attendu :</w:t>
      </w:r>
      <w:r>
        <w:t xml:space="preserve"> bannière « Aucune entreprise ne correspond à cet identifiant dans l'annuaire. » (</w:t>
      </w:r>
      <w:r>
        <w:rPr>
          <w:rFonts w:ascii="Consolas" w:cs="Consolas" w:eastAsia="Consolas" w:hAnsi="Consolas"/>
          <w:sz w:val="20"/>
          <w:szCs w:val="20"/>
          <w:shd w:fill="EEEEEE" w:val="clear"/>
        </w:rPr>
        <w:t xml:space="preserve">directory_not_found</w:t>
      </w:r>
      <w:r>
        <w:t xml:space="preserve">).</w:t>
      </w:r>
    </w:p>
    <w:p>
      <w:pPr>
        <w:pStyle w:val="Heading2"/>
        <w:spacing w:after="140" w:before="260"/>
      </w:pPr>
      <w:r>
        <w:t xml:space="preserve">[MOB-DIR-04] Entreprise en franchise en base (sans TVA)</w:t>
      </w:r>
    </w:p>
    <w:p>
      <w:pPr>
        <w:spacing w:after="120"/>
      </w:pPr>
      <w:r>
        <w:rPr>
          <w:b/>
          <w:bCs/>
        </w:rPr>
        <w:t xml:space="preserve">Type :</w:t>
      </w:r>
      <w:r>
        <w:t xml:space="preserve"> Passant / cas limite</w:t>
      </w:r>
    </w:p>
    <w:p>
      <w:pPr>
        <w:spacing w:after="120"/>
      </w:pPr>
      <w:r>
        <w:rPr>
          <w:b/>
          <w:bCs/>
        </w:rPr>
        <w:t xml:space="preserve">Préconditions :</w:t>
      </w:r>
      <w:r>
        <w:t xml:space="preserve"> Résultat correspondant à une entreprise sans numéro de TVA.</w:t>
      </w:r>
    </w:p>
    <w:p>
      <w:pPr>
        <w:spacing w:after="120"/>
      </w:pPr>
      <w:r>
        <w:rPr>
          <w:b/>
          <w:bCs/>
        </w:rPr>
        <w:t xml:space="preserve">Actions :</w:t>
      </w:r>
    </w:p>
    <w:p>
      <w:pPr>
        <w:spacing w:after="80"/>
        <w:ind w:left="360"/>
      </w:pPr>
      <w:r>
        <w:rPr>
          <w:b/>
          <w:bCs/>
        </w:rPr>
        <w:t xml:space="preserve">1. </w:t>
      </w:r>
      <w:r>
        <w:t xml:space="preserve">Rechercher cette entreprise.</w:t>
      </w:r>
    </w:p>
    <w:p>
      <w:pPr>
        <w:spacing w:after="120"/>
      </w:pPr>
      <w:r>
        <w:rPr>
          <w:b/>
          <w:bCs/>
        </w:rPr>
        <w:t xml:space="preserve">Résultat attendu :</w:t>
      </w:r>
      <w:r>
        <w:t xml:space="preserve"> le champ TVA affiche « Non assujettie à la TVA (franchise en base) » plutôt qu'un champ vide ou une erreur.</w:t>
      </w:r>
    </w:p>
    <w:p>
      <w:pPr>
        <w:pStyle w:val="Heading2"/>
        <w:spacing w:after="140" w:before="260"/>
      </w:pPr>
      <w:r>
        <w:t xml:space="preserve">[MOB-DIR-05] Badge de routage PPF vs PDP</w:t>
      </w:r>
    </w:p>
    <w:p>
      <w:pPr>
        <w:spacing w:after="120"/>
      </w:pPr>
      <w:r>
        <w:rPr>
          <w:b/>
          <w:bCs/>
        </w:rPr>
        <w:t xml:space="preserve">Type :</w:t>
      </w:r>
      <w:r>
        <w:t xml:space="preserve"> Passant</w:t>
      </w:r>
    </w:p>
    <w:p>
      <w:pPr>
        <w:spacing w:after="120"/>
      </w:pPr>
      <w:r>
        <w:rPr>
          <w:b/>
          <w:bCs/>
        </w:rPr>
        <w:t xml:space="preserve">Préconditions :</w:t>
      </w:r>
      <w:r>
        <w:t xml:space="preserve"> Deux entreprises connues, l'une routée PPF, l'autre via un PDP.</w:t>
      </w:r>
    </w:p>
    <w:p>
      <w:pPr>
        <w:spacing w:after="120"/>
      </w:pPr>
      <w:r>
        <w:rPr>
          <w:b/>
          <w:bCs/>
        </w:rPr>
        <w:t xml:space="preserve">Actions :</w:t>
      </w:r>
    </w:p>
    <w:p>
      <w:pPr>
        <w:spacing w:after="80"/>
        <w:ind w:left="360"/>
      </w:pPr>
      <w:r>
        <w:rPr>
          <w:b/>
          <w:bCs/>
        </w:rPr>
        <w:t xml:space="preserve">1. </w:t>
      </w:r>
      <w:r>
        <w:t xml:space="preserve">Rechercher chacune successivement.</w:t>
      </w:r>
    </w:p>
    <w:p>
      <w:pPr>
        <w:spacing w:after="120"/>
      </w:pPr>
      <w:r>
        <w:rPr>
          <w:b/>
          <w:bCs/>
        </w:rPr>
        <w:t xml:space="preserve">Résultat attendu :</w:t>
      </w:r>
      <w:r>
        <w:t xml:space="preserve"> badge bleu « PPF » pour la première, badge violet « PDP » avec un identifiant de plateforme (</w:t>
      </w:r>
      <w:r>
        <w:rPr>
          <w:rFonts w:ascii="Consolas" w:cs="Consolas" w:eastAsia="Consolas" w:hAnsi="Consolas"/>
          <w:sz w:val="20"/>
          <w:szCs w:val="20"/>
          <w:shd w:fill="EEEEEE" w:val="clear"/>
        </w:rPr>
        <w:t xml:space="preserve">directory_pdp_identifier</w:t>
      </w:r>
      <w:r>
        <w:t xml:space="preserve">) pour la seconde.</w:t>
      </w:r>
    </w:p>
    <w:p>
      <w:pPr>
        <w:pStyle w:val="Heading2"/>
        <w:spacing w:after="140" w:before="260"/>
      </w:pPr>
      <w:r>
        <w:t xml:space="preserve">[MOB-DIR-06] Non-régression — l'Annuaire DGFIP ignore la bascule de langue</w:t>
      </w:r>
    </w:p>
    <w:p>
      <w:pPr>
        <w:spacing w:after="120"/>
      </w:pPr>
      <w:r>
        <w:rPr>
          <w:b/>
          <w:bCs/>
        </w:rPr>
        <w:t xml:space="preserve">Type :</w:t>
      </w:r>
      <w:r>
        <w:t xml:space="preserve"> Non passant / non-régression</w:t>
      </w:r>
    </w:p>
    <w:p>
      <w:pPr>
        <w:spacing w:after="120"/>
      </w:pPr>
      <w:r>
        <w:rPr>
          <w:b/>
          <w:bCs/>
        </w:rPr>
        <w:t xml:space="preserve">Préconditions :</w:t>
      </w:r>
      <w:r>
        <w:t xml:space="preserve"> Écran Annuaire DGFIP affiché en français, résultat visible.</w:t>
      </w:r>
    </w:p>
    <w:p>
      <w:pPr>
        <w:spacing w:after="120"/>
      </w:pPr>
      <w:r>
        <w:rPr>
          <w:b/>
          <w:bCs/>
        </w:rPr>
        <w:t xml:space="preserve">Actions :</w:t>
      </w:r>
    </w:p>
    <w:p>
      <w:pPr>
        <w:spacing w:after="80"/>
        <w:ind w:left="360"/>
      </w:pPr>
      <w:r>
        <w:rPr>
          <w:b/>
          <w:bCs/>
        </w:rPr>
        <w:t xml:space="preserve">1. </w:t>
      </w:r>
      <w:r>
        <w:t xml:space="preserve">Ouvrir le sélecteur de langue dans l'en-tête et basculer sur EN.</w:t>
      </w:r>
    </w:p>
    <w:p>
      <w:pPr>
        <w:spacing w:after="80"/>
        <w:ind w:left="360"/>
      </w:pPr>
      <w:r>
        <w:rPr>
          <w:b/>
          <w:bCs/>
        </w:rPr>
        <w:t xml:space="preserve">2. </w:t>
      </w:r>
      <w:r>
        <w:t xml:space="preserve">Revenir sur l'onglet Annuaire DGFIP (ou l'observer si déjà visible).</w:t>
      </w:r>
    </w:p>
    <w:p>
      <w:pPr>
        <w:spacing w:after="120"/>
      </w:pPr>
      <w:r>
        <w:rPr>
          <w:b/>
          <w:bCs/>
        </w:rPr>
        <w:t xml:space="preserve">Résultat attendu :</w:t>
      </w:r>
      <w:r>
        <w:t xml:space="preserve"> </w:t>
      </w:r>
      <w:r>
        <w:rPr>
          <w:b/>
          <w:bCs/>
        </w:rPr>
        <w:t xml:space="preserve">l'écran reste entièrement en français</w:t>
      </w:r>
      <w:r>
        <w:t xml:space="preserve"> — ce module n'utilise pas le système d'internationalisation (</w:t>
      </w:r>
      <w:r>
        <w:rPr>
          <w:rFonts w:ascii="Consolas" w:cs="Consolas" w:eastAsia="Consolas" w:hAnsi="Consolas"/>
          <w:sz w:val="20"/>
          <w:szCs w:val="20"/>
          <w:shd w:fill="EEEEEE" w:val="clear"/>
        </w:rPr>
        <w:t xml:space="preserve">tr()</w:t>
      </w:r>
      <w:r>
        <w:t xml:space="preserve">), contrairement au reste de l'application. Ce n'est pas une anomalie à signaler comme bloquante, mais un point de vigilance produit à consigner (incohérence connue).</w:t>
      </w:r>
    </w:p>
    <w:p>
      <w:pPr>
        <w:pStyle w:val="Heading2"/>
        <w:spacing w:after="140" w:before="260"/>
      </w:pPr>
      <w:r>
        <w:t xml:space="preserve">3.3 Sélecteur de client dans un formulaire (US-11)</w:t>
      </w:r>
    </w:p>
    <w:p>
      <w:pPr>
        <w:pStyle w:val="Heading2"/>
        <w:spacing w:after="140" w:before="260"/>
      </w:pPr>
      <w:r>
        <w:t xml:space="preserve">[MOB-CLI-11] Sélection d'un client existant par suggestion</w:t>
      </w:r>
    </w:p>
    <w:p>
      <w:pPr>
        <w:spacing w:after="120"/>
      </w:pPr>
      <w:r>
        <w:rPr>
          <w:b/>
          <w:bCs/>
        </w:rPr>
        <w:t xml:space="preserve">Type :</w:t>
      </w:r>
      <w:r>
        <w:t xml:space="preserve"> Passant</w:t>
      </w:r>
    </w:p>
    <w:p>
      <w:pPr>
        <w:spacing w:after="120"/>
      </w:pPr>
      <w:r>
        <w:rPr>
          <w:b/>
          <w:bCs/>
        </w:rPr>
        <w:t xml:space="preserve">Préconditions :</w:t>
      </w:r>
      <w:r>
        <w:t xml:space="preserve"> Formulaire de facture ouvert, au moins un client existant dont le nom commence par « Bou ».</w:t>
      </w:r>
    </w:p>
    <w:p>
      <w:pPr>
        <w:spacing w:after="120"/>
      </w:pPr>
      <w:r>
        <w:rPr>
          <w:b/>
          <w:bCs/>
        </w:rPr>
        <w:t xml:space="preserve">Actions :</w:t>
      </w:r>
    </w:p>
    <w:p>
      <w:pPr>
        <w:spacing w:after="80"/>
        <w:ind w:left="360"/>
      </w:pPr>
      <w:r>
        <w:rPr>
          <w:b/>
          <w:bCs/>
        </w:rPr>
        <w:t xml:space="preserve">1. </w:t>
      </w:r>
      <w:r>
        <w:t xml:space="preserve">Dans le champ client du formulaire, taper « Bou ».</w:t>
      </w:r>
    </w:p>
    <w:p>
      <w:pPr>
        <w:spacing w:after="80"/>
        <w:ind w:left="360"/>
      </w:pPr>
      <w:r>
        <w:rPr>
          <w:b/>
          <w:bCs/>
        </w:rPr>
        <w:t xml:space="preserve">2. </w:t>
      </w:r>
      <w:r>
        <w:t xml:space="preserve">Observer la liste de suggestions apparaissant </w:t>
      </w:r>
      <w:r>
        <w:rPr>
          <w:b/>
          <w:bCs/>
        </w:rPr>
        <w:t xml:space="preserve">sous le champ</w:t>
      </w:r>
      <w:r>
        <w:t xml:space="preserve"> (pas un menu déroulant flottant).</w:t>
      </w:r>
    </w:p>
    <w:p>
      <w:pPr>
        <w:spacing w:after="80"/>
        <w:ind w:left="360"/>
      </w:pPr>
      <w:r>
        <w:rPr>
          <w:b/>
          <w:bCs/>
        </w:rPr>
        <w:t xml:space="preserve">3. </w:t>
      </w:r>
      <w:r>
        <w:t xml:space="preserve">Taper sur la suggestion correspondante.</w:t>
      </w:r>
    </w:p>
    <w:p>
      <w:pPr>
        <w:spacing w:after="120"/>
      </w:pPr>
      <w:r>
        <w:rPr>
          <w:b/>
          <w:bCs/>
        </w:rPr>
        <w:t xml:space="preserve">Résultat attendu :</w:t>
      </w:r>
    </w:p>
    <w:p>
      <w:pPr>
        <w:pStyle w:val="ListParagraph"/>
        <w:numPr>
          <w:ilvl w:val="0"/>
          <w:numId w:val="1"/>
        </w:numPr>
        <w:spacing w:after="80"/>
      </w:pPr>
      <w:r>
        <w:t xml:space="preserve">Après l'étape 2 : suggestions filtrées affichées en ligne, chacune sur une carte cliquable.</w:t>
      </w:r>
    </w:p>
    <w:p>
      <w:pPr>
        <w:pStyle w:val="ListParagraph"/>
        <w:numPr>
          <w:ilvl w:val="0"/>
          <w:numId w:val="1"/>
        </w:numPr>
        <w:spacing w:after="80"/>
      </w:pPr>
      <w:r>
        <w:t xml:space="preserve">Après l'étape 3 : les champs SIRET et Email du formulaire se remplissent automatiquement avec les données de la fiche sélectionnée.</w:t>
      </w:r>
    </w:p>
    <w:p>
      <w:pPr>
        <w:pStyle w:val="Heading2"/>
        <w:spacing w:after="140" w:before="260"/>
      </w:pPr>
      <w:r>
        <w:t xml:space="preserve">[MOB-CLI-12] Création rapide d'un nouveau client depuis le formulaire</w:t>
      </w:r>
    </w:p>
    <w:p>
      <w:pPr>
        <w:spacing w:after="120"/>
      </w:pPr>
      <w:r>
        <w:rPr>
          <w:b/>
          <w:bCs/>
        </w:rPr>
        <w:t xml:space="preserve">Type :</w:t>
      </w:r>
      <w:r>
        <w:t xml:space="preserve"> Passant</w:t>
      </w:r>
    </w:p>
    <w:p>
      <w:pPr>
        <w:spacing w:after="120"/>
      </w:pPr>
      <w:r>
        <w:rPr>
          <w:b/>
          <w:bCs/>
        </w:rPr>
        <w:t xml:space="preserve">Préconditions :</w:t>
      </w:r>
      <w:r>
        <w:t xml:space="preserve"> Formulaire de facture ouvert, aucun client existant ne correspond à la saisie.</w:t>
      </w:r>
    </w:p>
    <w:p>
      <w:pPr>
        <w:spacing w:after="120"/>
      </w:pPr>
      <w:r>
        <w:rPr>
          <w:b/>
          <w:bCs/>
        </w:rPr>
        <w:t xml:space="preserve">Actions :</w:t>
      </w:r>
    </w:p>
    <w:p>
      <w:pPr>
        <w:spacing w:after="80"/>
        <w:ind w:left="360"/>
      </w:pPr>
      <w:r>
        <w:rPr>
          <w:b/>
          <w:bCs/>
        </w:rPr>
        <w:t xml:space="preserve">1. </w:t>
      </w:r>
      <w:r>
        <w:t xml:space="preserve">Taper un nom de société inexistant dans le champ client.</w:t>
      </w:r>
    </w:p>
    <w:p>
      <w:pPr>
        <w:spacing w:after="80"/>
        <w:ind w:left="360"/>
      </w:pPr>
      <w:r>
        <w:rPr>
          <w:b/>
          <w:bCs/>
        </w:rPr>
        <w:t xml:space="preserve">2. </w:t>
      </w:r>
      <w:r>
        <w:t xml:space="preserve">Observer l'apparition du bouton vert « + Ajouter comme nouveau client » (</w:t>
      </w:r>
      <w:r>
        <w:rPr>
          <w:rFonts w:ascii="Consolas" w:cs="Consolas" w:eastAsia="Consolas" w:hAnsi="Consolas"/>
          <w:sz w:val="20"/>
          <w:szCs w:val="20"/>
          <w:shd w:fill="EEEEEE" w:val="clear"/>
        </w:rPr>
        <w:t xml:space="preserve">ADD_NEW_CLIENT_BTN</w:t>
      </w:r>
      <w:r>
        <w:t xml:space="preserve">).</w:t>
      </w:r>
    </w:p>
    <w:p>
      <w:pPr>
        <w:spacing w:after="80"/>
        <w:ind w:left="360"/>
      </w:pPr>
      <w:r>
        <w:rPr>
          <w:b/>
          <w:bCs/>
        </w:rPr>
        <w:t xml:space="preserve">3. </w:t>
      </w:r>
      <w:r>
        <w:t xml:space="preserve">Taper ce bouton, remplir Nom/SIRET/Email dans la boîte « Nouveau client » (</w:t>
      </w:r>
      <w:r>
        <w:rPr>
          <w:rFonts w:ascii="Consolas" w:cs="Consolas" w:eastAsia="Consolas" w:hAnsi="Consolas"/>
          <w:sz w:val="20"/>
          <w:szCs w:val="20"/>
          <w:shd w:fill="EEEEEE" w:val="clear"/>
        </w:rPr>
        <w:t xml:space="preserve">QUICK_CLIENT_DIALOG</w:t>
      </w:r>
      <w:r>
        <w:t xml:space="preserve">), taper « Enregistrer ».</w:t>
      </w:r>
    </w:p>
    <w:p>
      <w:pPr>
        <w:spacing w:after="120"/>
      </w:pPr>
      <w:r>
        <w:rPr>
          <w:b/>
          <w:bCs/>
        </w:rPr>
        <w:t xml:space="preserve">Résultat attendu :</w:t>
      </w:r>
    </w:p>
    <w:p>
      <w:pPr>
        <w:pStyle w:val="ListParagraph"/>
        <w:numPr>
          <w:ilvl w:val="0"/>
          <w:numId w:val="1"/>
        </w:numPr>
        <w:spacing w:after="80"/>
      </w:pPr>
      <w:r>
        <w:t xml:space="preserve">Le bouton n'apparaît </w:t>
      </w:r>
      <w:r>
        <w:rPr>
          <w:b/>
          <w:bCs/>
        </w:rPr>
        <w:t xml:space="preserve">que</w:t>
      </w:r>
      <w:r>
        <w:t xml:space="preserve"> lorsque : le formulaire est actif, aucun client n'est déjà sélectionné, la saisie n'est pas vide et aucune suggestion ne correspond.</w:t>
      </w:r>
    </w:p>
    <w:p>
      <w:pPr>
        <w:pStyle w:val="ListParagraph"/>
        <w:numPr>
          <w:ilvl w:val="0"/>
          <w:numId w:val="1"/>
        </w:numPr>
        <w:spacing w:after="80"/>
      </w:pPr>
      <w:r>
        <w:t xml:space="preserve">Après l'enregistrement : la boîte se ferme, le nouveau client est sélectionné dans le formulaire (SIRET/email remplis) </w:t>
      </w:r>
      <w:r>
        <w:rPr>
          <w:b/>
          <w:bCs/>
        </w:rPr>
        <w:t xml:space="preserve">et</w:t>
      </w:r>
      <w:r>
        <w:t xml:space="preserve"> créé dans l'annuaire Clients.</w:t>
      </w:r>
    </w:p>
    <w:p>
      <w:pPr>
        <w:pStyle w:val="Heading2"/>
        <w:spacing w:after="140" w:before="260"/>
      </w:pPr>
      <w:r>
        <w:t xml:space="preserve">[MOB-CLI-13] Création rapide — SIRET sans clé de Luhn valide</w:t>
      </w:r>
    </w:p>
    <w:p>
      <w:pPr>
        <w:spacing w:after="120"/>
      </w:pPr>
      <w:r>
        <w:rPr>
          <w:b/>
          <w:bCs/>
        </w:rPr>
        <w:t xml:space="preserve">Type :</w:t>
      </w:r>
      <w:r>
        <w:t xml:space="preserve"> Non passant</w:t>
      </w:r>
    </w:p>
    <w:p>
      <w:pPr>
        <w:spacing w:after="120"/>
      </w:pPr>
      <w:r>
        <w:rPr>
          <w:b/>
          <w:bCs/>
        </w:rPr>
        <w:t xml:space="preserve">Préconditions :</w:t>
      </w:r>
      <w:r>
        <w:t xml:space="preserve"> Boîte « Nouveau client » ouverte depuis un formulaire.</w:t>
      </w:r>
    </w:p>
    <w:p>
      <w:pPr>
        <w:spacing w:after="120"/>
      </w:pPr>
      <w:r>
        <w:rPr>
          <w:b/>
          <w:bCs/>
        </w:rPr>
        <w:t xml:space="preserve">Actions :</w:t>
      </w:r>
    </w:p>
    <w:p>
      <w:pPr>
        <w:spacing w:after="80"/>
        <w:ind w:left="360"/>
      </w:pPr>
      <w:r>
        <w:rPr>
          <w:b/>
          <w:bCs/>
        </w:rPr>
        <w:t xml:space="preserve">1. </w:t>
      </w:r>
      <w:r>
        <w:t xml:space="preserve">Saisir un SIRET de 14 chiffres dont la clé de Luhn est incorrecte.</w:t>
      </w:r>
    </w:p>
    <w:p>
      <w:pPr>
        <w:spacing w:after="80"/>
        <w:ind w:left="360"/>
      </w:pPr>
      <w:r>
        <w:rPr>
          <w:b/>
          <w:bCs/>
        </w:rPr>
        <w:t xml:space="preserve">2. </w:t>
      </w:r>
      <w:r>
        <w:t xml:space="preserve">Taper « Enregistrer ».</w:t>
      </w:r>
    </w:p>
    <w:p>
      <w:pPr>
        <w:spacing w:after="120"/>
      </w:pPr>
      <w:r>
        <w:rPr>
          <w:b/>
          <w:bCs/>
        </w:rPr>
        <w:t xml:space="preserve">Résultat attendu :</w:t>
      </w:r>
      <w:r>
        <w:t xml:space="preserve"> erreur « SIRET invalide : 14 chiffres et clé de Luhn correcte » — </w:t>
      </w:r>
      <w:r>
        <w:rPr>
          <w:b/>
          <w:bCs/>
        </w:rPr>
        <w:t xml:space="preserve">règle plus stricte</w:t>
      </w:r>
      <w:r>
        <w:t xml:space="preserve"> que la création classique côté onglet Clients (qui ne vérifie que la longueur) : ici, la clé de Luhn est également contrôlée.</w:t>
      </w:r>
    </w:p>
    <w:p>
      <w:pPr>
        <w:pBdr>
          <w:bottom w:val="single" w:color="AAAAAA" w:sz="6" w:space="1"/>
        </w:pBdr>
        <w:spacing w:after="240" w:before="120"/>
      </w:pPr>
    </w:p>
    <w:p>
      <w:pPr>
        <w:pStyle w:val="Heading1"/>
        <w:pageBreakBefore/>
        <w:spacing w:after="140" w:before="400"/>
      </w:pPr>
      <w:r>
        <w:t xml:space="preserve">4. Saisie des Factures &amp; Devis</w:t>
      </w:r>
    </w:p>
    <w:p>
      <w:pPr>
        <w:pStyle w:val="Heading2"/>
        <w:spacing w:after="140" w:before="260"/>
      </w:pPr>
      <w:r>
        <w:t xml:space="preserve">4.1 Formulaire classique de facture</w:t>
      </w:r>
    </w:p>
    <w:p>
      <w:pPr>
        <w:pStyle w:val="Heading2"/>
        <w:spacing w:after="140" w:before="260"/>
      </w:pPr>
      <w:r>
        <w:t xml:space="preserve">[MOB-INV-01] Enregistrement d'un brouillon — nominal</w:t>
      </w:r>
    </w:p>
    <w:p>
      <w:pPr>
        <w:spacing w:after="120"/>
      </w:pPr>
      <w:r>
        <w:rPr>
          <w:b/>
          <w:bCs/>
        </w:rPr>
        <w:t xml:space="preserve">Type :</w:t>
      </w:r>
      <w:r>
        <w:t xml:space="preserve"> Passant</w:t>
      </w:r>
    </w:p>
    <w:p>
      <w:pPr>
        <w:spacing w:after="120"/>
      </w:pPr>
      <w:r>
        <w:rPr>
          <w:b/>
          <w:bCs/>
        </w:rPr>
        <w:t xml:space="preserve">Préconditions :</w:t>
      </w:r>
      <w:r>
        <w:t xml:space="preserve"> Onglet Factures, formulaire de création ouvert (mode « Mode Formulaire » sélectionné par défaut).</w:t>
      </w:r>
    </w:p>
    <w:p>
      <w:pPr>
        <w:spacing w:after="120"/>
      </w:pPr>
      <w:r>
        <w:rPr>
          <w:b/>
          <w:bCs/>
        </w:rPr>
        <w:t xml:space="preserve">Actions :</w:t>
      </w:r>
    </w:p>
    <w:p>
      <w:pPr>
        <w:spacing w:after="80"/>
        <w:ind w:left="360"/>
      </w:pPr>
      <w:r>
        <w:rPr>
          <w:b/>
          <w:bCs/>
        </w:rPr>
        <w:t xml:space="preserve">1. </w:t>
      </w:r>
      <w:r>
        <w:t xml:space="preserve">Sélectionner ou créer un client (voir 3.3).</w:t>
      </w:r>
    </w:p>
    <w:p>
      <w:pPr>
        <w:spacing w:after="80"/>
        <w:ind w:left="360"/>
      </w:pPr>
      <w:r>
        <w:rPr>
          <w:b/>
          <w:bCs/>
        </w:rPr>
        <w:t xml:space="preserve">2. </w:t>
      </w:r>
      <w:r>
        <w:t xml:space="preserve">Renseigner Nº de facture, Date d'émission et Date d'échéance au format AAAA-MM-JJ.</w:t>
      </w:r>
    </w:p>
    <w:p>
      <w:pPr>
        <w:spacing w:after="80"/>
        <w:ind w:left="360"/>
      </w:pPr>
      <w:r>
        <w:rPr>
          <w:b/>
          <w:bCs/>
        </w:rPr>
        <w:t xml:space="preserve">3. </w:t>
      </w:r>
      <w:r>
        <w:t xml:space="preserve">Renseigner une ligne : Libellé, Qté, PU HT ; sélectionner un taux de TVA.</w:t>
      </w:r>
    </w:p>
    <w:p>
      <w:pPr>
        <w:spacing w:after="80"/>
        <w:ind w:left="360"/>
      </w:pPr>
      <w:r>
        <w:rPr>
          <w:b/>
          <w:bCs/>
        </w:rPr>
        <w:t xml:space="preserve">4. </w:t>
      </w:r>
      <w:r>
        <w:t xml:space="preserve">Taper « 💾 Enregistrer le brouillon ».</w:t>
      </w:r>
    </w:p>
    <w:p>
      <w:pPr>
        <w:spacing w:after="120"/>
      </w:pPr>
      <w:r>
        <w:rPr>
          <w:b/>
          <w:bCs/>
        </w:rPr>
        <w:t xml:space="preserve">Résultat attendu :</w:t>
      </w:r>
    </w:p>
    <w:p>
      <w:pPr>
        <w:pStyle w:val="ListParagraph"/>
        <w:numPr>
          <w:ilvl w:val="0"/>
          <w:numId w:val="1"/>
        </w:numPr>
        <w:spacing w:after="80"/>
      </w:pPr>
      <w:r>
        <w:t xml:space="preserve">Après l'étape 3 : la section « Récapitulatif » (Total HT / Total TVA / Total TTC) se met à jour en temps réel.</w:t>
      </w:r>
    </w:p>
    <w:p>
      <w:pPr>
        <w:pStyle w:val="ListParagraph"/>
        <w:numPr>
          <w:ilvl w:val="0"/>
          <w:numId w:val="1"/>
        </w:numPr>
        <w:spacing w:after="80"/>
      </w:pPr>
      <w:r>
        <w:t xml:space="preserve">Après l'étape 4 : message « Facture émise et persistée avec succès » (ou équivalent brouillon) ; la facture apparaît en liste avec le statut « Brouillon ».</w:t>
      </w:r>
    </w:p>
    <w:p>
      <w:pPr>
        <w:pStyle w:val="Heading2"/>
        <w:spacing w:after="140" w:before="260"/>
      </w:pPr>
      <w:r>
        <w:t xml:space="preserve">[MOB-INV-02] Émission d'une facture — nominal</w:t>
      </w:r>
    </w:p>
    <w:p>
      <w:pPr>
        <w:spacing w:after="120"/>
      </w:pPr>
      <w:r>
        <w:rPr>
          <w:b/>
          <w:bCs/>
        </w:rPr>
        <w:t xml:space="preserve">Type :</w:t>
      </w:r>
      <w:r>
        <w:t xml:space="preserve"> Passant</w:t>
      </w:r>
    </w:p>
    <w:p>
      <w:pPr>
        <w:spacing w:after="120"/>
      </w:pPr>
      <w:r>
        <w:rPr>
          <w:b/>
          <w:bCs/>
        </w:rPr>
        <w:t xml:space="preserve">Préconditions :</w:t>
      </w:r>
      <w:r>
        <w:t xml:space="preserve"> Formulaire complet et valide.</w:t>
      </w:r>
    </w:p>
    <w:p>
      <w:pPr>
        <w:spacing w:after="120"/>
      </w:pPr>
      <w:r>
        <w:rPr>
          <w:b/>
          <w:bCs/>
        </w:rPr>
        <w:t xml:space="preserve">Actions :</w:t>
      </w:r>
    </w:p>
    <w:p>
      <w:pPr>
        <w:spacing w:after="80"/>
        <w:ind w:left="360"/>
      </w:pPr>
      <w:r>
        <w:rPr>
          <w:b/>
          <w:bCs/>
        </w:rPr>
        <w:t xml:space="preserve">1. </w:t>
      </w:r>
      <w:r>
        <w:t xml:space="preserve">Compléter tous les champs obligatoires.</w:t>
      </w:r>
    </w:p>
    <w:p>
      <w:pPr>
        <w:spacing w:after="80"/>
        <w:ind w:left="360"/>
      </w:pPr>
      <w:r>
        <w:rPr>
          <w:b/>
          <w:bCs/>
        </w:rPr>
        <w:t xml:space="preserve">2. </w:t>
      </w:r>
      <w:r>
        <w:t xml:space="preserve">Taper « ☁ Valider et émettre ».</w:t>
      </w:r>
    </w:p>
    <w:p>
      <w:pPr>
        <w:spacing w:after="120"/>
      </w:pPr>
      <w:r>
        <w:rPr>
          <w:b/>
          <w:bCs/>
        </w:rPr>
        <w:t xml:space="preserve">Résultat attendu :</w:t>
      </w:r>
      <w:r>
        <w:t xml:space="preserve"> la facture passe directement au statut « Déposée » ; le formulaire se ferme ou navigue vers le détail/la liste.</w:t>
      </w:r>
    </w:p>
    <w:p>
      <w:pPr>
        <w:pStyle w:val="Heading2"/>
        <w:spacing w:after="140" w:before="260"/>
      </w:pPr>
      <w:r>
        <w:t xml:space="preserve">[MOB-INV-03] Émission bloquée — numéro de facture manquant</w:t>
      </w:r>
    </w:p>
    <w:p>
      <w:pPr>
        <w:spacing w:after="120"/>
      </w:pPr>
      <w:r>
        <w:rPr>
          <w:b/>
          <w:bCs/>
        </w:rPr>
        <w:t xml:space="preserve">Type :</w:t>
      </w:r>
      <w:r>
        <w:t xml:space="preserve"> Non passant</w:t>
      </w:r>
    </w:p>
    <w:p>
      <w:pPr>
        <w:spacing w:after="120"/>
      </w:pPr>
      <w:r>
        <w:rPr>
          <w:b/>
          <w:bCs/>
        </w:rPr>
        <w:t xml:space="preserve">Préconditions :</w:t>
      </w:r>
      <w:r>
        <w:t xml:space="preserve"> Formulaire rempli sauf le Nº de facture.</w:t>
      </w:r>
    </w:p>
    <w:p>
      <w:pPr>
        <w:spacing w:after="120"/>
      </w:pPr>
      <w:r>
        <w:rPr>
          <w:b/>
          <w:bCs/>
        </w:rPr>
        <w:t xml:space="preserve">Actions :</w:t>
      </w:r>
    </w:p>
    <w:p>
      <w:pPr>
        <w:spacing w:after="80"/>
        <w:ind w:left="360"/>
      </w:pPr>
      <w:r>
        <w:rPr>
          <w:b/>
          <w:bCs/>
        </w:rPr>
        <w:t xml:space="preserve">1. </w:t>
      </w:r>
      <w:r>
        <w:t xml:space="preserve">Taper « Valider et émettre » sans avoir renseigné le numéro.</w:t>
      </w:r>
    </w:p>
    <w:p>
      <w:pPr>
        <w:spacing w:after="120"/>
      </w:pPr>
      <w:r>
        <w:rPr>
          <w:b/>
          <w:bCs/>
        </w:rPr>
        <w:t xml:space="preserve">Résultat attendu :</w:t>
      </w:r>
      <w:r>
        <w:t xml:space="preserve"> le champ Nº de facture s'entoure de rouge, message « Le numéro de facture est requis » ; le formulaire reste ouvert. Le bouton n'était </w:t>
      </w:r>
      <w:r>
        <w:rPr>
          <w:b/>
          <w:bCs/>
        </w:rPr>
        <w:t xml:space="preserve">pas</w:t>
      </w:r>
      <w:r>
        <w:t xml:space="preserve"> désactivé au préalable — l'erreur se révèle au clic.</w:t>
      </w:r>
    </w:p>
    <w:p>
      <w:pPr>
        <w:pStyle w:val="Heading2"/>
        <w:spacing w:after="140" w:before="260"/>
      </w:pPr>
      <w:r>
        <w:t xml:space="preserve">[MOB-INV-04] Émission bloquée — format de date invalide</w:t>
      </w:r>
    </w:p>
    <w:p>
      <w:pPr>
        <w:spacing w:after="120"/>
      </w:pPr>
      <w:r>
        <w:rPr>
          <w:b/>
          <w:bCs/>
        </w:rPr>
        <w:t xml:space="preserve">Type :</w:t>
      </w:r>
      <w:r>
        <w:t xml:space="preserve"> Non passant</w:t>
      </w:r>
    </w:p>
    <w:p>
      <w:pPr>
        <w:spacing w:after="120"/>
      </w:pPr>
      <w:r>
        <w:rPr>
          <w:b/>
          <w:bCs/>
        </w:rPr>
        <w:t xml:space="preserve">Préconditions :</w:t>
      </w:r>
      <w:r>
        <w:t xml:space="preserve"> Formulaire par ailleurs valide.</w:t>
      </w:r>
    </w:p>
    <w:p>
      <w:pPr>
        <w:spacing w:after="120"/>
      </w:pPr>
      <w:r>
        <w:rPr>
          <w:b/>
          <w:bCs/>
        </w:rPr>
        <w:t xml:space="preserve">Actions :</w:t>
      </w:r>
    </w:p>
    <w:p>
      <w:pPr>
        <w:spacing w:after="80"/>
        <w:ind w:left="360"/>
      </w:pPr>
      <w:r>
        <w:rPr>
          <w:b/>
          <w:bCs/>
        </w:rPr>
        <w:t xml:space="preserve">1. </w:t>
      </w:r>
      <w:r>
        <w:t xml:space="preserve">Saisir une date d'émission au format JJ/MM/AAAA (ex. « 24/06/2026 ») au lieu d'AAAA-MM-JJ.</w:t>
      </w:r>
    </w:p>
    <w:p>
      <w:pPr>
        <w:spacing w:after="80"/>
        <w:ind w:left="360"/>
      </w:pPr>
      <w:r>
        <w:rPr>
          <w:b/>
          <w:bCs/>
        </w:rPr>
        <w:t xml:space="preserve">2. </w:t>
      </w:r>
      <w:r>
        <w:t xml:space="preserve">Taper « Valider et émettre ».</w:t>
      </w:r>
    </w:p>
    <w:p>
      <w:pPr>
        <w:spacing w:after="120"/>
      </w:pPr>
      <w:r>
        <w:rPr>
          <w:b/>
          <w:bCs/>
        </w:rPr>
        <w:t xml:space="preserve">Résultat attendu :</w:t>
      </w:r>
      <w:r>
        <w:t xml:space="preserve"> erreur « Date attendue au format AAAA-MM-JJ » sous le champ concerné.</w:t>
      </w:r>
    </w:p>
    <w:p>
      <w:pPr>
        <w:pStyle w:val="Heading2"/>
        <w:spacing w:after="140" w:before="260"/>
      </w:pPr>
      <w:r>
        <w:t xml:space="preserve">[MOB-INV-05] Émission bloquée — SIRET client invalide</w:t>
      </w:r>
    </w:p>
    <w:p>
      <w:pPr>
        <w:spacing w:after="120"/>
      </w:pPr>
      <w:r>
        <w:rPr>
          <w:b/>
          <w:bCs/>
        </w:rPr>
        <w:t xml:space="preserve">Type :</w:t>
      </w:r>
      <w:r>
        <w:t xml:space="preserve"> Non passant</w:t>
      </w:r>
    </w:p>
    <w:p>
      <w:pPr>
        <w:spacing w:after="120"/>
      </w:pPr>
      <w:r>
        <w:rPr>
          <w:b/>
          <w:bCs/>
        </w:rPr>
        <w:t xml:space="preserve">Préconditions :</w:t>
      </w:r>
      <w:r>
        <w:t xml:space="preserve"> Formulaire par ailleurs valide, client saisi manuellement (pas via suggestion).</w:t>
      </w:r>
    </w:p>
    <w:p>
      <w:pPr>
        <w:spacing w:after="120"/>
      </w:pPr>
      <w:r>
        <w:rPr>
          <w:b/>
          <w:bCs/>
        </w:rPr>
        <w:t xml:space="preserve">Actions :</w:t>
      </w:r>
    </w:p>
    <w:p>
      <w:pPr>
        <w:spacing w:after="80"/>
        <w:ind w:left="360"/>
      </w:pPr>
      <w:r>
        <w:rPr>
          <w:b/>
          <w:bCs/>
        </w:rPr>
        <w:t xml:space="preserve">1. </w:t>
      </w:r>
      <w:r>
        <w:t xml:space="preserve">Saisir un SIRET client de longueur incorrecte.</w:t>
      </w:r>
    </w:p>
    <w:p>
      <w:pPr>
        <w:spacing w:after="80"/>
        <w:ind w:left="360"/>
      </w:pPr>
      <w:r>
        <w:rPr>
          <w:b/>
          <w:bCs/>
        </w:rPr>
        <w:t xml:space="preserve">2. </w:t>
      </w:r>
      <w:r>
        <w:t xml:space="preserve">Taper « Valider et émettre ».</w:t>
      </w:r>
    </w:p>
    <w:p>
      <w:pPr>
        <w:spacing w:after="120"/>
      </w:pPr>
      <w:r>
        <w:rPr>
          <w:b/>
          <w:bCs/>
        </w:rPr>
        <w:t xml:space="preserve">Résultat attendu :</w:t>
      </w:r>
      <w:r>
        <w:t xml:space="preserve"> erreur « Le SIRET doit comporter exactement 14 chiffres » sur le champ SIRET client.</w:t>
      </w:r>
    </w:p>
    <w:p>
      <w:pPr>
        <w:pStyle w:val="Heading2"/>
        <w:spacing w:after="140" w:before="260"/>
      </w:pPr>
      <w:r>
        <w:t xml:space="preserve">[MOB-INV-06] Émission bloquée — ligne invalide (quantité)</w:t>
      </w:r>
    </w:p>
    <w:p>
      <w:pPr>
        <w:spacing w:after="120"/>
      </w:pPr>
      <w:r>
        <w:rPr>
          <w:b/>
          <w:bCs/>
        </w:rPr>
        <w:t xml:space="preserve">Type :</w:t>
      </w:r>
      <w:r>
        <w:t xml:space="preserve"> Non passant</w:t>
      </w:r>
    </w:p>
    <w:p>
      <w:pPr>
        <w:spacing w:after="120"/>
      </w:pPr>
      <w:r>
        <w:rPr>
          <w:b/>
          <w:bCs/>
        </w:rPr>
        <w:t xml:space="preserve">Préconditions :</w:t>
      </w:r>
      <w:r>
        <w:t xml:space="preserve"> Une ligne avec une quantité à 0 ou négative/non entière.</w:t>
      </w:r>
    </w:p>
    <w:p>
      <w:pPr>
        <w:spacing w:after="120"/>
      </w:pPr>
      <w:r>
        <w:rPr>
          <w:b/>
          <w:bCs/>
        </w:rPr>
        <w:t xml:space="preserve">Actions :</w:t>
      </w:r>
    </w:p>
    <w:p>
      <w:pPr>
        <w:spacing w:after="80"/>
        <w:ind w:left="360"/>
      </w:pPr>
      <w:r>
        <w:rPr>
          <w:b/>
          <w:bCs/>
        </w:rPr>
        <w:t xml:space="preserve">1. </w:t>
      </w:r>
      <w:r>
        <w:t xml:space="preserve">Saisir « 0 » dans le champ Qté d'une ligne.</w:t>
      </w:r>
    </w:p>
    <w:p>
      <w:pPr>
        <w:spacing w:after="80"/>
        <w:ind w:left="360"/>
      </w:pPr>
      <w:r>
        <w:rPr>
          <w:b/>
          <w:bCs/>
        </w:rPr>
        <w:t xml:space="preserve">2. </w:t>
      </w:r>
      <w:r>
        <w:t xml:space="preserve">Taper « Valider et émettre ».</w:t>
      </w:r>
    </w:p>
    <w:p>
      <w:pPr>
        <w:spacing w:after="120"/>
      </w:pPr>
      <w:r>
        <w:rPr>
          <w:b/>
          <w:bCs/>
        </w:rPr>
        <w:t xml:space="preserve">Résultat attendu :</w:t>
      </w:r>
      <w:r>
        <w:t xml:space="preserve"> erreur « La quantité doit être un entier positif » sur la ligne concernée ; le total ne prend pas en compte cette ligne tant qu'elle est invalide.</w:t>
      </w:r>
    </w:p>
    <w:p>
      <w:pPr>
        <w:pStyle w:val="Heading2"/>
        <w:spacing w:after="140" w:before="260"/>
      </w:pPr>
      <w:r>
        <w:t xml:space="preserve">[MOB-INV-07] Ajout et suppression de lignes</w:t>
      </w:r>
    </w:p>
    <w:p>
      <w:pPr>
        <w:spacing w:after="120"/>
      </w:pPr>
      <w:r>
        <w:rPr>
          <w:b/>
          <w:bCs/>
        </w:rPr>
        <w:t xml:space="preserve">Type :</w:t>
      </w:r>
      <w:r>
        <w:t xml:space="preserve"> Passant</w:t>
      </w:r>
    </w:p>
    <w:p>
      <w:pPr>
        <w:spacing w:after="120"/>
      </w:pPr>
      <w:r>
        <w:rPr>
          <w:b/>
          <w:bCs/>
        </w:rPr>
        <w:t xml:space="preserve">Préconditions :</w:t>
      </w:r>
      <w:r>
        <w:t xml:space="preserve"> Formulaire avec une seule ligne.</w:t>
      </w:r>
    </w:p>
    <w:p>
      <w:pPr>
        <w:spacing w:after="120"/>
      </w:pPr>
      <w:r>
        <w:rPr>
          <w:b/>
          <w:bCs/>
        </w:rPr>
        <w:t xml:space="preserve">Actions :</w:t>
      </w:r>
    </w:p>
    <w:p>
      <w:pPr>
        <w:spacing w:after="80"/>
        <w:ind w:left="360"/>
      </w:pPr>
      <w:r>
        <w:rPr>
          <w:b/>
          <w:bCs/>
        </w:rPr>
        <w:t xml:space="preserve">1. </w:t>
      </w:r>
      <w:r>
        <w:t xml:space="preserve">Taper « + Ajouter une ligne » deux fois (3 lignes au total).</w:t>
      </w:r>
    </w:p>
    <w:p>
      <w:pPr>
        <w:spacing w:after="80"/>
        <w:ind w:left="360"/>
      </w:pPr>
      <w:r>
        <w:rPr>
          <w:b/>
          <w:bCs/>
        </w:rPr>
        <w:t xml:space="preserve">2. </w:t>
      </w:r>
      <w:r>
        <w:t xml:space="preserve">Taper le bouton de suppression sur la 2ᵉ ligne.</w:t>
      </w:r>
    </w:p>
    <w:p>
      <w:pPr>
        <w:spacing w:after="80"/>
        <w:ind w:left="360"/>
      </w:pPr>
      <w:r>
        <w:rPr>
          <w:b/>
          <w:bCs/>
        </w:rPr>
        <w:t xml:space="preserve">3. </w:t>
      </w:r>
      <w:r>
        <w:t xml:space="preserve">Continuer à supprimer jusqu'à revenir à 1 seule ligne.</w:t>
      </w:r>
    </w:p>
    <w:p>
      <w:pPr>
        <w:spacing w:after="80"/>
        <w:ind w:left="360"/>
      </w:pPr>
      <w:r>
        <w:rPr>
          <w:b/>
          <w:bCs/>
        </w:rPr>
        <w:t xml:space="preserve">4. </w:t>
      </w:r>
      <w:r>
        <w:t xml:space="preserve">Observer le bouton de suppression sur la dernière ligne restante.</w:t>
      </w:r>
    </w:p>
    <w:p>
      <w:pPr>
        <w:spacing w:after="120"/>
      </w:pPr>
      <w:r>
        <w:rPr>
          <w:b/>
          <w:bCs/>
        </w:rPr>
        <w:t xml:space="preserve">Résultat attendu :</w:t>
      </w:r>
    </w:p>
    <w:p>
      <w:pPr>
        <w:pStyle w:val="ListParagraph"/>
        <w:numPr>
          <w:ilvl w:val="0"/>
          <w:numId w:val="1"/>
        </w:numPr>
        <w:spacing w:after="80"/>
      </w:pPr>
      <w:r>
        <w:t xml:space="preserve">Après l'étape 1 : 3 blocs de saisie de ligne distincts, chacun avec son propre bouton de suppression.</w:t>
      </w:r>
    </w:p>
    <w:p>
      <w:pPr>
        <w:pStyle w:val="ListParagraph"/>
        <w:numPr>
          <w:ilvl w:val="0"/>
          <w:numId w:val="1"/>
        </w:numPr>
        <w:spacing w:after="80"/>
      </w:pPr>
      <w:r>
        <w:t xml:space="preserve">Après l'étape 2 : 2 lignes restantes, la numérotation/l'ordre des lignes restantes est cohérent.</w:t>
      </w:r>
    </w:p>
    <w:p>
      <w:pPr>
        <w:pStyle w:val="ListParagraph"/>
        <w:numPr>
          <w:ilvl w:val="0"/>
          <w:numId w:val="1"/>
        </w:numPr>
        <w:spacing w:after="80"/>
      </w:pPr>
      <w:r>
        <w:t xml:space="preserve">Après l'étape 4 : le bouton de suppression de la </w:t>
      </w:r>
      <w:r>
        <w:rPr>
          <w:b/>
          <w:bCs/>
        </w:rPr>
        <w:t xml:space="preserve">dernière</w:t>
      </w:r>
      <w:r>
        <w:t xml:space="preserve"> ligne est </w:t>
      </w:r>
      <w:r>
        <w:rPr>
          <w:b/>
          <w:bCs/>
        </w:rPr>
        <w:t xml:space="preserve">désactivé</w:t>
      </w:r>
      <w:r>
        <w:t xml:space="preserve"> — une facture doit toujours avoir au moins une ligne.</w:t>
      </w:r>
    </w:p>
    <w:p>
      <w:pPr>
        <w:pStyle w:val="Heading2"/>
        <w:spacing w:after="140" w:before="260"/>
      </w:pPr>
      <w:r>
        <w:t xml:space="preserve">[MOB-INV-08] Bascule du taux de TVA sur une ligne</w:t>
      </w:r>
    </w:p>
    <w:p>
      <w:pPr>
        <w:spacing w:after="120"/>
      </w:pPr>
      <w:r>
        <w:rPr>
          <w:b/>
          <w:bCs/>
        </w:rPr>
        <w:t xml:space="preserve">Type :</w:t>
      </w:r>
      <w:r>
        <w:t xml:space="preserve"> Passant</w:t>
      </w:r>
    </w:p>
    <w:p>
      <w:pPr>
        <w:spacing w:after="120"/>
      </w:pPr>
      <w:r>
        <w:rPr>
          <w:b/>
          <w:bCs/>
        </w:rPr>
        <w:t xml:space="preserve">Préconditions :</w:t>
      </w:r>
      <w:r>
        <w:t xml:space="preserve"> Une ligne avec quantité et prix unitaire renseignés.</w:t>
      </w:r>
    </w:p>
    <w:p>
      <w:pPr>
        <w:spacing w:after="120"/>
      </w:pPr>
      <w:r>
        <w:rPr>
          <w:b/>
          <w:bCs/>
        </w:rPr>
        <w:t xml:space="preserve">Actions :</w:t>
      </w:r>
    </w:p>
    <w:p>
      <w:pPr>
        <w:spacing w:after="80"/>
        <w:ind w:left="360"/>
      </w:pPr>
      <w:r>
        <w:rPr>
          <w:b/>
          <w:bCs/>
        </w:rPr>
        <w:t xml:space="preserve">1. </w:t>
      </w:r>
      <w:r>
        <w:t xml:space="preserve">Ouvrir le sélecteur de taux de TVA de la ligne.</w:t>
      </w:r>
    </w:p>
    <w:p>
      <w:pPr>
        <w:spacing w:after="80"/>
        <w:ind w:left="360"/>
      </w:pPr>
      <w:r>
        <w:rPr>
          <w:b/>
          <w:bCs/>
        </w:rPr>
        <w:t xml:space="preserve">2. </w:t>
      </w:r>
      <w:r>
        <w:t xml:space="preserve">Choisir un taux différent (ex. 5,5 % au lieu de 20 %).</w:t>
      </w:r>
    </w:p>
    <w:p>
      <w:pPr>
        <w:spacing w:after="120"/>
      </w:pPr>
      <w:r>
        <w:rPr>
          <w:b/>
          <w:bCs/>
        </w:rPr>
        <w:t xml:space="preserve">Résultat attendu :</w:t>
      </w:r>
      <w:r>
        <w:t xml:space="preserve"> le Total TVA et le Total TTC du récapitulatif se recalculent immédiatement avec le nouveau taux ; le Total HT reste inchangé.</w:t>
      </w:r>
    </w:p>
    <w:p>
      <w:pPr>
        <w:pStyle w:val="Heading2"/>
        <w:spacing w:after="140" w:before="260"/>
      </w:pPr>
      <w:r>
        <w:t xml:space="preserve">[MOB-INV-09] Bascule des pénalités B2B — mention légale</w:t>
      </w:r>
    </w:p>
    <w:p>
      <w:pPr>
        <w:spacing w:after="120"/>
      </w:pPr>
      <w:r>
        <w:rPr>
          <w:b/>
          <w:bCs/>
        </w:rPr>
        <w:t xml:space="preserve">Type :</w:t>
      </w:r>
      <w:r>
        <w:t xml:space="preserve"> Passant</w:t>
      </w:r>
    </w:p>
    <w:p>
      <w:pPr>
        <w:spacing w:after="120"/>
      </w:pPr>
      <w:r>
        <w:rPr>
          <w:b/>
          <w:bCs/>
        </w:rPr>
        <w:t xml:space="preserve">Préconditions :</w:t>
      </w:r>
      <w:r>
        <w:t xml:space="preserve"> Formulaire ouvert, case « Appliquer les pénalités de retard légales (B2B) » cochée par défaut.</w:t>
      </w:r>
    </w:p>
    <w:p>
      <w:pPr>
        <w:spacing w:after="120"/>
      </w:pPr>
      <w:r>
        <w:rPr>
          <w:b/>
          <w:bCs/>
        </w:rPr>
        <w:t xml:space="preserve">Actions :</w:t>
      </w:r>
    </w:p>
    <w:p>
      <w:pPr>
        <w:spacing w:after="80"/>
        <w:ind w:left="360"/>
      </w:pPr>
      <w:r>
        <w:rPr>
          <w:b/>
          <w:bCs/>
        </w:rPr>
        <w:t xml:space="preserve">1. </w:t>
      </w:r>
      <w:r>
        <w:t xml:space="preserve">Défiler jusqu'au pied de page légal et lire le texte affiché.</w:t>
      </w:r>
    </w:p>
    <w:p>
      <w:pPr>
        <w:spacing w:after="80"/>
        <w:ind w:left="360"/>
      </w:pPr>
      <w:r>
        <w:rPr>
          <w:b/>
          <w:bCs/>
        </w:rPr>
        <w:t xml:space="preserve">2. </w:t>
      </w:r>
      <w:r>
        <w:t xml:space="preserve">Décocher la case (toucher n'importe où sur la ligne complète, pas seulement la case à cocher).</w:t>
      </w:r>
    </w:p>
    <w:p>
      <w:pPr>
        <w:spacing w:after="80"/>
        <w:ind w:left="360"/>
      </w:pPr>
      <w:r>
        <w:rPr>
          <w:b/>
          <w:bCs/>
        </w:rPr>
        <w:t xml:space="preserve">3. </w:t>
      </w:r>
      <w:r>
        <w:t xml:space="preserve">Relire le pied de page.</w:t>
      </w:r>
    </w:p>
    <w:p>
      <w:pPr>
        <w:spacing w:after="120"/>
      </w:pPr>
      <w:r>
        <w:rPr>
          <w:b/>
          <w:bCs/>
        </w:rPr>
        <w:t xml:space="preserve">Résultat attendu :</w:t>
      </w:r>
    </w:p>
    <w:p>
      <w:pPr>
        <w:pStyle w:val="ListParagraph"/>
        <w:numPr>
          <w:ilvl w:val="0"/>
          <w:numId w:val="1"/>
        </w:numPr>
        <w:spacing w:after="80"/>
      </w:pPr>
      <w:r>
        <w:t xml:space="preserve">Avant décochage : texte « En cas de retard de paiement, une pénalité égale à 3 fois le taux d'intérêt légal sera appliquée, ainsi qu'une indemnité forfaitaire de 40€ pour frais de recouvrement conformément à l'article L.441-10 du Code de commerce. »</w:t>
      </w:r>
    </w:p>
    <w:p>
      <w:pPr>
        <w:pStyle w:val="ListParagraph"/>
        <w:numPr>
          <w:ilvl w:val="0"/>
          <w:numId w:val="1"/>
        </w:numPr>
        <w:spacing w:after="80"/>
      </w:pPr>
      <w:r>
        <w:t xml:space="preserve">Après décochage : texte remplacé par « Merci pour votre confiance. » — le pied de page </w:t>
      </w:r>
      <w:r>
        <w:rPr>
          <w:b/>
          <w:bCs/>
        </w:rPr>
        <w:t xml:space="preserve">n'est jamais vide</w:t>
      </w:r>
      <w:r>
        <w:t xml:space="preserve">, seul le texte change, au même endroit.</w:t>
      </w:r>
    </w:p>
    <w:p>
      <w:pPr>
        <w:pStyle w:val="ListParagraph"/>
        <w:numPr>
          <w:ilvl w:val="0"/>
          <w:numId w:val="1"/>
        </w:numPr>
        <w:spacing w:after="80"/>
      </w:pPr>
      <w:r>
        <w:t xml:space="preserve">La cible tactile de la case couvre toute la ligne (pas seulement le petit carré), hauteur ≥ 48 dp.</w:t>
      </w:r>
    </w:p>
    <w:p>
      <w:pPr>
        <w:pStyle w:val="Heading2"/>
        <w:spacing w:after="140" w:before="260"/>
      </w:pPr>
      <w:r>
        <w:t xml:space="preserve">[MOB-INV-10] Bascule du mode de saisie sans perte de données</w:t>
      </w:r>
    </w:p>
    <w:p>
      <w:pPr>
        <w:spacing w:after="120"/>
      </w:pPr>
      <w:r>
        <w:rPr>
          <w:b/>
          <w:bCs/>
        </w:rPr>
        <w:t xml:space="preserve">Type :</w:t>
      </w:r>
      <w:r>
        <w:t xml:space="preserve"> Passant</w:t>
      </w:r>
    </w:p>
    <w:p>
      <w:pPr>
        <w:spacing w:after="120"/>
      </w:pPr>
      <w:r>
        <w:rPr>
          <w:b/>
          <w:bCs/>
        </w:rPr>
        <w:t xml:space="preserve">Préconditions :</w:t>
      </w:r>
      <w:r>
        <w:t xml:space="preserve"> Formulaire classique partiellement rempli (client, une ligne).</w:t>
      </w:r>
    </w:p>
    <w:p>
      <w:pPr>
        <w:spacing w:after="120"/>
      </w:pPr>
      <w:r>
        <w:rPr>
          <w:b/>
          <w:bCs/>
        </w:rPr>
        <w:t xml:space="preserve">Actions :</w:t>
      </w:r>
    </w:p>
    <w:p>
      <w:pPr>
        <w:spacing w:after="80"/>
        <w:ind w:left="360"/>
      </w:pPr>
      <w:r>
        <w:rPr>
          <w:b/>
          <w:bCs/>
        </w:rPr>
        <w:t xml:space="preserve">1. </w:t>
      </w:r>
      <w:r>
        <w:t xml:space="preserve">Ouvrir le sélecteur « Mode de saisie » en haut du formulaire.</w:t>
      </w:r>
    </w:p>
    <w:p>
      <w:pPr>
        <w:spacing w:after="80"/>
        <w:ind w:left="360"/>
      </w:pPr>
      <w:r>
        <w:rPr>
          <w:b/>
          <w:bCs/>
        </w:rPr>
        <w:t xml:space="preserve">2. </w:t>
      </w:r>
      <w:r>
        <w:t xml:space="preserve">Basculer sur « Mode Page Blanche » (</w:t>
      </w:r>
      <w:r>
        <w:rPr>
          <w:rFonts w:ascii="Consolas" w:cs="Consolas" w:eastAsia="Consolas" w:hAnsi="Consolas"/>
          <w:sz w:val="20"/>
          <w:szCs w:val="20"/>
          <w:shd w:fill="EEEEEE" w:val="clear"/>
        </w:rPr>
        <w:t xml:space="preserve">invoice_mode_canvas_btn</w:t>
      </w:r>
      <w:r>
        <w:t xml:space="preserve">).</w:t>
      </w:r>
    </w:p>
    <w:p>
      <w:pPr>
        <w:spacing w:after="80"/>
        <w:ind w:left="360"/>
      </w:pPr>
      <w:r>
        <w:rPr>
          <w:b/>
          <w:bCs/>
        </w:rPr>
        <w:t xml:space="preserve">3. </w:t>
      </w:r>
      <w:r>
        <w:t xml:space="preserve">Rebasculer sur « Mode Formulaire ».</w:t>
      </w:r>
    </w:p>
    <w:p>
      <w:pPr>
        <w:spacing w:after="120"/>
      </w:pPr>
      <w:r>
        <w:rPr>
          <w:b/>
          <w:bCs/>
        </w:rPr>
        <w:t xml:space="preserve">Résultat attendu :</w:t>
      </w:r>
      <w:r>
        <w:t xml:space="preserve"> aucune donnée saisie n'est perdue lors des deux bascules — client, ligne, montants identiques dans les deux modes. Le mode choisi n'est </w:t>
      </w:r>
      <w:r>
        <w:rPr>
          <w:b/>
          <w:bCs/>
        </w:rPr>
        <w:t xml:space="preserve">pas</w:t>
      </w:r>
      <w:r>
        <w:t xml:space="preserve"> persisté sur le fond de données, seulement affiché.</w:t>
      </w:r>
    </w:p>
    <w:p>
      <w:pPr>
        <w:pStyle w:val="Heading2"/>
        <w:spacing w:after="140" w:before="260"/>
      </w:pPr>
      <w:r>
        <w:t xml:space="preserve">[MOB-INV-11] Panneau de conformité absent en mode Page Blanche</w:t>
      </w:r>
    </w:p>
    <w:p>
      <w:pPr>
        <w:spacing w:after="120"/>
      </w:pPr>
      <w:r>
        <w:rPr>
          <w:b/>
          <w:bCs/>
        </w:rPr>
        <w:t xml:space="preserve">Type :</w:t>
      </w:r>
      <w:r>
        <w:t xml:space="preserve"> Passant / non-régression</w:t>
      </w:r>
    </w:p>
    <w:p>
      <w:pPr>
        <w:spacing w:after="120"/>
      </w:pPr>
      <w:r>
        <w:rPr>
          <w:b/>
          <w:bCs/>
        </w:rPr>
        <w:t xml:space="preserve">Préconditions :</w:t>
      </w:r>
      <w:r>
        <w:t xml:space="preserve"> Formulaire en Mode Page Blanche.</w:t>
      </w:r>
    </w:p>
    <w:p>
      <w:pPr>
        <w:spacing w:after="120"/>
      </w:pPr>
      <w:r>
        <w:rPr>
          <w:b/>
          <w:bCs/>
        </w:rPr>
        <w:t xml:space="preserve">Actions :</w:t>
      </w:r>
    </w:p>
    <w:p>
      <w:pPr>
        <w:spacing w:after="80"/>
        <w:ind w:left="360"/>
      </w:pPr>
      <w:r>
        <w:rPr>
          <w:b/>
          <w:bCs/>
        </w:rPr>
        <w:t xml:space="preserve">1. </w:t>
      </w:r>
      <w:r>
        <w:t xml:space="preserve">Défiler jusqu'en bas de la feuille A4 simulée.</w:t>
      </w:r>
    </w:p>
    <w:p>
      <w:pPr>
        <w:spacing w:after="120"/>
      </w:pPr>
      <w:r>
        <w:rPr>
          <w:b/>
          <w:bCs/>
        </w:rPr>
        <w:t xml:space="preserve">Résultat attendu :</w:t>
      </w:r>
      <w:r>
        <w:t xml:space="preserve"> contrairement au Mode Formulaire, </w:t>
      </w:r>
      <w:r>
        <w:rPr>
          <w:b/>
          <w:bCs/>
        </w:rPr>
        <w:t xml:space="preserve">aucun panneau d'audit de conformité n'apparaît</w:t>
      </w:r>
      <w:r>
        <w:t xml:space="preserve"> en mode Page Blanche — c'est un choix délibéré pour ne pas casser l'illusion de « feuille de papier ».</w:t>
      </w:r>
    </w:p>
    <w:p>
      <w:pPr>
        <w:pStyle w:val="Heading2"/>
        <w:spacing w:after="140" w:before="260"/>
      </w:pPr>
      <w:r>
        <w:t xml:space="preserve">4.2 Mode Canvas / Page Blanche (US-15, US-23)</w:t>
      </w:r>
    </w:p>
    <w:p>
      <w:pPr>
        <w:pStyle w:val="Heading2"/>
        <w:spacing w:after="140" w:before="260"/>
      </w:pPr>
      <w:r>
        <w:t xml:space="preserve">[MOB-INV-12] Édition directe sur la feuille A4</w:t>
      </w:r>
    </w:p>
    <w:p>
      <w:pPr>
        <w:spacing w:after="120"/>
      </w:pPr>
      <w:r>
        <w:rPr>
          <w:b/>
          <w:bCs/>
        </w:rPr>
        <w:t xml:space="preserve">Type :</w:t>
      </w:r>
      <w:r>
        <w:t xml:space="preserve"> Passant</w:t>
      </w:r>
    </w:p>
    <w:p>
      <w:pPr>
        <w:spacing w:after="120"/>
      </w:pPr>
      <w:r>
        <w:rPr>
          <w:b/>
          <w:bCs/>
        </w:rPr>
        <w:t xml:space="preserve">Préconditions :</w:t>
      </w:r>
      <w:r>
        <w:t xml:space="preserve"> Formulaire en Mode Page Blanche (</w:t>
      </w:r>
      <w:r>
        <w:rPr>
          <w:rFonts w:ascii="Consolas" w:cs="Consolas" w:eastAsia="Consolas" w:hAnsi="Consolas"/>
          <w:sz w:val="20"/>
          <w:szCs w:val="20"/>
          <w:shd w:fill="EEEEEE" w:val="clear"/>
        </w:rPr>
        <w:t xml:space="preserve">invoice_canvas_container</w:t>
      </w:r>
      <w:r>
        <w:t xml:space="preserve"> → </w:t>
      </w:r>
      <w:r>
        <w:rPr>
          <w:rFonts w:ascii="Consolas" w:cs="Consolas" w:eastAsia="Consolas" w:hAnsi="Consolas"/>
          <w:sz w:val="20"/>
          <w:szCs w:val="20"/>
          <w:shd w:fill="EEEEEE" w:val="clear"/>
        </w:rPr>
        <w:t xml:space="preserve">invoice_canvas_page</w:t>
      </w:r>
      <w:r>
        <w:t xml:space="preserve">).</w:t>
      </w:r>
    </w:p>
    <w:p>
      <w:pPr>
        <w:spacing w:after="120"/>
      </w:pPr>
      <w:r>
        <w:rPr>
          <w:b/>
          <w:bCs/>
        </w:rPr>
        <w:t xml:space="preserve">Actions :</w:t>
      </w:r>
    </w:p>
    <w:p>
      <w:pPr>
        <w:spacing w:after="80"/>
        <w:ind w:left="360"/>
      </w:pPr>
      <w:r>
        <w:rPr>
          <w:b/>
          <w:bCs/>
        </w:rPr>
        <w:t xml:space="preserve">1. </w:t>
      </w:r>
      <w:r>
        <w:t xml:space="preserve">Taper directement dans une cellule du tableau de lignes (</w:t>
      </w:r>
      <w:r>
        <w:rPr>
          <w:rFonts w:ascii="Consolas" w:cs="Consolas" w:eastAsia="Consolas" w:hAnsi="Consolas"/>
          <w:sz w:val="20"/>
          <w:szCs w:val="20"/>
          <w:shd w:fill="EEEEEE" w:val="clear"/>
        </w:rPr>
        <w:t xml:space="preserve">invoice_canvas_items_table</w:t>
      </w:r>
      <w:r>
        <w:t xml:space="preserve">) et saisir un libellé.</w:t>
      </w:r>
    </w:p>
    <w:p>
      <w:pPr>
        <w:spacing w:after="80"/>
        <w:ind w:left="360"/>
      </w:pPr>
      <w:r>
        <w:rPr>
          <w:b/>
          <w:bCs/>
        </w:rPr>
        <w:t xml:space="preserve">2. </w:t>
      </w:r>
      <w:r>
        <w:t xml:space="preserve">Observer la bordure du champ pendant la saisie.</w:t>
      </w:r>
    </w:p>
    <w:p>
      <w:pPr>
        <w:spacing w:after="120"/>
      </w:pPr>
      <w:r>
        <w:rPr>
          <w:b/>
          <w:bCs/>
        </w:rPr>
        <w:t xml:space="preserve">Résultat attendu :</w:t>
      </w:r>
      <w:r>
        <w:t xml:space="preserve"> le champ, transparent au repos, affiche un discret contour bleu au focus ; la cible tactile de chaque cellule fait au moins 48 dp.</w:t>
      </w:r>
    </w:p>
    <w:p>
      <w:pPr>
        <w:pStyle w:val="Heading2"/>
        <w:spacing w:after="140" w:before="260"/>
      </w:pPr>
      <w:r>
        <w:t xml:space="preserve">[MOB-INV-13] En-tête émetteur en lecture seule vs client éditable</w:t>
      </w:r>
    </w:p>
    <w:p>
      <w:pPr>
        <w:spacing w:after="120"/>
      </w:pPr>
      <w:r>
        <w:rPr>
          <w:b/>
          <w:bCs/>
        </w:rPr>
        <w:t xml:space="preserve">Type :</w:t>
      </w:r>
      <w:r>
        <w:t xml:space="preserve"> Passant / non-régression</w:t>
      </w:r>
    </w:p>
    <w:p>
      <w:pPr>
        <w:spacing w:after="120"/>
      </w:pPr>
      <w:r>
        <w:rPr>
          <w:b/>
          <w:bCs/>
        </w:rPr>
        <w:t xml:space="preserve">Préconditions :</w:t>
      </w:r>
      <w:r>
        <w:t xml:space="preserve"> Mode Page Blanche affiché.</w:t>
      </w:r>
    </w:p>
    <w:p>
      <w:pPr>
        <w:spacing w:after="120"/>
      </w:pPr>
      <w:r>
        <w:rPr>
          <w:b/>
          <w:bCs/>
        </w:rPr>
        <w:t xml:space="preserve">Actions :</w:t>
      </w:r>
    </w:p>
    <w:p>
      <w:pPr>
        <w:spacing w:after="80"/>
        <w:ind w:left="360"/>
      </w:pPr>
      <w:r>
        <w:rPr>
          <w:b/>
          <w:bCs/>
        </w:rPr>
        <w:t xml:space="preserve">1. </w:t>
      </w:r>
      <w:r>
        <w:t xml:space="preserve">Tenter de taper sur le bloc émetteur (nom/SIRET, à gauche de l'en-tête).</w:t>
      </w:r>
    </w:p>
    <w:p>
      <w:pPr>
        <w:spacing w:after="80"/>
        <w:ind w:left="360"/>
      </w:pPr>
      <w:r>
        <w:rPr>
          <w:b/>
          <w:bCs/>
        </w:rPr>
        <w:t xml:space="preserve">2. </w:t>
      </w:r>
      <w:r>
        <w:t xml:space="preserve">Taper sur le bloc client (à droite).</w:t>
      </w:r>
    </w:p>
    <w:p>
      <w:pPr>
        <w:spacing w:after="120"/>
      </w:pPr>
      <w:r>
        <w:rPr>
          <w:b/>
          <w:bCs/>
        </w:rPr>
        <w:t xml:space="preserve">Résultat attendu :</w:t>
      </w:r>
      <w:r>
        <w:t xml:space="preserve"> le bloc émetteur ne réagit à aucune saisie (lecture seule — vient des Paramètres fiscaux) ; le bloc client est éditable en place, champ par champ.</w:t>
      </w:r>
    </w:p>
    <w:p>
      <w:pPr>
        <w:pStyle w:val="Heading2"/>
        <w:spacing w:after="140" w:before="260"/>
      </w:pPr>
      <w:r>
        <w:t xml:space="preserve">[MOB-INV-14] Totaux et ventilation TVA en temps réel</w:t>
      </w:r>
    </w:p>
    <w:p>
      <w:pPr>
        <w:spacing w:after="120"/>
      </w:pPr>
      <w:r>
        <w:rPr>
          <w:b/>
          <w:bCs/>
        </w:rPr>
        <w:t xml:space="preserve">Type :</w:t>
      </w:r>
      <w:r>
        <w:t xml:space="preserve"> Passant</w:t>
      </w:r>
    </w:p>
    <w:p>
      <w:pPr>
        <w:spacing w:after="120"/>
      </w:pPr>
      <w:r>
        <w:rPr>
          <w:b/>
          <w:bCs/>
        </w:rPr>
        <w:t xml:space="preserve">Préconditions :</w:t>
      </w:r>
      <w:r>
        <w:t xml:space="preserve"> Une ligne en cours de saisie, prix unitaire non encore valide (ex. champ vide).</w:t>
      </w:r>
    </w:p>
    <w:p>
      <w:pPr>
        <w:spacing w:after="120"/>
      </w:pPr>
      <w:r>
        <w:rPr>
          <w:b/>
          <w:bCs/>
        </w:rPr>
        <w:t xml:space="preserve">Actions :</w:t>
      </w:r>
    </w:p>
    <w:p>
      <w:pPr>
        <w:spacing w:after="80"/>
        <w:ind w:left="360"/>
      </w:pPr>
      <w:r>
        <w:rPr>
          <w:b/>
          <w:bCs/>
        </w:rPr>
        <w:t xml:space="preserve">1. </w:t>
      </w:r>
      <w:r>
        <w:t xml:space="preserve">Observer le Total HT pendant que le prix unitaire est vide/invalide.</w:t>
      </w:r>
    </w:p>
    <w:p>
      <w:pPr>
        <w:spacing w:after="80"/>
        <w:ind w:left="360"/>
      </w:pPr>
      <w:r>
        <w:rPr>
          <w:b/>
          <w:bCs/>
        </w:rPr>
        <w:t xml:space="preserve">2. </w:t>
      </w:r>
      <w:r>
        <w:t xml:space="preserve">Compléter un prix unitaire valide.</w:t>
      </w:r>
    </w:p>
    <w:p>
      <w:pPr>
        <w:spacing w:after="80"/>
        <w:ind w:left="360"/>
      </w:pPr>
      <w:r>
        <w:rPr>
          <w:b/>
          <w:bCs/>
        </w:rPr>
        <w:t xml:space="preserve">3. </w:t>
      </w:r>
      <w:r>
        <w:t xml:space="preserve">Observer la ventilation par taux de TVA (</w:t>
      </w:r>
      <w:r>
        <w:rPr>
          <w:rFonts w:ascii="Consolas" w:cs="Consolas" w:eastAsia="Consolas" w:hAnsi="Consolas"/>
          <w:sz w:val="20"/>
          <w:szCs w:val="20"/>
          <w:shd w:fill="EEEEEE" w:val="clear"/>
        </w:rPr>
        <w:t xml:space="preserve">vatBreakdownTag(rate)</w:t>
      </w:r>
      <w:r>
        <w:t xml:space="preserve">) en bas de la feuille.</w:t>
      </w:r>
    </w:p>
    <w:p>
      <w:pPr>
        <w:spacing w:after="120"/>
      </w:pPr>
      <w:r>
        <w:rPr>
          <w:b/>
          <w:bCs/>
        </w:rPr>
        <w:t xml:space="preserve">Résultat attendu :</w:t>
      </w:r>
    </w:p>
    <w:p>
      <w:pPr>
        <w:pStyle w:val="ListParagraph"/>
        <w:numPr>
          <w:ilvl w:val="0"/>
          <w:numId w:val="1"/>
        </w:numPr>
        <w:spacing w:after="80"/>
      </w:pPr>
      <w:r>
        <w:t xml:space="preserve">Étape 1 : le total affiche 0 tant que la ligne est incomplète (pas d'erreur brute, un montant neutre).</w:t>
      </w:r>
    </w:p>
    <w:p>
      <w:pPr>
        <w:pStyle w:val="ListParagraph"/>
        <w:numPr>
          <w:ilvl w:val="0"/>
          <w:numId w:val="1"/>
        </w:numPr>
        <w:spacing w:after="80"/>
      </w:pPr>
      <w:r>
        <w:t xml:space="preserve">Étape 2-3 : totaux HT/TVA/TTC et ventilation par taux mis à jour immédiatement, alignés à droite au format « Libellé : montant ».</w:t>
      </w:r>
    </w:p>
    <w:p>
      <w:pPr>
        <w:pStyle w:val="Heading2"/>
        <w:spacing w:after="140" w:before="260"/>
      </w:pPr>
      <w:r>
        <w:t xml:space="preserve">[MOB-INV-15] Persistance du mode après rotation</w:t>
      </w:r>
    </w:p>
    <w:p>
      <w:pPr>
        <w:spacing w:after="120"/>
      </w:pPr>
      <w:r>
        <w:rPr>
          <w:b/>
          <w:bCs/>
        </w:rPr>
        <w:t xml:space="preserve">Type :</w:t>
      </w:r>
      <w:r>
        <w:t xml:space="preserve"> Passant / non-régression</w:t>
      </w:r>
    </w:p>
    <w:p>
      <w:pPr>
        <w:spacing w:after="120"/>
      </w:pPr>
      <w:r>
        <w:rPr>
          <w:b/>
          <w:bCs/>
        </w:rPr>
        <w:t xml:space="preserve">Préconditions :</w:t>
      </w:r>
      <w:r>
        <w:t xml:space="preserve"> Mode Page Blanche sélectionné.</w:t>
      </w:r>
    </w:p>
    <w:p>
      <w:pPr>
        <w:spacing w:after="120"/>
      </w:pPr>
      <w:r>
        <w:rPr>
          <w:b/>
          <w:bCs/>
        </w:rPr>
        <w:t xml:space="preserve">Actions :</w:t>
      </w:r>
    </w:p>
    <w:p>
      <w:pPr>
        <w:spacing w:after="80"/>
        <w:ind w:left="360"/>
      </w:pPr>
      <w:r>
        <w:rPr>
          <w:b/>
          <w:bCs/>
        </w:rPr>
        <w:t xml:space="preserve">1. </w:t>
      </w:r>
      <w:r>
        <w:t xml:space="preserve">Faire pivoter l'appareil (portrait → paysage → portrait), ou provoquer une recomposition (changement de fenêtre).</w:t>
      </w:r>
    </w:p>
    <w:p>
      <w:pPr>
        <w:spacing w:after="120"/>
      </w:pPr>
      <w:r>
        <w:rPr>
          <w:b/>
          <w:bCs/>
        </w:rPr>
        <w:t xml:space="preserve">Résultat attendu :</w:t>
      </w:r>
      <w:r>
        <w:t xml:space="preserve"> le mode Page Blanche reste sélectionné après la rotation (état conservé via </w:t>
      </w:r>
      <w:r>
        <w:rPr>
          <w:rFonts w:ascii="Consolas" w:cs="Consolas" w:eastAsia="Consolas" w:hAnsi="Consolas"/>
          <w:sz w:val="20"/>
          <w:szCs w:val="20"/>
          <w:shd w:fill="EEEEEE" w:val="clear"/>
        </w:rPr>
        <w:t xml:space="preserve">rememberSaveable</w:t>
      </w:r>
      <w:r>
        <w:t xml:space="preserve">).</w:t>
      </w:r>
    </w:p>
    <w:p>
      <w:pPr>
        <w:pStyle w:val="Heading2"/>
        <w:spacing w:after="140" w:before="260"/>
      </w:pPr>
      <w:r>
        <w:t xml:space="preserve">4.3 Devis</w:t>
      </w:r>
    </w:p>
    <w:p>
      <w:pPr>
        <w:pBdr>
          <w:left w:val="single" w:color="D4A017" w:sz="18" w:space="8"/>
        </w:pBdr>
        <w:shd w:fill="FFF4CE" w:val="clear"/>
        <w:spacing w:after="160" w:before="100"/>
        <w:ind w:left="215"/>
      </w:pPr>
      <w:r>
        <w:rPr>
          <w:i/>
          <w:iCs/>
        </w:rPr>
        <w:t xml:space="preserve">⚠️ Non-régression à vérifier : l'écran Devis utilise des libellés </w:t>
      </w:r>
      <w:r>
        <w:rPr>
          <w:b/>
          <w:bCs/>
          <w:i/>
          <w:iCs/>
        </w:rPr>
        <w:t xml:space="preserve">français codés en dur</w:t>
      </w:r>
      <w:r>
        <w:rPr>
          <w:i/>
          <w:iCs/>
        </w:rPr>
        <w:t xml:space="preserve">, hors système i18n — il ne bascule pas en anglais avec le sélecteur de langue (contrairement au formulaire de facture).</w:t>
      </w:r>
    </w:p>
    <w:p>
      <w:pPr>
        <w:pStyle w:val="Heading2"/>
        <w:spacing w:after="140" w:before="260"/>
      </w:pPr>
      <w:r>
        <w:t xml:space="preserve">[MOB-QUO-01] Création d'un devis — nominal</w:t>
      </w:r>
    </w:p>
    <w:p>
      <w:pPr>
        <w:spacing w:after="120"/>
      </w:pPr>
      <w:r>
        <w:rPr>
          <w:b/>
          <w:bCs/>
        </w:rPr>
        <w:t xml:space="preserve">Type :</w:t>
      </w:r>
      <w:r>
        <w:t xml:space="preserve"> Passant</w:t>
      </w:r>
    </w:p>
    <w:p>
      <w:pPr>
        <w:spacing w:after="120"/>
      </w:pPr>
      <w:r>
        <w:rPr>
          <w:b/>
          <w:bCs/>
        </w:rPr>
        <w:t xml:space="preserve">Préconditions :</w:t>
      </w:r>
      <w:r>
        <w:t xml:space="preserve"> Accès au formulaire Devis (</w:t>
      </w:r>
      <w:r>
        <w:rPr>
          <w:rFonts w:ascii="Consolas" w:cs="Consolas" w:eastAsia="Consolas" w:hAnsi="Consolas"/>
          <w:sz w:val="20"/>
          <w:szCs w:val="20"/>
          <w:shd w:fill="EEEEEE" w:val="clear"/>
        </w:rPr>
        <w:t xml:space="preserve">quote_form_screen</w:t>
      </w:r>
      <w:r>
        <w:t xml:space="preserve">), en général depuis la relance d'un devis existant ou une action de création dédiée.</w:t>
      </w:r>
    </w:p>
    <w:p>
      <w:pPr>
        <w:spacing w:after="120"/>
      </w:pPr>
      <w:r>
        <w:rPr>
          <w:b/>
          <w:bCs/>
        </w:rPr>
        <w:t xml:space="preserve">Actions :</w:t>
      </w:r>
    </w:p>
    <w:p>
      <w:pPr>
        <w:spacing w:after="80"/>
        <w:ind w:left="360"/>
      </w:pPr>
      <w:r>
        <w:rPr>
          <w:b/>
          <w:bCs/>
        </w:rPr>
        <w:t xml:space="preserve">1. </w:t>
      </w:r>
      <w:r>
        <w:t xml:space="preserve">Renseigner Numéro de devis, Date d'émission, Date de validité.</w:t>
      </w:r>
    </w:p>
    <w:p>
      <w:pPr>
        <w:spacing w:after="80"/>
        <w:ind w:left="360"/>
      </w:pPr>
      <w:r>
        <w:rPr>
          <w:b/>
          <w:bCs/>
        </w:rPr>
        <w:t xml:space="preserve">2. </w:t>
      </w:r>
      <w:r>
        <w:t xml:space="preserve">Renseigner Émetteur (nom/SIREN/SIRET) si non déjà pré-rempli.</w:t>
      </w:r>
    </w:p>
    <w:p>
      <w:pPr>
        <w:spacing w:after="80"/>
        <w:ind w:left="360"/>
      </w:pPr>
      <w:r>
        <w:rPr>
          <w:b/>
          <w:bCs/>
        </w:rPr>
        <w:t xml:space="preserve">3. </w:t>
      </w:r>
      <w:r>
        <w:t xml:space="preserve">Sélectionner un destinataire via le sélecteur de client, puis SIREN/SIRET destinataire.</w:t>
      </w:r>
    </w:p>
    <w:p>
      <w:pPr>
        <w:spacing w:after="80"/>
        <w:ind w:left="360"/>
      </w:pPr>
      <w:r>
        <w:rPr>
          <w:b/>
          <w:bCs/>
        </w:rPr>
        <w:t xml:space="preserve">4. </w:t>
      </w:r>
      <w:r>
        <w:t xml:space="preserve">Ajouter une ligne (libellé, qté, PU HT, taux de TVA).</w:t>
      </w:r>
    </w:p>
    <w:p>
      <w:pPr>
        <w:spacing w:after="80"/>
        <w:ind w:left="360"/>
      </w:pPr>
      <w:r>
        <w:rPr>
          <w:b/>
          <w:bCs/>
        </w:rPr>
        <w:t xml:space="preserve">5. </w:t>
      </w:r>
      <w:r>
        <w:t xml:space="preserve">Taper « Créer le devis ».</w:t>
      </w:r>
    </w:p>
    <w:p>
      <w:pPr>
        <w:spacing w:after="120"/>
      </w:pPr>
      <w:r>
        <w:rPr>
          <w:b/>
          <w:bCs/>
        </w:rPr>
        <w:t xml:space="preserve">Résultat attendu :</w:t>
      </w:r>
      <w:r>
        <w:t xml:space="preserve"> message « Devis créé avec succès » ; aucun panneau de conformité, aucune bascule Factur-X ni B2B n'existe sur cet écran (absents par construction — le devis n'est pas une pièce Factur-X).</w:t>
      </w:r>
    </w:p>
    <w:p>
      <w:pPr>
        <w:pStyle w:val="Heading2"/>
        <w:spacing w:after="140" w:before="260"/>
      </w:pPr>
      <w:r>
        <w:t xml:space="preserve">[MOB-QUO-02] Validation — champs obligatoires</w:t>
      </w:r>
    </w:p>
    <w:p>
      <w:pPr>
        <w:spacing w:after="120"/>
      </w:pPr>
      <w:r>
        <w:rPr>
          <w:b/>
          <w:bCs/>
        </w:rPr>
        <w:t xml:space="preserve">Type :</w:t>
      </w:r>
      <w:r>
        <w:t xml:space="preserve"> Non passant</w:t>
      </w:r>
    </w:p>
    <w:p>
      <w:pPr>
        <w:spacing w:after="120"/>
      </w:pPr>
      <w:r>
        <w:rPr>
          <w:b/>
          <w:bCs/>
        </w:rPr>
        <w:t xml:space="preserve">Préconditions :</w:t>
      </w:r>
      <w:r>
        <w:t xml:space="preserve"> Formulaire Devis partiellement rempli.</w:t>
      </w:r>
    </w:p>
    <w:p>
      <w:pPr>
        <w:spacing w:after="120"/>
      </w:pPr>
      <w:r>
        <w:rPr>
          <w:b/>
          <w:bCs/>
        </w:rPr>
        <w:t xml:space="preserve">Actions :</w:t>
      </w:r>
    </w:p>
    <w:p>
      <w:pPr>
        <w:spacing w:after="80"/>
        <w:ind w:left="360"/>
      </w:pPr>
      <w:r>
        <w:rPr>
          <w:b/>
          <w:bCs/>
        </w:rPr>
        <w:t xml:space="preserve">1. </w:t>
      </w:r>
      <w:r>
        <w:t xml:space="preserve">Laisser le Numéro de devis vide, taper « Créer le devis ».</w:t>
      </w:r>
    </w:p>
    <w:p>
      <w:pPr>
        <w:spacing w:after="120"/>
      </w:pPr>
      <w:r>
        <w:rPr>
          <w:b/>
          <w:bCs/>
        </w:rPr>
        <w:t xml:space="preserve">Résultat attendu :</w:t>
      </w:r>
      <w:r>
        <w:t xml:space="preserve"> erreur « Le numéro de devis est requis ». Mêmes règles de dates (« Date attendue au format AAAA-MM-JJ ») et de lignes que le formulaire de facture (« Le libellé est requis », « La quantité doit être un entier positif », « Le prix unitaire HT doit être un montant positif »).</w:t>
      </w:r>
    </w:p>
    <w:p>
      <w:pPr>
        <w:pStyle w:val="Heading2"/>
        <w:spacing w:after="140" w:before="260"/>
      </w:pPr>
      <w:r>
        <w:t xml:space="preserve">[MOB-QUO-03] Non-régression — le formulaire Devis ignore la bascule de langue</w:t>
      </w:r>
    </w:p>
    <w:p>
      <w:pPr>
        <w:spacing w:after="120"/>
      </w:pPr>
      <w:r>
        <w:rPr>
          <w:b/>
          <w:bCs/>
        </w:rPr>
        <w:t xml:space="preserve">Type :</w:t>
      </w:r>
      <w:r>
        <w:t xml:space="preserve"> Non passant / non-régression</w:t>
      </w:r>
    </w:p>
    <w:p>
      <w:pPr>
        <w:spacing w:after="120"/>
      </w:pPr>
      <w:r>
        <w:rPr>
          <w:b/>
          <w:bCs/>
        </w:rPr>
        <w:t xml:space="preserve">Préconditions :</w:t>
      </w:r>
      <w:r>
        <w:t xml:space="preserve"> Formulaire Devis ouvert.</w:t>
      </w:r>
    </w:p>
    <w:p>
      <w:pPr>
        <w:spacing w:after="120"/>
      </w:pPr>
      <w:r>
        <w:rPr>
          <w:b/>
          <w:bCs/>
        </w:rPr>
        <w:t xml:space="preserve">Actions :</w:t>
      </w:r>
    </w:p>
    <w:p>
      <w:pPr>
        <w:spacing w:after="80"/>
        <w:ind w:left="360"/>
      </w:pPr>
      <w:r>
        <w:rPr>
          <w:b/>
          <w:bCs/>
        </w:rPr>
        <w:t xml:space="preserve">1. </w:t>
      </w:r>
      <w:r>
        <w:t xml:space="preserve">Basculer la langue en EN via l'en-tête.</w:t>
      </w:r>
    </w:p>
    <w:p>
      <w:pPr>
        <w:spacing w:after="120"/>
      </w:pPr>
      <w:r>
        <w:rPr>
          <w:b/>
          <w:bCs/>
        </w:rPr>
        <w:t xml:space="preserve">Résultat attendu :</w:t>
      </w:r>
      <w:r>
        <w:t xml:space="preserve"> les libellés du formulaire Devis (« Devis », « Numéro de devis », « Émetteur », « Destinataire »…) </w:t>
      </w:r>
      <w:r>
        <w:rPr>
          <w:b/>
          <w:bCs/>
        </w:rPr>
        <w:t xml:space="preserve">restent en français</w:t>
      </w:r>
      <w:r>
        <w:t xml:space="preserve"> — à consigner comme incohérence produit connue, pas comme un bug bloquant nouveau.</w:t>
      </w:r>
    </w:p>
    <w:p>
      <w:pPr>
        <w:pStyle w:val="Heading2"/>
        <w:spacing w:after="140" w:before="260"/>
      </w:pPr>
      <w:r>
        <w:t xml:space="preserve">4.4 Liste des factures &amp; filtres</w:t>
      </w:r>
    </w:p>
    <w:p>
      <w:pPr>
        <w:pStyle w:val="Heading2"/>
        <w:spacing w:after="140" w:before="260"/>
      </w:pPr>
      <w:r>
        <w:t xml:space="preserve">[MOB-INV-16] Filtrage par statut</w:t>
      </w:r>
    </w:p>
    <w:p>
      <w:pPr>
        <w:spacing w:after="120"/>
      </w:pPr>
      <w:r>
        <w:rPr>
          <w:b/>
          <w:bCs/>
        </w:rPr>
        <w:t xml:space="preserve">Type :</w:t>
      </w:r>
      <w:r>
        <w:t xml:space="preserve"> Passant</w:t>
      </w:r>
    </w:p>
    <w:p>
      <w:pPr>
        <w:spacing w:after="120"/>
      </w:pPr>
      <w:r>
        <w:rPr>
          <w:b/>
          <w:bCs/>
        </w:rPr>
        <w:t xml:space="preserve">Préconditions :</w:t>
      </w:r>
      <w:r>
        <w:t xml:space="preserve"> Onglet Factures, plusieurs factures de statuts variés en base.</w:t>
      </w:r>
    </w:p>
    <w:p>
      <w:pPr>
        <w:spacing w:after="120"/>
      </w:pPr>
      <w:r>
        <w:rPr>
          <w:b/>
          <w:bCs/>
        </w:rPr>
        <w:t xml:space="preserve">Actions :</w:t>
      </w:r>
    </w:p>
    <w:p>
      <w:pPr>
        <w:spacing w:after="80"/>
        <w:ind w:left="360"/>
      </w:pPr>
      <w:r>
        <w:rPr>
          <w:b/>
          <w:bCs/>
        </w:rPr>
        <w:t xml:space="preserve">1. </w:t>
      </w:r>
      <w:r>
        <w:t xml:space="preserve">Taper successivement les puces de filtre : Toutes, Brouillons, Déposées, Approuvées, Encaissées, En retard, Rejetées, Refusées, Annulées.</w:t>
      </w:r>
    </w:p>
    <w:p>
      <w:pPr>
        <w:spacing w:after="120"/>
      </w:pPr>
      <w:r>
        <w:rPr>
          <w:b/>
          <w:bCs/>
        </w:rPr>
        <w:t xml:space="preserve">Résultat attendu :</w:t>
      </w:r>
      <w:r>
        <w:t xml:space="preserve"> la liste ne montre que les factures dont le statut correspond au filtre actif à chaque tap ; « Toutes » réaffiche l'ensemble.</w:t>
      </w:r>
    </w:p>
    <w:p>
      <w:pPr>
        <w:pStyle w:val="Heading2"/>
        <w:spacing w:after="140" w:before="260"/>
      </w:pPr>
      <w:r>
        <w:t xml:space="preserve">[MOB-INV-17] Liste vide sur un filtre sans résultat</w:t>
      </w:r>
    </w:p>
    <w:p>
      <w:pPr>
        <w:spacing w:after="120"/>
      </w:pPr>
      <w:r>
        <w:rPr>
          <w:b/>
          <w:bCs/>
        </w:rPr>
        <w:t xml:space="preserve">Type :</w:t>
      </w:r>
      <w:r>
        <w:t xml:space="preserve"> Non passant / cas limite</w:t>
      </w:r>
    </w:p>
    <w:p>
      <w:pPr>
        <w:spacing w:after="120"/>
      </w:pPr>
      <w:r>
        <w:rPr>
          <w:b/>
          <w:bCs/>
        </w:rPr>
        <w:t xml:space="preserve">Préconditions :</w:t>
      </w:r>
      <w:r>
        <w:t xml:space="preserve"> Aucune facture au statut « Rejetées ».</w:t>
      </w:r>
    </w:p>
    <w:p>
      <w:pPr>
        <w:spacing w:after="120"/>
      </w:pPr>
      <w:r>
        <w:rPr>
          <w:b/>
          <w:bCs/>
        </w:rPr>
        <w:t xml:space="preserve">Actions :</w:t>
      </w:r>
    </w:p>
    <w:p>
      <w:pPr>
        <w:spacing w:after="80"/>
        <w:ind w:left="360"/>
      </w:pPr>
      <w:r>
        <w:rPr>
          <w:b/>
          <w:bCs/>
        </w:rPr>
        <w:t xml:space="preserve">1. </w:t>
      </w:r>
      <w:r>
        <w:t xml:space="preserve">Sélectionner le filtre « Rejetées ».</w:t>
      </w:r>
    </w:p>
    <w:p>
      <w:pPr>
        <w:spacing w:after="120"/>
      </w:pPr>
      <w:r>
        <w:rPr>
          <w:b/>
          <w:bCs/>
        </w:rPr>
        <w:t xml:space="preserve">Résultat attendu :</w:t>
      </w:r>
      <w:r>
        <w:t xml:space="preserve"> message d'état vide (</w:t>
      </w:r>
      <w:r>
        <w:rPr>
          <w:rFonts w:ascii="Consolas" w:cs="Consolas" w:eastAsia="Consolas" w:hAnsi="Consolas"/>
          <w:sz w:val="20"/>
          <w:szCs w:val="20"/>
          <w:shd w:fill="EEEEEE" w:val="clear"/>
        </w:rPr>
        <w:t xml:space="preserve">invoice_list_empty</w:t>
      </w:r>
      <w:r>
        <w:t xml:space="preserve">), pas une liste blanche silencieuse.</w:t>
      </w:r>
    </w:p>
    <w:p>
      <w:pPr>
        <w:pStyle w:val="Heading2"/>
        <w:spacing w:after="140" w:before="260"/>
      </w:pPr>
      <w:r>
        <w:t xml:space="preserve">[MOB-INV-18] Cadenas sur une facture verrouillée</w:t>
      </w:r>
    </w:p>
    <w:p>
      <w:pPr>
        <w:spacing w:after="120"/>
      </w:pPr>
      <w:r>
        <w:rPr>
          <w:b/>
          <w:bCs/>
        </w:rPr>
        <w:t xml:space="preserve">Type :</w:t>
      </w:r>
      <w:r>
        <w:t xml:space="preserve"> Passant / non-régression</w:t>
      </w:r>
    </w:p>
    <w:p>
      <w:pPr>
        <w:spacing w:after="120"/>
      </w:pPr>
      <w:r>
        <w:rPr>
          <w:b/>
          <w:bCs/>
        </w:rPr>
        <w:t xml:space="preserve">Préconditions :</w:t>
      </w:r>
      <w:r>
        <w:t xml:space="preserve"> Une facture au statut Brouillon et une autre au statut Déposée.</w:t>
      </w:r>
    </w:p>
    <w:p>
      <w:pPr>
        <w:spacing w:after="120"/>
      </w:pPr>
      <w:r>
        <w:rPr>
          <w:b/>
          <w:bCs/>
        </w:rPr>
        <w:t xml:space="preserve">Actions :</w:t>
      </w:r>
    </w:p>
    <w:p>
      <w:pPr>
        <w:spacing w:after="80"/>
        <w:ind w:left="360"/>
      </w:pPr>
      <w:r>
        <w:rPr>
          <w:b/>
          <w:bCs/>
        </w:rPr>
        <w:t xml:space="preserve">1. </w:t>
      </w:r>
      <w:r>
        <w:t xml:space="preserve">Observer les deux cartes dans la liste.</w:t>
      </w:r>
    </w:p>
    <w:p>
      <w:pPr>
        <w:spacing w:after="120"/>
      </w:pPr>
      <w:r>
        <w:rPr>
          <w:b/>
          <w:bCs/>
        </w:rPr>
        <w:t xml:space="preserve">Résultat attendu :</w:t>
      </w:r>
      <w:r>
        <w:t xml:space="preserve"> la carte de la facture Déposée affiche une icône de cadenas ; la carte Brouillon n'en affiche aucune.</w:t>
      </w:r>
    </w:p>
    <w:p>
      <w:pPr>
        <w:pStyle w:val="Heading2"/>
        <w:spacing w:after="140" w:before="260"/>
      </w:pPr>
      <w:r>
        <w:t xml:space="preserve">[MOB-INV-19] Action « Créer un avoir » proposée sous une facture éligible</w:t>
      </w:r>
    </w:p>
    <w:p>
      <w:pPr>
        <w:spacing w:after="120"/>
      </w:pPr>
      <w:r>
        <w:rPr>
          <w:b/>
          <w:bCs/>
        </w:rPr>
        <w:t xml:space="preserve">Type :</w:t>
      </w:r>
      <w:r>
        <w:t xml:space="preserve"> Passant</w:t>
      </w:r>
    </w:p>
    <w:p>
      <w:pPr>
        <w:spacing w:after="120"/>
      </w:pPr>
      <w:r>
        <w:rPr>
          <w:b/>
          <w:bCs/>
        </w:rPr>
        <w:t xml:space="preserve">Préconditions :</w:t>
      </w:r>
      <w:r>
        <w:t xml:space="preserve"> Une facture finalisée (Déposée/Approuvée/Encaissée) non encore créditée.</w:t>
      </w:r>
    </w:p>
    <w:p>
      <w:pPr>
        <w:spacing w:after="120"/>
      </w:pPr>
      <w:r>
        <w:rPr>
          <w:b/>
          <w:bCs/>
        </w:rPr>
        <w:t xml:space="preserve">Actions :</w:t>
      </w:r>
    </w:p>
    <w:p>
      <w:pPr>
        <w:spacing w:after="80"/>
        <w:ind w:left="360"/>
      </w:pPr>
      <w:r>
        <w:rPr>
          <w:b/>
          <w:bCs/>
        </w:rPr>
        <w:t xml:space="preserve">1. </w:t>
      </w:r>
      <w:r>
        <w:t xml:space="preserve">Repérer la carte de cette facture dans la liste.</w:t>
      </w:r>
    </w:p>
    <w:p>
      <w:pPr>
        <w:spacing w:after="120"/>
      </w:pPr>
      <w:r>
        <w:rPr>
          <w:b/>
          <w:bCs/>
        </w:rPr>
        <w:t xml:space="preserve">Résultat attendu :</w:t>
      </w:r>
      <w:r>
        <w:t xml:space="preserve"> un bouton/lien « Créer un avoir » est visible sous cette carte (</w:t>
      </w:r>
      <w:r>
        <w:rPr>
          <w:rFonts w:ascii="Consolas" w:cs="Consolas" w:eastAsia="Consolas" w:hAnsi="Consolas"/>
          <w:sz w:val="20"/>
          <w:szCs w:val="20"/>
          <w:shd w:fill="EEEEEE" w:val="clear"/>
        </w:rPr>
        <w:t xml:space="preserve">creditNoteAction(number)</w:t>
      </w:r>
      <w:r>
        <w:t xml:space="preserve">) ; il est </w:t>
      </w:r>
      <w:r>
        <w:rPr>
          <w:b/>
          <w:bCs/>
        </w:rPr>
        <w:t xml:space="preserve">absent</w:t>
      </w:r>
      <w:r>
        <w:t xml:space="preserve"> sous une facture déjà créditée ou encore au statut Brouillon.</w:t>
      </w:r>
    </w:p>
    <w:p>
      <w:pPr>
        <w:pStyle w:val="Heading2"/>
        <w:spacing w:after="140" w:before="260"/>
      </w:pPr>
      <w:r>
        <w:t xml:space="preserve">[MOB-INV-20] Échec de chargement — nouvelle tentative</w:t>
      </w:r>
    </w:p>
    <w:p>
      <w:pPr>
        <w:spacing w:after="120"/>
      </w:pPr>
      <w:r>
        <w:rPr>
          <w:b/>
          <w:bCs/>
        </w:rPr>
        <w:t xml:space="preserve">Type :</w:t>
      </w:r>
      <w:r>
        <w:t xml:space="preserve"> Non passant</w:t>
      </w:r>
    </w:p>
    <w:p>
      <w:pPr>
        <w:spacing w:after="120"/>
      </w:pPr>
      <w:r>
        <w:rPr>
          <w:b/>
          <w:bCs/>
        </w:rPr>
        <w:t xml:space="preserve">Préconditions :</w:t>
      </w:r>
      <w:r>
        <w:t xml:space="preserve"> Backend local indisponible.</w:t>
      </w:r>
    </w:p>
    <w:p>
      <w:pPr>
        <w:spacing w:after="120"/>
      </w:pPr>
      <w:r>
        <w:rPr>
          <w:b/>
          <w:bCs/>
        </w:rPr>
        <w:t xml:space="preserve">Actions :</w:t>
      </w:r>
    </w:p>
    <w:p>
      <w:pPr>
        <w:spacing w:after="80"/>
        <w:ind w:left="360"/>
      </w:pPr>
      <w:r>
        <w:rPr>
          <w:b/>
          <w:bCs/>
        </w:rPr>
        <w:t xml:space="preserve">1. </w:t>
      </w:r>
      <w:r>
        <w:t xml:space="preserve">Ouvrir l'onglet Factures.</w:t>
      </w:r>
    </w:p>
    <w:p>
      <w:pPr>
        <w:spacing w:after="80"/>
        <w:ind w:left="360"/>
      </w:pPr>
      <w:r>
        <w:rPr>
          <w:b/>
          <w:bCs/>
        </w:rPr>
        <w:t xml:space="preserve">2. </w:t>
      </w:r>
      <w:r>
        <w:t xml:space="preserve">Taper le bouton de nouvelle tentative (</w:t>
      </w:r>
      <w:r>
        <w:rPr>
          <w:rFonts w:ascii="Consolas" w:cs="Consolas" w:eastAsia="Consolas" w:hAnsi="Consolas"/>
          <w:sz w:val="20"/>
          <w:szCs w:val="20"/>
          <w:shd w:fill="EEEEEE" w:val="clear"/>
        </w:rPr>
        <w:t xml:space="preserve">invoice_list_retry_button</w:t>
      </w:r>
      <w:r>
        <w:t xml:space="preserve">).</w:t>
      </w:r>
    </w:p>
    <w:p>
      <w:pPr>
        <w:spacing w:after="120"/>
      </w:pPr>
      <w:r>
        <w:rPr>
          <w:b/>
          <w:bCs/>
        </w:rPr>
        <w:t xml:space="preserve">Résultat attendu :</w:t>
      </w:r>
      <w:r>
        <w:t xml:space="preserve"> message « Impossible de joindre le serveur Ledger local. Vérifiez que le backend de développement est démarré, puis réessayez. » ; le bouton relance le chargement sans redémarrer l'application.</w:t>
      </w:r>
    </w:p>
    <w:p>
      <w:pPr>
        <w:pStyle w:val="Heading2"/>
        <w:spacing w:after="140" w:before="260"/>
      </w:pPr>
      <w:r>
        <w:t xml:space="preserve">4.5 Détail d'une facture — cycle de vie &amp; verrouillage</w:t>
      </w:r>
    </w:p>
    <w:p>
      <w:pPr>
        <w:pStyle w:val="Heading2"/>
        <w:spacing w:after="140" w:before="260"/>
      </w:pPr>
      <w:r>
        <w:t xml:space="preserve">[MOB-INV-21] Facture Brouillon — édition libre</w:t>
      </w:r>
    </w:p>
    <w:p>
      <w:pPr>
        <w:spacing w:after="120"/>
      </w:pPr>
      <w:r>
        <w:rPr>
          <w:b/>
          <w:bCs/>
        </w:rPr>
        <w:t xml:space="preserve">Type :</w:t>
      </w:r>
      <w:r>
        <w:t xml:space="preserve"> Passant</w:t>
      </w:r>
    </w:p>
    <w:p>
      <w:pPr>
        <w:spacing w:after="120"/>
      </w:pPr>
      <w:r>
        <w:rPr>
          <w:b/>
          <w:bCs/>
        </w:rPr>
        <w:t xml:space="preserve">Préconditions :</w:t>
      </w:r>
      <w:r>
        <w:t xml:space="preserve"> Ouvrir le détail d'une facture au statut Brouillon.</w:t>
      </w:r>
    </w:p>
    <w:p>
      <w:pPr>
        <w:spacing w:after="120"/>
      </w:pPr>
      <w:r>
        <w:rPr>
          <w:b/>
          <w:bCs/>
        </w:rPr>
        <w:t xml:space="preserve">Actions :</w:t>
      </w:r>
    </w:p>
    <w:p>
      <w:pPr>
        <w:spacing w:after="80"/>
        <w:ind w:left="360"/>
      </w:pPr>
      <w:r>
        <w:rPr>
          <w:b/>
          <w:bCs/>
        </w:rPr>
        <w:t xml:space="preserve">1. </w:t>
      </w:r>
      <w:r>
        <w:t xml:space="preserve">Taper « Modifier ».</w:t>
      </w:r>
    </w:p>
    <w:p>
      <w:pPr>
        <w:spacing w:after="120"/>
      </w:pPr>
      <w:r>
        <w:rPr>
          <w:b/>
          <w:bCs/>
        </w:rPr>
        <w:t xml:space="preserve">Résultat attendu :</w:t>
      </w:r>
      <w:r>
        <w:t xml:space="preserve"> le bouton est actif (non grisé) ; le formulaire de facture s'ouvre pré-rempli, entièrement modifiable.</w:t>
      </w:r>
    </w:p>
    <w:p>
      <w:pPr>
        <w:pStyle w:val="Heading2"/>
        <w:spacing w:after="140" w:before="260"/>
      </w:pPr>
      <w:r>
        <w:t xml:space="preserve">[MOB-INV-22] Facture Déposée — édition bloquée</w:t>
      </w:r>
    </w:p>
    <w:p>
      <w:pPr>
        <w:spacing w:after="120"/>
      </w:pPr>
      <w:r>
        <w:rPr>
          <w:b/>
          <w:bCs/>
        </w:rPr>
        <w:t xml:space="preserve">Type :</w:t>
      </w:r>
      <w:r>
        <w:t xml:space="preserve"> Non passant / non-régression</w:t>
      </w:r>
    </w:p>
    <w:p>
      <w:pPr>
        <w:spacing w:after="120"/>
      </w:pPr>
      <w:r>
        <w:rPr>
          <w:b/>
          <w:bCs/>
        </w:rPr>
        <w:t xml:space="preserve">Préconditions :</w:t>
      </w:r>
      <w:r>
        <w:t xml:space="preserve"> Détail d'une facture au statut Déposée.</w:t>
      </w:r>
    </w:p>
    <w:p>
      <w:pPr>
        <w:spacing w:after="120"/>
      </w:pPr>
      <w:r>
        <w:rPr>
          <w:b/>
          <w:bCs/>
        </w:rPr>
        <w:t xml:space="preserve">Actions :</w:t>
      </w:r>
    </w:p>
    <w:p>
      <w:pPr>
        <w:spacing w:after="80"/>
        <w:ind w:left="360"/>
      </w:pPr>
      <w:r>
        <w:rPr>
          <w:b/>
          <w:bCs/>
        </w:rPr>
        <w:t xml:space="preserve">1. </w:t>
      </w:r>
      <w:r>
        <w:t xml:space="preserve">Observer le bouton « Modifier ».</w:t>
      </w:r>
    </w:p>
    <w:p>
      <w:pPr>
        <w:spacing w:after="80"/>
        <w:ind w:left="360"/>
      </w:pPr>
      <w:r>
        <w:rPr>
          <w:b/>
          <w:bCs/>
        </w:rPr>
        <w:t xml:space="preserve">2. </w:t>
      </w:r>
      <w:r>
        <w:t xml:space="preserve">Taper dessus malgré tout.</w:t>
      </w:r>
    </w:p>
    <w:p>
      <w:pPr>
        <w:spacing w:after="120"/>
      </w:pPr>
      <w:r>
        <w:rPr>
          <w:b/>
          <w:bCs/>
        </w:rPr>
        <w:t xml:space="preserve">Résultat attendu :</w:t>
      </w:r>
      <w:r>
        <w:t xml:space="preserve"> le bouton est visuellement </w:t>
      </w:r>
      <w:r>
        <w:rPr>
          <w:b/>
          <w:bCs/>
        </w:rPr>
        <w:t xml:space="preserve">désactivé</w:t>
      </w:r>
      <w:r>
        <w:t xml:space="preserve"> ; un texte d'aide avec un cadenas rappelle qu'elle est verrouillée ; un tap sur le bouton désactivé ne déclenche </w:t>
      </w:r>
      <w:r>
        <w:rPr>
          <w:b/>
          <w:bCs/>
        </w:rPr>
        <w:t xml:space="preserve">aucune</w:t>
      </w:r>
      <w:r>
        <w:t xml:space="preserve"> navigation vers le formulaire.</w:t>
      </w:r>
    </w:p>
    <w:p>
      <w:pPr>
        <w:pStyle w:val="Heading2"/>
        <w:spacing w:after="140" w:before="260"/>
      </w:pPr>
      <w:r>
        <w:t xml:space="preserve">[MOB-INV-23] Facture Encaissée (PAID) — édition bloquée</w:t>
      </w:r>
    </w:p>
    <w:p>
      <w:pPr>
        <w:spacing w:after="120"/>
      </w:pPr>
      <w:r>
        <w:rPr>
          <w:b/>
          <w:bCs/>
        </w:rPr>
        <w:t xml:space="preserve">Type :</w:t>
      </w:r>
      <w:r>
        <w:t xml:space="preserve"> Non passant / non-régression</w:t>
      </w:r>
    </w:p>
    <w:p>
      <w:pPr>
        <w:spacing w:after="120"/>
      </w:pPr>
      <w:r>
        <w:rPr>
          <w:b/>
          <w:bCs/>
        </w:rPr>
        <w:t xml:space="preserve">Préconditions :</w:t>
      </w:r>
      <w:r>
        <w:t xml:space="preserve"> Détail d'une facture au statut Encaissée.</w:t>
      </w:r>
    </w:p>
    <w:p>
      <w:pPr>
        <w:spacing w:after="120"/>
      </w:pPr>
      <w:r>
        <w:rPr>
          <w:b/>
          <w:bCs/>
        </w:rPr>
        <w:t xml:space="preserve">Actions :</w:t>
      </w:r>
    </w:p>
    <w:p>
      <w:pPr>
        <w:spacing w:after="80"/>
        <w:ind w:left="360"/>
      </w:pPr>
      <w:r>
        <w:rPr>
          <w:b/>
          <w:bCs/>
        </w:rPr>
        <w:t xml:space="preserve">1. </w:t>
      </w:r>
      <w:r>
        <w:t xml:space="preserve">Observer le bouton « Modifier ».</w:t>
      </w:r>
    </w:p>
    <w:p>
      <w:pPr>
        <w:spacing w:after="120"/>
      </w:pPr>
      <w:r>
        <w:rPr>
          <w:b/>
          <w:bCs/>
        </w:rPr>
        <w:t xml:space="preserve">Résultat attendu :</w:t>
      </w:r>
      <w:r>
        <w:t xml:space="preserve"> identique au cas Déposée — bouton désactivé, aide contextuelle affichée.</w:t>
      </w:r>
    </w:p>
    <w:p>
      <w:pPr>
        <w:pStyle w:val="Heading2"/>
        <w:spacing w:after="140" w:before="260"/>
      </w:pPr>
      <w:r>
        <w:t xml:space="preserve">[MOB-INV-24] Facture Annulée — lecture seule totale</w:t>
      </w:r>
    </w:p>
    <w:p>
      <w:pPr>
        <w:spacing w:after="120"/>
      </w:pPr>
      <w:r>
        <w:rPr>
          <w:b/>
          <w:bCs/>
        </w:rPr>
        <w:t xml:space="preserve">Type :</w:t>
      </w:r>
      <w:r>
        <w:t xml:space="preserve"> Non passant / non-régression</w:t>
      </w:r>
    </w:p>
    <w:p>
      <w:pPr>
        <w:spacing w:after="120"/>
      </w:pPr>
      <w:r>
        <w:rPr>
          <w:b/>
          <w:bCs/>
        </w:rPr>
        <w:t xml:space="preserve">Préconditions :</w:t>
      </w:r>
      <w:r>
        <w:t xml:space="preserve"> Détail d'une facture au statut Annulée.</w:t>
      </w:r>
    </w:p>
    <w:p>
      <w:pPr>
        <w:spacing w:after="120"/>
      </w:pPr>
      <w:r>
        <w:rPr>
          <w:b/>
          <w:bCs/>
        </w:rPr>
        <w:t xml:space="preserve">Actions :</w:t>
      </w:r>
    </w:p>
    <w:p>
      <w:pPr>
        <w:spacing w:after="80"/>
        <w:ind w:left="360"/>
      </w:pPr>
      <w:r>
        <w:rPr>
          <w:b/>
          <w:bCs/>
        </w:rPr>
        <w:t xml:space="preserve">1. </w:t>
      </w:r>
      <w:r>
        <w:t xml:space="preserve">Observer l'écran dans son ensemble.</w:t>
      </w:r>
    </w:p>
    <w:p>
      <w:pPr>
        <w:spacing w:after="120"/>
      </w:pPr>
      <w:r>
        <w:rPr>
          <w:b/>
          <w:bCs/>
        </w:rPr>
        <w:t xml:space="preserve">Résultat attendu :</w:t>
      </w:r>
      <w:r>
        <w:t xml:space="preserve"> une bannière rouge de lecture seule s'affiche ; la section de cycle de vie (boutons de transition) </w:t>
      </w:r>
      <w:r>
        <w:rPr>
          <w:b/>
          <w:bCs/>
        </w:rPr>
        <w:t xml:space="preserve">n'existe pas du tout</w:t>
      </w:r>
      <w:r>
        <w:t xml:space="preserve"> dans l'écran — pas seulement désactivée.</w:t>
      </w:r>
    </w:p>
    <w:p>
      <w:pPr>
        <w:pStyle w:val="Heading2"/>
        <w:spacing w:after="140" w:before="260"/>
      </w:pPr>
      <w:r>
        <w:t xml:space="preserve">[MOB-INV-25] Transition DRAFT → DEPOSITED</w:t>
      </w:r>
    </w:p>
    <w:p>
      <w:pPr>
        <w:spacing w:after="120"/>
      </w:pPr>
      <w:r>
        <w:rPr>
          <w:b/>
          <w:bCs/>
        </w:rPr>
        <w:t xml:space="preserve">Type :</w:t>
      </w:r>
      <w:r>
        <w:t xml:space="preserve"> Passant</w:t>
      </w:r>
    </w:p>
    <w:p>
      <w:pPr>
        <w:spacing w:after="120"/>
      </w:pPr>
      <w:r>
        <w:rPr>
          <w:b/>
          <w:bCs/>
        </w:rPr>
        <w:t xml:space="preserve">Préconditions :</w:t>
      </w:r>
      <w:r>
        <w:t xml:space="preserve"> Détail d'une facture Brouillon.</w:t>
      </w:r>
    </w:p>
    <w:p>
      <w:pPr>
        <w:spacing w:after="120"/>
      </w:pPr>
      <w:r>
        <w:rPr>
          <w:b/>
          <w:bCs/>
        </w:rPr>
        <w:t xml:space="preserve">Actions :</w:t>
      </w:r>
    </w:p>
    <w:p>
      <w:pPr>
        <w:spacing w:after="80"/>
        <w:ind w:left="360"/>
      </w:pPr>
      <w:r>
        <w:rPr>
          <w:b/>
          <w:bCs/>
        </w:rPr>
        <w:t xml:space="preserve">1. </w:t>
      </w:r>
      <w:r>
        <w:t xml:space="preserve">Dans la section « Cycle de vie », taper « Marquer déposée ».</w:t>
      </w:r>
    </w:p>
    <w:p>
      <w:pPr>
        <w:spacing w:after="120"/>
      </w:pPr>
      <w:r>
        <w:rPr>
          <w:b/>
          <w:bCs/>
        </w:rPr>
        <w:t xml:space="preserve">Résultat attendu :</w:t>
      </w:r>
      <w:r>
        <w:t xml:space="preserve"> seul ce bouton est proposé depuis Brouillon (aucun bouton « Encaissée »/« Rejetée » n'existe à ce stade) ; après confirmation, le statut passe à Déposée sans exiger de motif.</w:t>
      </w:r>
    </w:p>
    <w:p>
      <w:pPr>
        <w:pStyle w:val="Heading2"/>
        <w:spacing w:after="140" w:before="260"/>
      </w:pPr>
      <w:r>
        <w:t xml:space="preserve">[MOB-INV-26] Transition DEPOSITED → REJECTED (motif obligatoire)</w:t>
      </w:r>
    </w:p>
    <w:p>
      <w:pPr>
        <w:spacing w:after="120"/>
      </w:pPr>
      <w:r>
        <w:rPr>
          <w:b/>
          <w:bCs/>
        </w:rPr>
        <w:t xml:space="preserve">Type :</w:t>
      </w:r>
      <w:r>
        <w:t xml:space="preserve"> Non passant / cas limite processus</w:t>
      </w:r>
    </w:p>
    <w:p>
      <w:pPr>
        <w:spacing w:after="120"/>
      </w:pPr>
      <w:r>
        <w:rPr>
          <w:b/>
          <w:bCs/>
        </w:rPr>
        <w:t xml:space="preserve">Préconditions :</w:t>
      </w:r>
      <w:r>
        <w:t xml:space="preserve"> Facture Déposée.</w:t>
      </w:r>
    </w:p>
    <w:p>
      <w:pPr>
        <w:spacing w:after="120"/>
      </w:pPr>
      <w:r>
        <w:rPr>
          <w:b/>
          <w:bCs/>
        </w:rPr>
        <w:t xml:space="preserve">Actions :</w:t>
      </w:r>
    </w:p>
    <w:p>
      <w:pPr>
        <w:spacing w:after="80"/>
        <w:ind w:left="360"/>
      </w:pPr>
      <w:r>
        <w:rPr>
          <w:b/>
          <w:bCs/>
        </w:rPr>
        <w:t xml:space="preserve">1. </w:t>
      </w:r>
      <w:r>
        <w:t xml:space="preserve">Taper le bouton de transition vers « Rejetée ».</w:t>
      </w:r>
    </w:p>
    <w:p>
      <w:pPr>
        <w:spacing w:after="80"/>
        <w:ind w:left="360"/>
      </w:pPr>
      <w:r>
        <w:rPr>
          <w:b/>
          <w:bCs/>
        </w:rPr>
        <w:t xml:space="preserve">2. </w:t>
      </w:r>
      <w:r>
        <w:t xml:space="preserve">Observer le bouton de confirmation sans rien saisir dans le champ motif.</w:t>
      </w:r>
    </w:p>
    <w:p>
      <w:pPr>
        <w:spacing w:after="80"/>
        <w:ind w:left="360"/>
      </w:pPr>
      <w:r>
        <w:rPr>
          <w:b/>
          <w:bCs/>
        </w:rPr>
        <w:t xml:space="preserve">3. </w:t>
      </w:r>
      <w:r>
        <w:t xml:space="preserve">Saisir un motif, ex. « SIRET destinataire invalide ».</w:t>
      </w:r>
    </w:p>
    <w:p>
      <w:pPr>
        <w:spacing w:after="80"/>
        <w:ind w:left="360"/>
      </w:pPr>
      <w:r>
        <w:rPr>
          <w:b/>
          <w:bCs/>
        </w:rPr>
        <w:t xml:space="preserve">4. </w:t>
      </w:r>
      <w:r>
        <w:t xml:space="preserve">Confirmer.</w:t>
      </w:r>
    </w:p>
    <w:p>
      <w:pPr>
        <w:spacing w:after="120"/>
      </w:pPr>
      <w:r>
        <w:rPr>
          <w:b/>
          <w:bCs/>
        </w:rPr>
        <w:t xml:space="preserve">Résultat attendu :</w:t>
      </w:r>
    </w:p>
    <w:p>
      <w:pPr>
        <w:pStyle w:val="ListParagraph"/>
        <w:numPr>
          <w:ilvl w:val="0"/>
          <w:numId w:val="1"/>
        </w:numPr>
        <w:spacing w:after="80"/>
      </w:pPr>
      <w:r>
        <w:t xml:space="preserve">Étape 2 : le bouton de confirmation (</w:t>
      </w:r>
      <w:r>
        <w:rPr>
          <w:rFonts w:ascii="Consolas" w:cs="Consolas" w:eastAsia="Consolas" w:hAnsi="Consolas"/>
          <w:sz w:val="20"/>
          <w:szCs w:val="20"/>
          <w:shd w:fill="EEEEEE" w:val="clear"/>
        </w:rPr>
        <w:t xml:space="preserve">TRANSITION_CONFIRM</w:t>
      </w:r>
      <w:r>
        <w:t xml:space="preserve">) reste désactivé tant que le motif est vide.</w:t>
      </w:r>
    </w:p>
    <w:p>
      <w:pPr>
        <w:pStyle w:val="ListParagraph"/>
        <w:numPr>
          <w:ilvl w:val="0"/>
          <w:numId w:val="1"/>
        </w:numPr>
        <w:spacing w:after="80"/>
      </w:pPr>
      <w:r>
        <w:t xml:space="preserve">Étape 4 : la facture passe au statut Rejetée ; le motif saisi sera repris dans la piste d'audit (voir 4.7).</w:t>
      </w:r>
    </w:p>
    <w:p>
      <w:pPr>
        <w:pStyle w:val="Heading2"/>
        <w:spacing w:after="140" w:before="260"/>
      </w:pPr>
      <w:r>
        <w:t xml:space="preserve">[MOB-INV-27] Transition DEPOSITED → PAID (aucun motif requis)</w:t>
      </w:r>
    </w:p>
    <w:p>
      <w:pPr>
        <w:spacing w:after="120"/>
      </w:pPr>
      <w:r>
        <w:rPr>
          <w:b/>
          <w:bCs/>
        </w:rPr>
        <w:t xml:space="preserve">Type :</w:t>
      </w:r>
      <w:r>
        <w:t xml:space="preserve"> Passant</w:t>
      </w:r>
    </w:p>
    <w:p>
      <w:pPr>
        <w:spacing w:after="120"/>
      </w:pPr>
      <w:r>
        <w:rPr>
          <w:b/>
          <w:bCs/>
        </w:rPr>
        <w:t xml:space="preserve">Préconditions :</w:t>
      </w:r>
      <w:r>
        <w:t xml:space="preserve"> Facture Déposée.</w:t>
      </w:r>
    </w:p>
    <w:p>
      <w:pPr>
        <w:spacing w:after="120"/>
      </w:pPr>
      <w:r>
        <w:rPr>
          <w:b/>
          <w:bCs/>
        </w:rPr>
        <w:t xml:space="preserve">Actions :</w:t>
      </w:r>
    </w:p>
    <w:p>
      <w:pPr>
        <w:spacing w:after="80"/>
        <w:ind w:left="360"/>
      </w:pPr>
      <w:r>
        <w:rPr>
          <w:b/>
          <w:bCs/>
        </w:rPr>
        <w:t xml:space="preserve">1. </w:t>
      </w:r>
      <w:r>
        <w:t xml:space="preserve">Taper le bouton de transition vers « Encaissée ».</w:t>
      </w:r>
    </w:p>
    <w:p>
      <w:pPr>
        <w:spacing w:after="80"/>
        <w:ind w:left="360"/>
      </w:pPr>
      <w:r>
        <w:rPr>
          <w:b/>
          <w:bCs/>
        </w:rPr>
        <w:t xml:space="preserve">2. </w:t>
      </w:r>
      <w:r>
        <w:t xml:space="preserve">Confirmer immédiatement sans saisir de motif.</w:t>
      </w:r>
    </w:p>
    <w:p>
      <w:pPr>
        <w:spacing w:after="120"/>
      </w:pPr>
      <w:r>
        <w:rPr>
          <w:b/>
          <w:bCs/>
        </w:rPr>
        <w:t xml:space="preserve">Résultat attendu :</w:t>
      </w:r>
      <w:r>
        <w:t xml:space="preserve"> la confirmation aboutit sans exiger de texte — seules les transitions </w:t>
      </w:r>
      <w:r>
        <w:rPr>
          <w:b/>
          <w:bCs/>
        </w:rPr>
        <w:t xml:space="preserve">négatives</w:t>
      </w:r>
      <w:r>
        <w:t xml:space="preserve"> (Rejetée, Refusée) imposent un motif.</w:t>
      </w:r>
    </w:p>
    <w:p>
      <w:pPr>
        <w:pStyle w:val="Heading2"/>
        <w:spacing w:after="140" w:before="260"/>
      </w:pPr>
      <w:r>
        <w:t xml:space="preserve">[MOB-INV-28] Réouverture d'une facture Rejetée</w:t>
      </w:r>
    </w:p>
    <w:p>
      <w:pPr>
        <w:spacing w:after="120"/>
      </w:pPr>
      <w:r>
        <w:rPr>
          <w:b/>
          <w:bCs/>
        </w:rPr>
        <w:t xml:space="preserve">Type :</w:t>
      </w:r>
      <w:r>
        <w:t xml:space="preserve"> Passant</w:t>
      </w:r>
    </w:p>
    <w:p>
      <w:pPr>
        <w:spacing w:after="120"/>
      </w:pPr>
      <w:r>
        <w:rPr>
          <w:b/>
          <w:bCs/>
        </w:rPr>
        <w:t xml:space="preserve">Préconditions :</w:t>
      </w:r>
      <w:r>
        <w:t xml:space="preserve"> Facture au statut Rejetée.</w:t>
      </w:r>
    </w:p>
    <w:p>
      <w:pPr>
        <w:spacing w:after="120"/>
      </w:pPr>
      <w:r>
        <w:rPr>
          <w:b/>
          <w:bCs/>
        </w:rPr>
        <w:t xml:space="preserve">Actions :</w:t>
      </w:r>
    </w:p>
    <w:p>
      <w:pPr>
        <w:spacing w:after="80"/>
        <w:ind w:left="360"/>
      </w:pPr>
      <w:r>
        <w:rPr>
          <w:b/>
          <w:bCs/>
        </w:rPr>
        <w:t xml:space="preserve">1. </w:t>
      </w:r>
      <w:r>
        <w:t xml:space="preserve">Observer les boutons de cycle de vie disponibles.</w:t>
      </w:r>
    </w:p>
    <w:p>
      <w:pPr>
        <w:spacing w:after="80"/>
        <w:ind w:left="360"/>
      </w:pPr>
      <w:r>
        <w:rPr>
          <w:b/>
          <w:bCs/>
        </w:rPr>
        <w:t xml:space="preserve">2. </w:t>
      </w:r>
      <w:r>
        <w:t xml:space="preserve">Taper « Reprendre en brouillon ».</w:t>
      </w:r>
    </w:p>
    <w:p>
      <w:pPr>
        <w:spacing w:after="120"/>
      </w:pPr>
      <w:r>
        <w:rPr>
          <w:b/>
          <w:bCs/>
        </w:rPr>
        <w:t xml:space="preserve">Résultat attendu :</w:t>
      </w:r>
      <w:r>
        <w:t xml:space="preserve"> c'est </w:t>
      </w:r>
      <w:r>
        <w:rPr>
          <w:b/>
          <w:bCs/>
        </w:rPr>
        <w:t xml:space="preserve">l'unique</w:t>
      </w:r>
      <w:r>
        <w:t xml:space="preserve"> action proposée depuis Rejetée ; après confirmation, le statut repasse à Brouillon et la facture redevient éditable (voir MOB-INV-21).</w:t>
      </w:r>
    </w:p>
    <w:p>
      <w:pPr>
        <w:pStyle w:val="Heading2"/>
        <w:spacing w:after="140" w:before="260"/>
      </w:pPr>
      <w:r>
        <w:t xml:space="preserve">[MOB-INV-29] Facture Refusée — aucune action directe</w:t>
      </w:r>
    </w:p>
    <w:p>
      <w:pPr>
        <w:spacing w:after="120"/>
      </w:pPr>
      <w:r>
        <w:rPr>
          <w:b/>
          <w:bCs/>
        </w:rPr>
        <w:t xml:space="preserve">Type :</w:t>
      </w:r>
      <w:r>
        <w:t xml:space="preserve"> Non passant / non-régression</w:t>
      </w:r>
    </w:p>
    <w:p>
      <w:pPr>
        <w:spacing w:after="120"/>
      </w:pPr>
      <w:r>
        <w:rPr>
          <w:b/>
          <w:bCs/>
        </w:rPr>
        <w:t xml:space="preserve">Préconditions :</w:t>
      </w:r>
      <w:r>
        <w:t xml:space="preserve"> Facture au statut Refusée.</w:t>
      </w:r>
    </w:p>
    <w:p>
      <w:pPr>
        <w:spacing w:after="120"/>
      </w:pPr>
      <w:r>
        <w:rPr>
          <w:b/>
          <w:bCs/>
        </w:rPr>
        <w:t xml:space="preserve">Actions :</w:t>
      </w:r>
    </w:p>
    <w:p>
      <w:pPr>
        <w:spacing w:after="80"/>
        <w:ind w:left="360"/>
      </w:pPr>
      <w:r>
        <w:rPr>
          <w:b/>
          <w:bCs/>
        </w:rPr>
        <w:t xml:space="preserve">1. </w:t>
      </w:r>
      <w:r>
        <w:t xml:space="preserve">Observer l'écran de détail.</w:t>
      </w:r>
    </w:p>
    <w:p>
      <w:pPr>
        <w:spacing w:after="120"/>
      </w:pPr>
      <w:r>
        <w:rPr>
          <w:b/>
          <w:bCs/>
        </w:rPr>
        <w:t xml:space="preserve">Résultat attendu :</w:t>
      </w:r>
      <w:r>
        <w:t xml:space="preserve"> la section « Cycle de vie » </w:t>
      </w:r>
      <w:r>
        <w:rPr>
          <w:b/>
          <w:bCs/>
        </w:rPr>
        <w:t xml:space="preserve">n'existe pas</w:t>
      </w:r>
      <w:r>
        <w:t xml:space="preserve"> — la seule sortie possible est un avoir (voir 4.6), jamais un bouton de transition directe.</w:t>
      </w:r>
    </w:p>
    <w:p>
      <w:pPr>
        <w:pStyle w:val="Heading2"/>
        <w:spacing w:after="140" w:before="260"/>
      </w:pPr>
      <w:r>
        <w:t xml:space="preserve">[MOB-INV-30] Transition interdite refusée par le système</w:t>
      </w:r>
    </w:p>
    <w:p>
      <w:pPr>
        <w:spacing w:after="120"/>
      </w:pPr>
      <w:r>
        <w:rPr>
          <w:b/>
          <w:bCs/>
        </w:rPr>
        <w:t xml:space="preserve">Type :</w:t>
      </w:r>
      <w:r>
        <w:t xml:space="preserve"> Non passant</w:t>
      </w:r>
    </w:p>
    <w:p>
      <w:pPr>
        <w:spacing w:after="120"/>
      </w:pPr>
      <w:r>
        <w:rPr>
          <w:b/>
          <w:bCs/>
        </w:rPr>
        <w:t xml:space="preserve">Préconditions :</w:t>
      </w:r>
      <w:r>
        <w:t xml:space="preserve"> Situation forcée (harnais ou séquence d'actions) tentant PAID → DRAFT.</w:t>
      </w:r>
    </w:p>
    <w:p>
      <w:pPr>
        <w:spacing w:after="120"/>
      </w:pPr>
      <w:r>
        <w:rPr>
          <w:b/>
          <w:bCs/>
        </w:rPr>
        <w:t xml:space="preserve">Actions :</w:t>
      </w:r>
    </w:p>
    <w:p>
      <w:pPr>
        <w:spacing w:after="80"/>
        <w:ind w:left="360"/>
      </w:pPr>
      <w:r>
        <w:rPr>
          <w:b/>
          <w:bCs/>
        </w:rPr>
        <w:t xml:space="preserve">1. </w:t>
      </w:r>
      <w:r>
        <w:t xml:space="preserve">Tenter cette transition si un chemin d'accès existe dans l'UI (normalement impossible depuis l'interface normale).</w:t>
      </w:r>
    </w:p>
    <w:p>
      <w:pPr>
        <w:spacing w:after="120"/>
      </w:pPr>
      <w:r>
        <w:rPr>
          <w:b/>
          <w:bCs/>
        </w:rPr>
        <w:t xml:space="preserve">Résultat attendu :</w:t>
      </w:r>
      <w:r>
        <w:t xml:space="preserve"> message d'erreur explicite type « Transition interdite : une facture PAID ne peut pas passer à DRAFT » (</w:t>
      </w:r>
      <w:r>
        <w:rPr>
          <w:rFonts w:ascii="Consolas" w:cs="Consolas" w:eastAsia="Consolas" w:hAnsi="Consolas"/>
          <w:sz w:val="20"/>
          <w:szCs w:val="20"/>
          <w:shd w:fill="EEEEEE" w:val="clear"/>
        </w:rPr>
        <w:t xml:space="preserve">TRANSITION_ERROR</w:t>
      </w:r>
      <w:r>
        <w:t xml:space="preserve">), jamais un plantage silencieux.</w:t>
      </w:r>
    </w:p>
    <w:p>
      <w:pPr>
        <w:pStyle w:val="Heading2"/>
        <w:spacing w:after="140" w:before="260"/>
      </w:pPr>
      <w:r>
        <w:t xml:space="preserve">[MOB-INV-31] CANCELLED n'est jamais un bouton direct</w:t>
      </w:r>
    </w:p>
    <w:p>
      <w:pPr>
        <w:spacing w:after="120"/>
      </w:pPr>
      <w:r>
        <w:rPr>
          <w:b/>
          <w:bCs/>
        </w:rPr>
        <w:t xml:space="preserve">Type :</w:t>
      </w:r>
      <w:r>
        <w:t xml:space="preserve"> Passant / non-régression</w:t>
      </w:r>
    </w:p>
    <w:p>
      <w:pPr>
        <w:spacing w:after="120"/>
      </w:pPr>
      <w:r>
        <w:rPr>
          <w:b/>
          <w:bCs/>
        </w:rPr>
        <w:t xml:space="preserve">Préconditions :</w:t>
      </w:r>
      <w:r>
        <w:t xml:space="preserve"> Facture à n'importe quel statut permettant théoriquement une annulation (Déposée, Approuvée, Encaissée, Refusée).</w:t>
      </w:r>
    </w:p>
    <w:p>
      <w:pPr>
        <w:spacing w:after="120"/>
      </w:pPr>
      <w:r>
        <w:rPr>
          <w:b/>
          <w:bCs/>
        </w:rPr>
        <w:t xml:space="preserve">Actions :</w:t>
      </w:r>
    </w:p>
    <w:p>
      <w:pPr>
        <w:spacing w:after="80"/>
        <w:ind w:left="360"/>
      </w:pPr>
      <w:r>
        <w:rPr>
          <w:b/>
          <w:bCs/>
        </w:rPr>
        <w:t xml:space="preserve">1. </w:t>
      </w:r>
      <w:r>
        <w:t xml:space="preserve">Parcourir tous les boutons de cycle de vie proposés à ces statuts.</w:t>
      </w:r>
    </w:p>
    <w:p>
      <w:pPr>
        <w:spacing w:after="120"/>
      </w:pPr>
      <w:r>
        <w:rPr>
          <w:b/>
          <w:bCs/>
        </w:rPr>
        <w:t xml:space="preserve">Résultat attendu :</w:t>
      </w:r>
      <w:r>
        <w:t xml:space="preserve"> </w:t>
      </w:r>
      <w:r>
        <w:rPr>
          <w:b/>
          <w:bCs/>
        </w:rPr>
        <w:t xml:space="preserve">aucun bouton « Annulée » n'existe jamais</w:t>
      </w:r>
      <w:r>
        <w:t xml:space="preserve"> dans la section cycle de vie — l'annulation ne passe que par l'émission d'un avoir (transaction atomique dédiée, voir 4.6).</w:t>
      </w:r>
    </w:p>
    <w:p>
      <w:pPr>
        <w:pStyle w:val="Heading2"/>
        <w:spacing w:after="140" w:before="260"/>
      </w:pPr>
      <w:r>
        <w:t xml:space="preserve">4.6 Avoir (annulation comptable par avoir, US-05/US-10)</w:t>
      </w:r>
    </w:p>
    <w:p>
      <w:pPr>
        <w:pStyle w:val="Heading2"/>
        <w:spacing w:after="140" w:before="260"/>
      </w:pPr>
      <w:r>
        <w:t xml:space="preserve">[MOB-INV-32] Émission d'un avoir — nominal</w:t>
      </w:r>
    </w:p>
    <w:p>
      <w:pPr>
        <w:spacing w:after="120"/>
      </w:pPr>
      <w:r>
        <w:rPr>
          <w:b/>
          <w:bCs/>
        </w:rPr>
        <w:t xml:space="preserve">Type :</w:t>
      </w:r>
      <w:r>
        <w:t xml:space="preserve"> Passant</w:t>
      </w:r>
    </w:p>
    <w:p>
      <w:pPr>
        <w:spacing w:after="120"/>
      </w:pPr>
      <w:r>
        <w:rPr>
          <w:b/>
          <w:bCs/>
        </w:rPr>
        <w:t xml:space="preserve">Préconditions :</w:t>
      </w:r>
      <w:r>
        <w:t xml:space="preserve"> Facture Encaissée éligible, jamais créditée.</w:t>
      </w:r>
    </w:p>
    <w:p>
      <w:pPr>
        <w:spacing w:after="120"/>
      </w:pPr>
      <w:r>
        <w:rPr>
          <w:b/>
          <w:bCs/>
        </w:rPr>
        <w:t xml:space="preserve">Actions :</w:t>
      </w:r>
    </w:p>
    <w:p>
      <w:pPr>
        <w:spacing w:after="80"/>
        <w:ind w:left="360"/>
      </w:pPr>
      <w:r>
        <w:rPr>
          <w:b/>
          <w:bCs/>
        </w:rPr>
        <w:t xml:space="preserve">1. </w:t>
      </w:r>
      <w:r>
        <w:t xml:space="preserve">Depuis le détail de la facture (ou la liste, MOB-INV-19), taper « Créer un avoir ».</w:t>
      </w:r>
    </w:p>
    <w:p>
      <w:pPr>
        <w:spacing w:after="80"/>
        <w:ind w:left="360"/>
      </w:pPr>
      <w:r>
        <w:rPr>
          <w:b/>
          <w:bCs/>
        </w:rPr>
        <w:t xml:space="preserve">2. </w:t>
      </w:r>
      <w:r>
        <w:t xml:space="preserve">Vérifier le badge « AVOIR EN BROUILLON » et la référence croisée à la facture d'origine (</w:t>
      </w:r>
      <w:r>
        <w:rPr>
          <w:rFonts w:ascii="Consolas" w:cs="Consolas" w:eastAsia="Consolas" w:hAnsi="Consolas"/>
          <w:sz w:val="20"/>
          <w:szCs w:val="20"/>
          <w:shd w:fill="EEEEEE" w:val="clear"/>
        </w:rPr>
        <w:t xml:space="preserve">credit_note_form_cross_reference</w:t>
      </w:r>
      <w:r>
        <w:t xml:space="preserve">).</w:t>
      </w:r>
    </w:p>
    <w:p>
      <w:pPr>
        <w:spacing w:after="80"/>
        <w:ind w:left="360"/>
      </w:pPr>
      <w:r>
        <w:rPr>
          <w:b/>
          <w:bCs/>
        </w:rPr>
        <w:t xml:space="preserve">3. </w:t>
      </w:r>
      <w:r>
        <w:t xml:space="preserve">Sélectionner un motif prédéfini (Erreur de facturation / Remise commerciale / Retour de marchandise).</w:t>
      </w:r>
    </w:p>
    <w:p>
      <w:pPr>
        <w:spacing w:after="80"/>
        <w:ind w:left="360"/>
      </w:pPr>
      <w:r>
        <w:rPr>
          <w:b/>
          <w:bCs/>
        </w:rPr>
        <w:t xml:space="preserve">4. </w:t>
      </w:r>
      <w:r>
        <w:t xml:space="preserve">Taper « Valider l'avoir ».</w:t>
      </w:r>
    </w:p>
    <w:p>
      <w:pPr>
        <w:spacing w:after="120"/>
      </w:pPr>
      <w:r>
        <w:rPr>
          <w:b/>
          <w:bCs/>
        </w:rPr>
        <w:t xml:space="preserve">Résultat attendu :</w:t>
      </w:r>
    </w:p>
    <w:p>
      <w:pPr>
        <w:pStyle w:val="ListParagraph"/>
        <w:numPr>
          <w:ilvl w:val="0"/>
          <w:numId w:val="1"/>
        </w:numPr>
        <w:spacing w:after="80"/>
      </w:pPr>
      <w:r>
        <w:t xml:space="preserve">Étape 2 : le bloc destinataire, le numéro de facture d'origine (</w:t>
      </w:r>
      <w:r>
        <w:rPr>
          <w:rFonts w:ascii="Consolas" w:cs="Consolas" w:eastAsia="Consolas" w:hAnsi="Consolas"/>
          <w:sz w:val="20"/>
          <w:szCs w:val="20"/>
          <w:shd w:fill="EEEEEE" w:val="clear"/>
        </w:rPr>
        <w:t xml:space="preserve">credit_note_form_invoice_id</w:t>
      </w:r>
      <w:r>
        <w:t xml:space="preserve">) sont visibles et non modifiables.</w:t>
      </w:r>
    </w:p>
    <w:p>
      <w:pPr>
        <w:pStyle w:val="ListParagraph"/>
        <w:numPr>
          <w:ilvl w:val="0"/>
          <w:numId w:val="1"/>
        </w:numPr>
        <w:spacing w:after="80"/>
      </w:pPr>
      <w:r>
        <w:t xml:space="preserve">Étape 4 : l'avoir est émis, ses lignes recopient (en négatif) celles de la facture, le total TTC de l'avoir est affiché négativement, et la facture d'origine ne peut plus être créditée une seconde fois.</w:t>
      </w:r>
    </w:p>
    <w:p>
      <w:pPr>
        <w:pStyle w:val="Heading2"/>
        <w:spacing w:after="140" w:before="260"/>
      </w:pPr>
      <w:r>
        <w:t xml:space="preserve">[MOB-INV-33] Motif « Autre motif » — texte libre obligatoire</w:t>
      </w:r>
    </w:p>
    <w:p>
      <w:pPr>
        <w:spacing w:after="120"/>
      </w:pPr>
      <w:r>
        <w:rPr>
          <w:b/>
          <w:bCs/>
        </w:rPr>
        <w:t xml:space="preserve">Type :</w:t>
      </w:r>
      <w:r>
        <w:t xml:space="preserve"> Non passant</w:t>
      </w:r>
    </w:p>
    <w:p>
      <w:pPr>
        <w:spacing w:after="120"/>
      </w:pPr>
      <w:r>
        <w:rPr>
          <w:b/>
          <w:bCs/>
        </w:rPr>
        <w:t xml:space="preserve">Préconditions :</w:t>
      </w:r>
      <w:r>
        <w:t xml:space="preserve"> Formulaire d'avoir ouvert.</w:t>
      </w:r>
    </w:p>
    <w:p>
      <w:pPr>
        <w:spacing w:after="120"/>
      </w:pPr>
      <w:r>
        <w:rPr>
          <w:b/>
          <w:bCs/>
        </w:rPr>
        <w:t xml:space="preserve">Actions :</w:t>
      </w:r>
    </w:p>
    <w:p>
      <w:pPr>
        <w:spacing w:after="80"/>
        <w:ind w:left="360"/>
      </w:pPr>
      <w:r>
        <w:rPr>
          <w:b/>
          <w:bCs/>
        </w:rPr>
        <w:t xml:space="preserve">1. </w:t>
      </w:r>
      <w:r>
        <w:t xml:space="preserve">Sélectionner le motif « Autre motif » (</w:t>
      </w:r>
      <w:r>
        <w:rPr>
          <w:rFonts w:ascii="Consolas" w:cs="Consolas" w:eastAsia="Consolas" w:hAnsi="Consolas"/>
          <w:sz w:val="20"/>
          <w:szCs w:val="20"/>
          <w:shd w:fill="EEEEEE" w:val="clear"/>
        </w:rPr>
        <w:t xml:space="preserve">reasonChip(OTHER)</w:t>
      </w:r>
      <w:r>
        <w:t xml:space="preserve">).</w:t>
      </w:r>
    </w:p>
    <w:p>
      <w:pPr>
        <w:spacing w:after="80"/>
        <w:ind w:left="360"/>
      </w:pPr>
      <w:r>
        <w:rPr>
          <w:b/>
          <w:bCs/>
        </w:rPr>
        <w:t xml:space="preserve">2. </w:t>
      </w:r>
      <w:r>
        <w:t xml:space="preserve">Laisser le champ de texte libre (</w:t>
      </w:r>
      <w:r>
        <w:rPr>
          <w:rFonts w:ascii="Consolas" w:cs="Consolas" w:eastAsia="Consolas" w:hAnsi="Consolas"/>
          <w:sz w:val="20"/>
          <w:szCs w:val="20"/>
          <w:shd w:fill="EEEEEE" w:val="clear"/>
        </w:rPr>
        <w:t xml:space="preserve">credit_note_form_reason_free_text</w:t>
      </w:r>
      <w:r>
        <w:t xml:space="preserve">) vide, taper Valider.</w:t>
      </w:r>
    </w:p>
    <w:p>
      <w:pPr>
        <w:spacing w:after="120"/>
      </w:pPr>
      <w:r>
        <w:rPr>
          <w:b/>
          <w:bCs/>
        </w:rPr>
        <w:t xml:space="preserve">Résultat attendu :</w:t>
      </w:r>
      <w:r>
        <w:t xml:space="preserve"> erreur bloquante — un motif « Autre » sans texte n'est pas accepté (le motif légal est un champ obligatoire).</w:t>
      </w:r>
    </w:p>
    <w:p>
      <w:pPr>
        <w:pStyle w:val="Heading2"/>
        <w:spacing w:after="140" w:before="260"/>
      </w:pPr>
      <w:r>
        <w:t xml:space="preserve">[MOB-INV-34] Double émission d'avoir bloquée</w:t>
      </w:r>
    </w:p>
    <w:p>
      <w:pPr>
        <w:spacing w:after="120"/>
      </w:pPr>
      <w:r>
        <w:rPr>
          <w:b/>
          <w:bCs/>
        </w:rPr>
        <w:t xml:space="preserve">Type :</w:t>
      </w:r>
      <w:r>
        <w:t xml:space="preserve"> Non passant</w:t>
      </w:r>
    </w:p>
    <w:p>
      <w:pPr>
        <w:spacing w:after="120"/>
      </w:pPr>
      <w:r>
        <w:rPr>
          <w:b/>
          <w:bCs/>
        </w:rPr>
        <w:t xml:space="preserve">Préconditions :</w:t>
      </w:r>
      <w:r>
        <w:t xml:space="preserve"> Une facture déjà créditée par un avoir précédent.</w:t>
      </w:r>
    </w:p>
    <w:p>
      <w:pPr>
        <w:spacing w:after="120"/>
      </w:pPr>
      <w:r>
        <w:rPr>
          <w:b/>
          <w:bCs/>
        </w:rPr>
        <w:t xml:space="preserve">Actions :</w:t>
      </w:r>
    </w:p>
    <w:p>
      <w:pPr>
        <w:spacing w:after="80"/>
        <w:ind w:left="360"/>
      </w:pPr>
      <w:r>
        <w:rPr>
          <w:b/>
          <w:bCs/>
        </w:rPr>
        <w:t xml:space="preserve">1. </w:t>
      </w:r>
      <w:r>
        <w:t xml:space="preserve">Tenter d'accéder à nouveau au flux de création d'avoir pour cette même facture.</w:t>
      </w:r>
    </w:p>
    <w:p>
      <w:pPr>
        <w:spacing w:after="120"/>
      </w:pPr>
      <w:r>
        <w:rPr>
          <w:b/>
          <w:bCs/>
        </w:rPr>
        <w:t xml:space="preserve">Résultat attendu :</w:t>
      </w:r>
      <w:r>
        <w:t xml:space="preserve"> l'action « Créer un avoir » n'est plus proposée dans la liste/détail (voir MOB-INV-19), ou une bannière de blocage (</w:t>
      </w:r>
      <w:r>
        <w:rPr>
          <w:rFonts w:ascii="Consolas" w:cs="Consolas" w:eastAsia="Consolas" w:hAnsi="Consolas"/>
          <w:sz w:val="20"/>
          <w:szCs w:val="20"/>
          <w:shd w:fill="EEEEEE" w:val="clear"/>
        </w:rPr>
        <w:t xml:space="preserve">credit_note_form_blocked_banner</w:t>
      </w:r>
      <w:r>
        <w:t xml:space="preserve">) apparaît si l'écran est atteint malgré tout.</w:t>
      </w:r>
    </w:p>
    <w:p>
      <w:pPr>
        <w:pStyle w:val="Heading2"/>
        <w:spacing w:after="140" w:before="260"/>
      </w:pPr>
      <w:r>
        <w:t xml:space="preserve">4.7 Piste d'audit (US-17)</w:t>
      </w:r>
    </w:p>
    <w:p>
      <w:pPr>
        <w:pStyle w:val="Heading2"/>
        <w:spacing w:after="140" w:before="260"/>
      </w:pPr>
      <w:r>
        <w:t xml:space="preserve">[MOB-INV-35] Les quatre jalons sur une facture Encaissée</w:t>
      </w:r>
    </w:p>
    <w:p>
      <w:pPr>
        <w:spacing w:after="120"/>
      </w:pPr>
      <w:r>
        <w:rPr>
          <w:b/>
          <w:bCs/>
        </w:rPr>
        <w:t xml:space="preserve">Type :</w:t>
      </w:r>
      <w:r>
        <w:t xml:space="preserve"> Passant</w:t>
      </w:r>
    </w:p>
    <w:p>
      <w:pPr>
        <w:spacing w:after="120"/>
      </w:pPr>
      <w:r>
        <w:rPr>
          <w:b/>
          <w:bCs/>
        </w:rPr>
        <w:t xml:space="preserve">Préconditions :</w:t>
      </w:r>
      <w:r>
        <w:t xml:space="preserve"> Détail d'une facture ayant traversé Brouillon → Déposée → Encaissée.</w:t>
      </w:r>
    </w:p>
    <w:p>
      <w:pPr>
        <w:spacing w:after="120"/>
      </w:pPr>
      <w:r>
        <w:rPr>
          <w:b/>
          <w:bCs/>
        </w:rPr>
        <w:t xml:space="preserve">Actions :</w:t>
      </w:r>
    </w:p>
    <w:p>
      <w:pPr>
        <w:spacing w:after="80"/>
        <w:ind w:left="360"/>
      </w:pPr>
      <w:r>
        <w:rPr>
          <w:b/>
          <w:bCs/>
        </w:rPr>
        <w:t xml:space="preserve">1. </w:t>
      </w:r>
      <w:r>
        <w:t xml:space="preserve">Défiler jusqu'à la piste d'audit (</w:t>
      </w:r>
      <w:r>
        <w:rPr>
          <w:rFonts w:ascii="Consolas" w:cs="Consolas" w:eastAsia="Consolas" w:hAnsi="Consolas"/>
          <w:sz w:val="20"/>
          <w:szCs w:val="20"/>
          <w:shd w:fill="EEEEEE" w:val="clear"/>
        </w:rPr>
        <w:t xml:space="preserve">invoice_audit_trail_panel</w:t>
      </w:r>
      <w:r>
        <w:t xml:space="preserve">).</w:t>
      </w:r>
    </w:p>
    <w:p>
      <w:pPr>
        <w:spacing w:after="120"/>
      </w:pPr>
      <w:r>
        <w:rPr>
          <w:b/>
          <w:bCs/>
        </w:rPr>
        <w:t xml:space="preserve">Résultat attendu :</w:t>
      </w:r>
      <w:r>
        <w:t xml:space="preserve"> quatre jalons dans l'ordre : </w:t>
      </w:r>
      <w:r>
        <w:rPr>
          <w:b/>
          <w:bCs/>
        </w:rPr>
        <w:t xml:space="preserve">Créée</w:t>
      </w:r>
      <w:r>
        <w:t xml:space="preserve"> (toujours fait, ✓ vert), </w:t>
      </w:r>
      <w:r>
        <w:rPr>
          <w:b/>
          <w:bCs/>
        </w:rPr>
        <w:t xml:space="preserve">Scellée</w:t>
      </w:r>
      <w:r>
        <w:t xml:space="preserve"> (toujours fait, avec une empreinte SHA-256 tronquée affichée), </w:t>
      </w:r>
      <w:r>
        <w:rPr>
          <w:b/>
          <w:bCs/>
        </w:rPr>
        <w:t xml:space="preserve">PPF</w:t>
      </w:r>
      <w:r>
        <w:t xml:space="preserve"> (fait — la facture a bien été transmise), </w:t>
      </w:r>
      <w:r>
        <w:rPr>
          <w:b/>
          <w:bCs/>
        </w:rPr>
        <w:t xml:space="preserve">Décision</w:t>
      </w:r>
      <w:r>
        <w:t xml:space="preserve"> (fait, badge vert conforme au statut Encaissée).</w:t>
      </w:r>
    </w:p>
    <w:p>
      <w:pPr>
        <w:pStyle w:val="Heading2"/>
        <w:spacing w:after="140" w:before="260"/>
      </w:pPr>
      <w:r>
        <w:t xml:space="preserve">[MOB-INV-36] Facture Rejetée — motif affiché sur le jalon Décision</w:t>
      </w:r>
    </w:p>
    <w:p>
      <w:pPr>
        <w:spacing w:after="120"/>
      </w:pPr>
      <w:r>
        <w:rPr>
          <w:b/>
          <w:bCs/>
        </w:rPr>
        <w:t xml:space="preserve">Type :</w:t>
      </w:r>
      <w:r>
        <w:t xml:space="preserve"> Passant</w:t>
      </w:r>
    </w:p>
    <w:p>
      <w:pPr>
        <w:spacing w:after="120"/>
      </w:pPr>
      <w:r>
        <w:rPr>
          <w:b/>
          <w:bCs/>
        </w:rPr>
        <w:t xml:space="preserve">Préconditions :</w:t>
      </w:r>
      <w:r>
        <w:t xml:space="preserve"> Facture rejetée avec le motif « SIRET destinataire invalide » (voir MOB-INV-26).</w:t>
      </w:r>
    </w:p>
    <w:p>
      <w:pPr>
        <w:spacing w:after="120"/>
      </w:pPr>
      <w:r>
        <w:rPr>
          <w:b/>
          <w:bCs/>
        </w:rPr>
        <w:t xml:space="preserve">Actions :</w:t>
      </w:r>
    </w:p>
    <w:p>
      <w:pPr>
        <w:spacing w:after="80"/>
        <w:ind w:left="360"/>
      </w:pPr>
      <w:r>
        <w:rPr>
          <w:b/>
          <w:bCs/>
        </w:rPr>
        <w:t xml:space="preserve">1. </w:t>
      </w:r>
      <w:r>
        <w:t xml:space="preserve">Ouvrir le détail, défiler jusqu'à la piste d'audit.</w:t>
      </w:r>
    </w:p>
    <w:p>
      <w:pPr>
        <w:spacing w:after="120"/>
      </w:pPr>
      <w:r>
        <w:rPr>
          <w:b/>
          <w:bCs/>
        </w:rPr>
        <w:t xml:space="preserve">Résultat attendu :</w:t>
      </w:r>
      <w:r>
        <w:t xml:space="preserve"> le jalon Décision est en </w:t>
      </w:r>
      <w:r>
        <w:rPr>
          <w:b/>
          <w:bCs/>
        </w:rPr>
        <w:t xml:space="preserve">rouge</w:t>
      </w:r>
      <w:r>
        <w:t xml:space="preserve"> (« ! »), affiche le motif exact saisi lors du rejet et le libellé de statut « Rejetée par la plateforme ».</w:t>
      </w:r>
    </w:p>
    <w:p>
      <w:pPr>
        <w:pStyle w:val="Heading2"/>
        <w:spacing w:after="140" w:before="260"/>
      </w:pPr>
      <w:r>
        <w:t xml:space="preserve">[MOB-INV-37] Rejet puis réouverture — le jalon PPF reste acquis</w:t>
      </w:r>
    </w:p>
    <w:p>
      <w:pPr>
        <w:spacing w:after="120"/>
      </w:pPr>
      <w:r>
        <w:rPr>
          <w:b/>
          <w:bCs/>
        </w:rPr>
        <w:t xml:space="preserve">Type :</w:t>
      </w:r>
      <w:r>
        <w:t xml:space="preserve"> Passant / cas limite important</w:t>
      </w:r>
    </w:p>
    <w:p>
      <w:pPr>
        <w:spacing w:after="120"/>
      </w:pPr>
      <w:r>
        <w:rPr>
          <w:b/>
          <w:bCs/>
        </w:rPr>
        <w:t xml:space="preserve">Préconditions :</w:t>
      </w:r>
      <w:r>
        <w:t xml:space="preserve"> Facture Déposée puis Rejetée puis reprise en Brouillon (voir MOB-INV-28), puis ré-émise (Déposée à nouveau).</w:t>
      </w:r>
    </w:p>
    <w:p>
      <w:pPr>
        <w:spacing w:after="120"/>
      </w:pPr>
      <w:r>
        <w:rPr>
          <w:b/>
          <w:bCs/>
        </w:rPr>
        <w:t xml:space="preserve">Actions :</w:t>
      </w:r>
    </w:p>
    <w:p>
      <w:pPr>
        <w:spacing w:after="80"/>
        <w:ind w:left="360"/>
      </w:pPr>
      <w:r>
        <w:rPr>
          <w:b/>
          <w:bCs/>
        </w:rPr>
        <w:t xml:space="preserve">1. </w:t>
      </w:r>
      <w:r>
        <w:t xml:space="preserve">Observer le jalon PPF après la réémission.</w:t>
      </w:r>
    </w:p>
    <w:p>
      <w:pPr>
        <w:spacing w:after="120"/>
      </w:pPr>
      <w:r>
        <w:rPr>
          <w:b/>
          <w:bCs/>
        </w:rPr>
        <w:t xml:space="preserve">Résultat attendu :</w:t>
      </w:r>
      <w:r>
        <w:t xml:space="preserve"> le jalon </w:t>
      </w:r>
      <w:r>
        <w:rPr>
          <w:b/>
          <w:bCs/>
        </w:rPr>
        <w:t xml:space="preserve">PPF reste marqué « fait »</w:t>
      </w:r>
      <w:r>
        <w:t xml:space="preserve"> — il ne redevient pas « en attente » lors de la correction, car la transmission a réellement eu lieu la première fois. Une piste d'audit ne réécrit jamais l'histoire.</w:t>
      </w:r>
    </w:p>
    <w:p>
      <w:pPr>
        <w:pStyle w:val="Heading2"/>
        <w:spacing w:after="140" w:before="260"/>
      </w:pPr>
      <w:r>
        <w:t xml:space="preserve">[MOB-INV-38] Facture Brouillon jamais soumise</w:t>
      </w:r>
    </w:p>
    <w:p>
      <w:pPr>
        <w:spacing w:after="120"/>
      </w:pPr>
      <w:r>
        <w:rPr>
          <w:b/>
          <w:bCs/>
        </w:rPr>
        <w:t xml:space="preserve">Type :</w:t>
      </w:r>
      <w:r>
        <w:t xml:space="preserve"> Passant / cas limite</w:t>
      </w:r>
    </w:p>
    <w:p>
      <w:pPr>
        <w:spacing w:after="120"/>
      </w:pPr>
      <w:r>
        <w:rPr>
          <w:b/>
          <w:bCs/>
        </w:rPr>
        <w:t xml:space="preserve">Préconditions :</w:t>
      </w:r>
      <w:r>
        <w:t xml:space="preserve"> Facture au statut Brouillon, jamais déposée.</w:t>
      </w:r>
    </w:p>
    <w:p>
      <w:pPr>
        <w:spacing w:after="120"/>
      </w:pPr>
      <w:r>
        <w:rPr>
          <w:b/>
          <w:bCs/>
        </w:rPr>
        <w:t xml:space="preserve">Actions :</w:t>
      </w:r>
    </w:p>
    <w:p>
      <w:pPr>
        <w:spacing w:after="80"/>
        <w:ind w:left="360"/>
      </w:pPr>
      <w:r>
        <w:rPr>
          <w:b/>
          <w:bCs/>
        </w:rPr>
        <w:t xml:space="preserve">1. </w:t>
      </w:r>
      <w:r>
        <w:t xml:space="preserve">Ouvrir la piste d'audit.</w:t>
      </w:r>
    </w:p>
    <w:p>
      <w:pPr>
        <w:spacing w:after="120"/>
      </w:pPr>
      <w:r>
        <w:rPr>
          <w:b/>
          <w:bCs/>
        </w:rPr>
        <w:t xml:space="preserve">Résultat attendu :</w:t>
      </w:r>
      <w:r>
        <w:t xml:space="preserve"> Créée = fait, Scellée = fait, PPF = </w:t>
      </w:r>
      <w:r>
        <w:rPr>
          <w:b/>
          <w:bCs/>
        </w:rPr>
        <w:t xml:space="preserve">en attente</w:t>
      </w:r>
      <w:r>
        <w:t xml:space="preserve"> (gris), Décision = </w:t>
      </w:r>
      <w:r>
        <w:rPr>
          <w:b/>
          <w:bCs/>
        </w:rPr>
        <w:t xml:space="preserve">en attente</w:t>
      </w:r>
      <w:r>
        <w:t xml:space="preserve"> (gris) — cohérent avec un document jamais transmis.</w:t>
      </w:r>
    </w:p>
    <w:p>
      <w:pPr>
        <w:pStyle w:val="Heading2"/>
        <w:spacing w:after="140" w:before="260"/>
      </w:pPr>
      <w:r>
        <w:t xml:space="preserve">[MOB-INV-39] Horodatage en UTC</w:t>
      </w:r>
    </w:p>
    <w:p>
      <w:pPr>
        <w:spacing w:after="120"/>
      </w:pPr>
      <w:r>
        <w:rPr>
          <w:b/>
          <w:bCs/>
        </w:rPr>
        <w:t xml:space="preserve">Type :</w:t>
      </w:r>
      <w:r>
        <w:t xml:space="preserve"> Passant / non-régression</w:t>
      </w:r>
    </w:p>
    <w:p>
      <w:pPr>
        <w:spacing w:after="120"/>
      </w:pPr>
      <w:r>
        <w:rPr>
          <w:b/>
          <w:bCs/>
        </w:rPr>
        <w:t xml:space="preserve">Préconditions :</w:t>
      </w:r>
      <w:r>
        <w:t xml:space="preserve"> N'importe quel jalon avec horodatage.</w:t>
      </w:r>
    </w:p>
    <w:p>
      <w:pPr>
        <w:spacing w:after="120"/>
      </w:pPr>
      <w:r>
        <w:rPr>
          <w:b/>
          <w:bCs/>
        </w:rPr>
        <w:t xml:space="preserve">Actions :</w:t>
      </w:r>
    </w:p>
    <w:p>
      <w:pPr>
        <w:spacing w:after="80"/>
        <w:ind w:left="360"/>
      </w:pPr>
      <w:r>
        <w:rPr>
          <w:b/>
          <w:bCs/>
        </w:rPr>
        <w:t xml:space="preserve">1. </w:t>
      </w:r>
      <w:r>
        <w:t xml:space="preserve">Comparer l'heure affichée à l'heure locale de l'appareil (si différente du fuseau UTC).</w:t>
      </w:r>
    </w:p>
    <w:p>
      <w:pPr>
        <w:spacing w:after="120"/>
      </w:pPr>
      <w:r>
        <w:rPr>
          <w:b/>
          <w:bCs/>
        </w:rPr>
        <w:t xml:space="preserve">Résultat attendu :</w:t>
      </w:r>
      <w:r>
        <w:t xml:space="preserve"> l'heure affichée est explicitement en UTC (suffixe « UTC » visible), </w:t>
      </w:r>
      <w:r>
        <w:rPr>
          <w:b/>
          <w:bCs/>
        </w:rPr>
        <w:t xml:space="preserve">jamais convertie</w:t>
      </w:r>
      <w:r>
        <w:t xml:space="preserve"> vers le fuseau local — c'est l'heure UTC qui fait foi dans une piste d'audit.</w:t>
      </w:r>
    </w:p>
    <w:p>
      <w:pPr>
        <w:pBdr>
          <w:bottom w:val="single" w:color="AAAAAA" w:sz="6" w:space="1"/>
        </w:pBdr>
        <w:spacing w:after="240" w:before="120"/>
      </w:pPr>
    </w:p>
    <w:p>
      <w:pPr>
        <w:pStyle w:val="Heading1"/>
        <w:pageBreakBefore/>
        <w:spacing w:after="140" w:before="400"/>
      </w:pPr>
      <w:r>
        <w:t xml:space="preserve">5. Conformité 2026 (audit dans le formulaire de facture)</w:t>
      </w:r>
    </w:p>
    <w:p>
      <w:pPr>
        <w:pStyle w:val="Heading2"/>
        <w:spacing w:after="140" w:before="260"/>
      </w:pPr>
      <w:r>
        <w:t xml:space="preserve">[MOB-COMP-01] Aucun contrôle effectué au départ</w:t>
      </w:r>
    </w:p>
    <w:p>
      <w:pPr>
        <w:spacing w:after="120"/>
      </w:pPr>
      <w:r>
        <w:rPr>
          <w:b/>
          <w:bCs/>
        </w:rPr>
        <w:t xml:space="preserve">Type :</w:t>
      </w:r>
      <w:r>
        <w:t xml:space="preserve"> Passant / cas limite</w:t>
      </w:r>
    </w:p>
    <w:p>
      <w:pPr>
        <w:spacing w:after="120"/>
      </w:pPr>
      <w:r>
        <w:rPr>
          <w:b/>
          <w:bCs/>
        </w:rPr>
        <w:t xml:space="preserve">Préconditions :</w:t>
      </w:r>
      <w:r>
        <w:t xml:space="preserve"> Formulaire de facture fraîchement ouvert, aucun scan lancé.</w:t>
      </w:r>
    </w:p>
    <w:p>
      <w:pPr>
        <w:spacing w:after="120"/>
      </w:pPr>
      <w:r>
        <w:rPr>
          <w:b/>
          <w:bCs/>
        </w:rPr>
        <w:t xml:space="preserve">Actions :</w:t>
      </w:r>
    </w:p>
    <w:p>
      <w:pPr>
        <w:spacing w:after="80"/>
        <w:ind w:left="360"/>
      </w:pPr>
      <w:r>
        <w:rPr>
          <w:b/>
          <w:bCs/>
        </w:rPr>
        <w:t xml:space="preserve">1. </w:t>
      </w:r>
      <w:r>
        <w:t xml:space="preserve">Défiler jusqu'au panneau « Audit de conformité 2026 » (</w:t>
      </w:r>
      <w:r>
        <w:rPr>
          <w:rFonts w:ascii="Consolas" w:cs="Consolas" w:eastAsia="Consolas" w:hAnsi="Consolas"/>
          <w:sz w:val="20"/>
          <w:szCs w:val="20"/>
          <w:shd w:fill="EEEEEE" w:val="clear"/>
        </w:rPr>
        <w:t xml:space="preserve">compliance_panel</w:t>
      </w:r>
      <w:r>
        <w:t xml:space="preserve">), après la section B2B et avant les boutons d'action.</w:t>
      </w:r>
    </w:p>
    <w:p>
      <w:pPr>
        <w:spacing w:after="120"/>
      </w:pPr>
      <w:r>
        <w:rPr>
          <w:b/>
          <w:bCs/>
        </w:rPr>
        <w:t xml:space="preserve">Résultat attendu :</w:t>
      </w:r>
      <w:r>
        <w:t xml:space="preserve"> message « Aucun contrôle effectué pour l'instant. » ; aucune checklist ni bandeau visible.</w:t>
      </w:r>
    </w:p>
    <w:p>
      <w:pPr>
        <w:pStyle w:val="Heading2"/>
        <w:spacing w:after="140" w:before="260"/>
      </w:pPr>
      <w:r>
        <w:t xml:space="preserve">[MOB-COMP-02] Scan sur une facture entièrement conforme</w:t>
      </w:r>
    </w:p>
    <w:p>
      <w:pPr>
        <w:spacing w:after="120"/>
      </w:pPr>
      <w:r>
        <w:rPr>
          <w:b/>
          <w:bCs/>
        </w:rPr>
        <w:t xml:space="preserve">Type :</w:t>
      </w:r>
      <w:r>
        <w:t xml:space="preserve"> Passant</w:t>
      </w:r>
    </w:p>
    <w:p>
      <w:pPr>
        <w:spacing w:after="120"/>
      </w:pPr>
      <w:r>
        <w:rPr>
          <w:b/>
          <w:bCs/>
        </w:rPr>
        <w:t xml:space="preserve">Préconditions :</w:t>
      </w:r>
      <w:r>
        <w:t xml:space="preserve"> Formulaire rempli sans aucune anomalie : SIRET émetteur et client valides (clé de Luhn correcte), TVA valide, mentions B2B activées, Factur-X activé, au moins une ligne valide.</w:t>
      </w:r>
    </w:p>
    <w:p>
      <w:pPr>
        <w:spacing w:after="120"/>
      </w:pPr>
      <w:r>
        <w:rPr>
          <w:b/>
          <w:bCs/>
        </w:rPr>
        <w:t xml:space="preserve">Actions :</w:t>
      </w:r>
    </w:p>
    <w:p>
      <w:pPr>
        <w:spacing w:after="80"/>
        <w:ind w:left="360"/>
      </w:pPr>
      <w:r>
        <w:rPr>
          <w:b/>
          <w:bCs/>
        </w:rPr>
        <w:t xml:space="preserve">1. </w:t>
      </w:r>
      <w:r>
        <w:t xml:space="preserve">Taper « Scanner la conformité » (</w:t>
      </w:r>
      <w:r>
        <w:rPr>
          <w:rFonts w:ascii="Consolas" w:cs="Consolas" w:eastAsia="Consolas" w:hAnsi="Consolas"/>
          <w:sz w:val="20"/>
          <w:szCs w:val="20"/>
          <w:shd w:fill="EEEEEE" w:val="clear"/>
        </w:rPr>
        <w:t xml:space="preserve">compliance_scan_btn</w:t>
      </w:r>
      <w:r>
        <w:t xml:space="preserve">).</w:t>
      </w:r>
    </w:p>
    <w:p>
      <w:pPr>
        <w:spacing w:after="120"/>
      </w:pPr>
      <w:r>
        <w:rPr>
          <w:b/>
          <w:bCs/>
        </w:rPr>
        <w:t xml:space="preserve">Résultat attendu :</w:t>
      </w:r>
      <w:r>
        <w:t xml:space="preserve"> checklist des 4 contrôles (</w:t>
      </w:r>
      <w:r>
        <w:rPr>
          <w:rFonts w:ascii="Consolas" w:cs="Consolas" w:eastAsia="Consolas" w:hAnsi="Consolas"/>
          <w:sz w:val="20"/>
          <w:szCs w:val="20"/>
          <w:shd w:fill="EEEEEE" w:val="clear"/>
        </w:rPr>
        <w:t xml:space="preserve">compliance_checklist</w:t>
      </w:r>
      <w:r>
        <w:t xml:space="preserve">) tous verts : Identifiants SIRET, Numéro de TVA intracommunautaire, Mentions légales obligatoires, Structure Factur-X 2026 ; message global « Facture conforme à la norme Factur-X 2026. », aucun bandeau d'alerte.</w:t>
      </w:r>
    </w:p>
    <w:p>
      <w:pPr>
        <w:pStyle w:val="Heading2"/>
        <w:spacing w:after="140" w:before="260"/>
      </w:pPr>
      <w:r>
        <w:t xml:space="preserve">[MOB-COMP-03] Scan avec avertissement — clé de Luhn du SIRET client fausse</w:t>
      </w:r>
    </w:p>
    <w:p>
      <w:pPr>
        <w:spacing w:after="120"/>
      </w:pPr>
      <w:r>
        <w:rPr>
          <w:b/>
          <w:bCs/>
        </w:rPr>
        <w:t xml:space="preserve">Type :</w:t>
      </w:r>
      <w:r>
        <w:t xml:space="preserve"> Non passant / cas limite</w:t>
      </w:r>
    </w:p>
    <w:p>
      <w:pPr>
        <w:spacing w:after="120"/>
      </w:pPr>
      <w:r>
        <w:rPr>
          <w:b/>
          <w:bCs/>
        </w:rPr>
        <w:t xml:space="preserve">Préconditions :</w:t>
      </w:r>
      <w:r>
        <w:t xml:space="preserve"> SIRET client à 14 chiffres mais dont la clé de Luhn est incorrecte, reste conforme.</w:t>
      </w:r>
    </w:p>
    <w:p>
      <w:pPr>
        <w:spacing w:after="120"/>
      </w:pPr>
      <w:r>
        <w:rPr>
          <w:b/>
          <w:bCs/>
        </w:rPr>
        <w:t xml:space="preserve">Actions :</w:t>
      </w:r>
    </w:p>
    <w:p>
      <w:pPr>
        <w:spacing w:after="80"/>
        <w:ind w:left="360"/>
      </w:pPr>
      <w:r>
        <w:rPr>
          <w:b/>
          <w:bCs/>
        </w:rPr>
        <w:t xml:space="preserve">1. </w:t>
      </w:r>
      <w:r>
        <w:t xml:space="preserve">Taper « Scanner la conformité ».</w:t>
      </w:r>
    </w:p>
    <w:p>
      <w:pPr>
        <w:spacing w:after="120"/>
      </w:pPr>
      <w:r>
        <w:rPr>
          <w:b/>
          <w:bCs/>
        </w:rPr>
        <w:t xml:space="preserve">Résultat attendu :</w:t>
      </w:r>
      <w:r>
        <w:t xml:space="preserve"> bandeau </w:t>
      </w:r>
      <w:r>
        <w:rPr>
          <w:b/>
          <w:bCs/>
        </w:rPr>
        <w:t xml:space="preserve">ambre</w:t>
      </w:r>
      <w:r>
        <w:t xml:space="preserve"> « Conformité incomplète » (</w:t>
      </w:r>
      <w:r>
        <w:rPr>
          <w:rFonts w:ascii="Consolas" w:cs="Consolas" w:eastAsia="Consolas" w:hAnsi="Consolas"/>
          <w:sz w:val="20"/>
          <w:szCs w:val="20"/>
          <w:shd w:fill="EEEEEE" w:val="clear"/>
        </w:rPr>
        <w:t xml:space="preserve">compliance_alert</w:t>
      </w:r>
      <w:r>
        <w:t xml:space="preserve">, titre </w:t>
      </w:r>
      <w:r>
        <w:rPr>
          <w:rFonts w:ascii="Consolas" w:cs="Consolas" w:eastAsia="Consolas" w:hAnsi="Consolas"/>
          <w:sz w:val="20"/>
          <w:szCs w:val="20"/>
          <w:shd w:fill="EEEEEE" w:val="clear"/>
        </w:rPr>
        <w:t xml:space="preserve">COMPLIANCE_ALERT_WARNING_TITLE</w:t>
      </w:r>
      <w:r>
        <w:t xml:space="preserve">) — pas rouge ; le contrôle SIRET affiche un avertissement (texte de contrôle SIRET) plutôt qu'un blocage — un identifiant plausible mais douteux reste un avertissement, pas une erreur.</w:t>
      </w:r>
    </w:p>
    <w:p>
      <w:pPr>
        <w:pStyle w:val="Heading2"/>
        <w:spacing w:after="140" w:before="260"/>
      </w:pPr>
      <w:r>
        <w:t xml:space="preserve">[MOB-COMP-04] Scan avec TVA absente (franchise en base)</w:t>
      </w:r>
    </w:p>
    <w:p>
      <w:pPr>
        <w:spacing w:after="120"/>
      </w:pPr>
      <w:r>
        <w:rPr>
          <w:b/>
          <w:bCs/>
        </w:rPr>
        <w:t xml:space="preserve">Type :</w:t>
      </w:r>
      <w:r>
        <w:t xml:space="preserve"> Passant / cas limite</w:t>
      </w:r>
    </w:p>
    <w:p>
      <w:pPr>
        <w:spacing w:after="120"/>
      </w:pPr>
      <w:r>
        <w:rPr>
          <w:b/>
          <w:bCs/>
        </w:rPr>
        <w:t xml:space="preserve">Préconditions :</w:t>
      </w:r>
      <w:r>
        <w:t xml:space="preserve"> Numéro de TVA émetteur non renseigné (franchise en base légitime).</w:t>
      </w:r>
    </w:p>
    <w:p>
      <w:pPr>
        <w:spacing w:after="120"/>
      </w:pPr>
      <w:r>
        <w:rPr>
          <w:b/>
          <w:bCs/>
        </w:rPr>
        <w:t xml:space="preserve">Actions :</w:t>
      </w:r>
    </w:p>
    <w:p>
      <w:pPr>
        <w:spacing w:after="80"/>
        <w:ind w:left="360"/>
      </w:pPr>
      <w:r>
        <w:rPr>
          <w:b/>
          <w:bCs/>
        </w:rPr>
        <w:t xml:space="preserve">1. </w:t>
      </w:r>
      <w:r>
        <w:t xml:space="preserve">Taper « Scanner la conformité ».</w:t>
      </w:r>
    </w:p>
    <w:p>
      <w:pPr>
        <w:spacing w:after="120"/>
      </w:pPr>
      <w:r>
        <w:rPr>
          <w:b/>
          <w:bCs/>
        </w:rPr>
        <w:t xml:space="preserve">Résultat attendu :</w:t>
      </w:r>
      <w:r>
        <w:t xml:space="preserve"> le contrôle TVA passe en </w:t>
      </w:r>
      <w:r>
        <w:rPr>
          <w:b/>
          <w:bCs/>
        </w:rPr>
        <w:t xml:space="preserve">avertissement</w:t>
      </w:r>
      <w:r>
        <w:t xml:space="preserve">, pas en échec — la franchise en base est un cas légal, pas une anomalie.</w:t>
      </w:r>
    </w:p>
    <w:p>
      <w:pPr>
        <w:pStyle w:val="Heading2"/>
        <w:spacing w:after="140" w:before="260"/>
      </w:pPr>
      <w:r>
        <w:t xml:space="preserve">[MOB-COMP-05] Scan avec mentions légales manquantes</w:t>
      </w:r>
    </w:p>
    <w:p>
      <w:pPr>
        <w:spacing w:after="120"/>
      </w:pPr>
      <w:r>
        <w:rPr>
          <w:b/>
          <w:bCs/>
        </w:rPr>
        <w:t xml:space="preserve">Type :</w:t>
      </w:r>
      <w:r>
        <w:t xml:space="preserve"> Non passant</w:t>
      </w:r>
    </w:p>
    <w:p>
      <w:pPr>
        <w:spacing w:after="120"/>
      </w:pPr>
      <w:r>
        <w:rPr>
          <w:b/>
          <w:bCs/>
        </w:rPr>
        <w:t xml:space="preserve">Préconditions :</w:t>
      </w:r>
      <w:r>
        <w:t xml:space="preserve"> Case « Appliquer les pénalités de retard légales (B2B) » décochée.</w:t>
      </w:r>
    </w:p>
    <w:p>
      <w:pPr>
        <w:spacing w:after="120"/>
      </w:pPr>
      <w:r>
        <w:rPr>
          <w:b/>
          <w:bCs/>
        </w:rPr>
        <w:t xml:space="preserve">Actions :</w:t>
      </w:r>
    </w:p>
    <w:p>
      <w:pPr>
        <w:spacing w:after="80"/>
        <w:ind w:left="360"/>
      </w:pPr>
      <w:r>
        <w:rPr>
          <w:b/>
          <w:bCs/>
        </w:rPr>
        <w:t xml:space="preserve">1. </w:t>
      </w:r>
      <w:r>
        <w:t xml:space="preserve">Taper « Scanner la conformité ».</w:t>
      </w:r>
    </w:p>
    <w:p>
      <w:pPr>
        <w:spacing w:after="120"/>
      </w:pPr>
      <w:r>
        <w:rPr>
          <w:b/>
          <w:bCs/>
        </w:rPr>
        <w:t xml:space="preserve">Résultat attendu :</w:t>
      </w:r>
      <w:r>
        <w:t xml:space="preserve"> contrôle « Mentions légales obligatoires » en avertissement/échec selon la gravité définie ; le bandeau global reflète la présence de cette anomalie.</w:t>
      </w:r>
    </w:p>
    <w:p>
      <w:pPr>
        <w:pStyle w:val="Heading2"/>
        <w:spacing w:after="140" w:before="260"/>
      </w:pPr>
      <w:r>
        <w:t xml:space="preserve">[MOB-COMP-06] Scan avec Factur-X désactivé</w:t>
      </w:r>
    </w:p>
    <w:p>
      <w:pPr>
        <w:spacing w:after="120"/>
      </w:pPr>
      <w:r>
        <w:rPr>
          <w:b/>
          <w:bCs/>
        </w:rPr>
        <w:t xml:space="preserve">Type :</w:t>
      </w:r>
      <w:r>
        <w:t xml:space="preserve"> Non passant</w:t>
      </w:r>
    </w:p>
    <w:p>
      <w:pPr>
        <w:spacing w:after="120"/>
      </w:pPr>
      <w:r>
        <w:rPr>
          <w:b/>
          <w:bCs/>
        </w:rPr>
        <w:t xml:space="preserve">Préconditions :</w:t>
      </w:r>
      <w:r>
        <w:t xml:space="preserve"> Bascule « Générer au format légal Factur-X » décochée.</w:t>
      </w:r>
    </w:p>
    <w:p>
      <w:pPr>
        <w:spacing w:after="120"/>
      </w:pPr>
      <w:r>
        <w:rPr>
          <w:b/>
          <w:bCs/>
        </w:rPr>
        <w:t xml:space="preserve">Actions :</w:t>
      </w:r>
    </w:p>
    <w:p>
      <w:pPr>
        <w:spacing w:after="80"/>
        <w:ind w:left="360"/>
      </w:pPr>
      <w:r>
        <w:rPr>
          <w:b/>
          <w:bCs/>
        </w:rPr>
        <w:t xml:space="preserve">1. </w:t>
      </w:r>
      <w:r>
        <w:t xml:space="preserve">Taper « Scanner la conformité ».</w:t>
      </w:r>
    </w:p>
    <w:p>
      <w:pPr>
        <w:spacing w:after="120"/>
      </w:pPr>
      <w:r>
        <w:rPr>
          <w:b/>
          <w:bCs/>
        </w:rPr>
        <w:t xml:space="preserve">Résultat attendu :</w:t>
      </w:r>
      <w:r>
        <w:t xml:space="preserve"> le contrôle « Structure Factur-X 2026 » signale que la génération est désactivée sur cette facture.</w:t>
      </w:r>
    </w:p>
    <w:p>
      <w:pPr>
        <w:pStyle w:val="Heading2"/>
        <w:spacing w:after="140" w:before="260"/>
      </w:pPr>
      <w:r>
        <w:t xml:space="preserve">[MOB-COMP-07] Revalidation dynamique — le rapport se périme à la frappe</w:t>
      </w:r>
    </w:p>
    <w:p>
      <w:pPr>
        <w:spacing w:after="120"/>
      </w:pPr>
      <w:r>
        <w:rPr>
          <w:b/>
          <w:bCs/>
        </w:rPr>
        <w:t xml:space="preserve">Type :</w:t>
      </w:r>
      <w:r>
        <w:t xml:space="preserve"> Passant / non-régression </w:t>
      </w:r>
      <w:r>
        <w:rPr>
          <w:b/>
          <w:bCs/>
        </w:rPr>
        <w:t xml:space="preserve">critique</w:t>
      </w:r>
    </w:p>
    <w:p>
      <w:pPr>
        <w:spacing w:after="120"/>
      </w:pPr>
      <w:r>
        <w:rPr>
          <w:b/>
          <w:bCs/>
        </w:rPr>
        <w:t xml:space="preserve">Préconditions :</w:t>
      </w:r>
      <w:r>
        <w:t xml:space="preserve"> Un scan vient d'être exécuté, la checklist est affichée.</w:t>
      </w:r>
    </w:p>
    <w:p>
      <w:pPr>
        <w:spacing w:after="120"/>
      </w:pPr>
      <w:r>
        <w:rPr>
          <w:b/>
          <w:bCs/>
        </w:rPr>
        <w:t xml:space="preserve">Actions :</w:t>
      </w:r>
    </w:p>
    <w:p>
      <w:pPr>
        <w:spacing w:after="80"/>
        <w:ind w:left="360"/>
      </w:pPr>
      <w:r>
        <w:rPr>
          <w:b/>
          <w:bCs/>
        </w:rPr>
        <w:t xml:space="preserve">1. </w:t>
      </w:r>
      <w:r>
        <w:t xml:space="preserve">Modifier n'importe quel champ du formulaire (ex. rebasculer la case B2B, changer une ligne).</w:t>
      </w:r>
    </w:p>
    <w:p>
      <w:pPr>
        <w:spacing w:after="120"/>
      </w:pPr>
      <w:r>
        <w:rPr>
          <w:b/>
          <w:bCs/>
        </w:rPr>
        <w:t xml:space="preserve">Résultat attendu :</w:t>
      </w:r>
      <w:r>
        <w:t xml:space="preserve"> la checklist et le bandeau </w:t>
      </w:r>
      <w:r>
        <w:rPr>
          <w:b/>
          <w:bCs/>
        </w:rPr>
        <w:t xml:space="preserve">disparaissent immédiatement</w:t>
      </w:r>
      <w:r>
        <w:t xml:space="preserve"> — un rapport de conformité ne doit jamais rester affiché comme actuel après une modification qui pourrait l'invalider. Il faut relancer un scan pour obtenir un nouveau rapport.</w:t>
      </w:r>
    </w:p>
    <w:p>
      <w:pPr>
        <w:pStyle w:val="Heading2"/>
        <w:spacing w:after="140" w:before="260"/>
      </w:pPr>
      <w:r>
        <w:t xml:space="preserve">[MOB-COMP-08] Cible tactile du bouton de scan</w:t>
      </w:r>
    </w:p>
    <w:p>
      <w:pPr>
        <w:spacing w:after="120"/>
      </w:pPr>
      <w:r>
        <w:rPr>
          <w:b/>
          <w:bCs/>
        </w:rPr>
        <w:t xml:space="preserve">Type :</w:t>
      </w:r>
      <w:r>
        <w:t xml:space="preserve"> Passant / non-régression</w:t>
      </w:r>
    </w:p>
    <w:p>
      <w:pPr>
        <w:spacing w:after="120"/>
      </w:pPr>
      <w:r>
        <w:rPr>
          <w:b/>
          <w:bCs/>
        </w:rPr>
        <w:t xml:space="preserve">Préconditions :</w:t>
      </w:r>
      <w:r>
        <w:t xml:space="preserve"> Panneau de conformité visible.</w:t>
      </w:r>
    </w:p>
    <w:p>
      <w:pPr>
        <w:spacing w:after="120"/>
      </w:pPr>
      <w:r>
        <w:rPr>
          <w:b/>
          <w:bCs/>
        </w:rPr>
        <w:t xml:space="preserve">Actions :</w:t>
      </w:r>
    </w:p>
    <w:p>
      <w:pPr>
        <w:spacing w:after="80"/>
        <w:ind w:left="360"/>
      </w:pPr>
      <w:r>
        <w:rPr>
          <w:b/>
          <w:bCs/>
        </w:rPr>
        <w:t xml:space="preserve">1. </w:t>
      </w:r>
      <w:r>
        <w:t xml:space="preserve">Mesurer/observer la zone tactile du bouton « Scanner la conformité ».</w:t>
      </w:r>
    </w:p>
    <w:p>
      <w:pPr>
        <w:spacing w:after="120"/>
      </w:pPr>
      <w:r>
        <w:rPr>
          <w:b/>
          <w:bCs/>
        </w:rPr>
        <w:t xml:space="preserve">Résultat attendu :</w:t>
      </w:r>
      <w:r>
        <w:t xml:space="preserve"> hauteur ≥ 48 dp, joignable après défilement même en bas d'un long formulaire.</w:t>
      </w:r>
    </w:p>
    <w:p>
      <w:pPr>
        <w:pBdr>
          <w:bottom w:val="single" w:color="AAAAAA" w:sz="6" w:space="1"/>
        </w:pBdr>
        <w:spacing w:after="240" w:before="120"/>
      </w:pPr>
    </w:p>
    <w:p>
      <w:pPr>
        <w:pStyle w:val="Heading1"/>
        <w:pageBreakBefore/>
        <w:spacing w:after="140" w:before="400"/>
      </w:pPr>
      <w:r>
        <w:t xml:space="preserve">6. Export Comptable</w:t>
      </w:r>
    </w:p>
    <w:p>
      <w:pPr>
        <w:pStyle w:val="Heading2"/>
        <w:spacing w:after="140" w:before="260"/>
      </w:pPr>
      <w:r>
        <w:t xml:space="preserve">[MOB-EXP-01] Ouverture de la modale d'export</w:t>
      </w:r>
    </w:p>
    <w:p>
      <w:pPr>
        <w:spacing w:after="120"/>
      </w:pPr>
      <w:r>
        <w:rPr>
          <w:b/>
          <w:bCs/>
        </w:rPr>
        <w:t xml:space="preserve">Type :</w:t>
      </w:r>
      <w:r>
        <w:t xml:space="preserve"> Passant</w:t>
      </w:r>
    </w:p>
    <w:p>
      <w:pPr>
        <w:spacing w:after="120"/>
      </w:pPr>
      <w:r>
        <w:rPr>
          <w:b/>
          <w:bCs/>
        </w:rPr>
        <w:t xml:space="preserve">Préconditions :</w:t>
      </w:r>
      <w:r>
        <w:t xml:space="preserve"> N'importe quel écran du shell portant le déclencheur d'export dans l'en-tête (</w:t>
      </w:r>
      <w:r>
        <w:rPr>
          <w:rFonts w:ascii="Consolas" w:cs="Consolas" w:eastAsia="Consolas" w:hAnsi="Consolas"/>
          <w:sz w:val="20"/>
          <w:szCs w:val="20"/>
          <w:shd w:fill="EEEEEE" w:val="clear"/>
        </w:rPr>
        <w:t xml:space="preserve">export_modal_trigger</w:t>
      </w:r>
      <w:r>
        <w:t xml:space="preserve">).</w:t>
      </w:r>
    </w:p>
    <w:p>
      <w:pPr>
        <w:spacing w:after="120"/>
      </w:pPr>
      <w:r>
        <w:rPr>
          <w:b/>
          <w:bCs/>
        </w:rPr>
        <w:t xml:space="preserve">Actions :</w:t>
      </w:r>
    </w:p>
    <w:p>
      <w:pPr>
        <w:spacing w:after="80"/>
        <w:ind w:left="360"/>
      </w:pPr>
      <w:r>
        <w:rPr>
          <w:b/>
          <w:bCs/>
        </w:rPr>
        <w:t xml:space="preserve">1. </w:t>
      </w:r>
      <w:r>
        <w:t xml:space="preserve">Taper l'icône 📤 dans l'en-tête.</w:t>
      </w:r>
    </w:p>
    <w:p>
      <w:pPr>
        <w:spacing w:after="120"/>
      </w:pPr>
      <w:r>
        <w:rPr>
          <w:b/>
          <w:bCs/>
        </w:rPr>
        <w:t xml:space="preserve">Résultat attendu :</w:t>
      </w:r>
      <w:r>
        <w:t xml:space="preserve"> une feuille modale (</w:t>
      </w:r>
      <w:r>
        <w:rPr>
          <w:rFonts w:ascii="Consolas" w:cs="Consolas" w:eastAsia="Consolas" w:hAnsi="Consolas"/>
          <w:sz w:val="20"/>
          <w:szCs w:val="20"/>
          <w:shd w:fill="EEEEEE" w:val="clear"/>
        </w:rPr>
        <w:t xml:space="preserve">export_modal_dialog</w:t>
      </w:r>
      <w:r>
        <w:t xml:space="preserve">) s'ouvre depuis le bas, avec une section « Période d'export » (champs « Du » / « Au ») et une section « Format de sortie » listant 3 cartes.</w:t>
      </w:r>
    </w:p>
    <w:p>
      <w:pPr>
        <w:pStyle w:val="Heading2"/>
        <w:spacing w:after="140" w:before="260"/>
      </w:pPr>
      <w:r>
        <w:t xml:space="preserve">[MOB-EXP-02] Sélection de chaque format</w:t>
      </w:r>
    </w:p>
    <w:p>
      <w:pPr>
        <w:spacing w:after="120"/>
      </w:pPr>
      <w:r>
        <w:rPr>
          <w:b/>
          <w:bCs/>
        </w:rPr>
        <w:t xml:space="preserve">Type :</w:t>
      </w:r>
      <w:r>
        <w:t xml:space="preserve"> Passant</w:t>
      </w:r>
    </w:p>
    <w:p>
      <w:pPr>
        <w:spacing w:after="120"/>
      </w:pPr>
      <w:r>
        <w:rPr>
          <w:b/>
          <w:bCs/>
        </w:rPr>
        <w:t xml:space="preserve">Préconditions :</w:t>
      </w:r>
      <w:r>
        <w:t xml:space="preserve"> Modale ouverte.</w:t>
      </w:r>
    </w:p>
    <w:p>
      <w:pPr>
        <w:spacing w:after="120"/>
      </w:pPr>
      <w:r>
        <w:rPr>
          <w:b/>
          <w:bCs/>
        </w:rPr>
        <w:t xml:space="preserve">Actions :</w:t>
      </w:r>
    </w:p>
    <w:p>
      <w:pPr>
        <w:spacing w:after="80"/>
        <w:ind w:left="360"/>
      </w:pPr>
      <w:r>
        <w:rPr>
          <w:b/>
          <w:bCs/>
        </w:rPr>
        <w:t xml:space="preserve">1. </w:t>
      </w:r>
      <w:r>
        <w:t xml:space="preserve">Taper successivement les 3 cartes : « Format FEC Officiel » (</w:t>
      </w:r>
      <w:r>
        <w:rPr>
          <w:rFonts w:ascii="Consolas" w:cs="Consolas" w:eastAsia="Consolas" w:hAnsi="Consolas"/>
          <w:sz w:val="20"/>
          <w:szCs w:val="20"/>
          <w:shd w:fill="EEEEEE" w:val="clear"/>
        </w:rPr>
        <w:t xml:space="preserve">export_format_fec</w:t>
      </w:r>
      <w:r>
        <w:t xml:space="preserve">), « Archive Factur-X complète » (</w:t>
      </w:r>
      <w:r>
        <w:rPr>
          <w:rFonts w:ascii="Consolas" w:cs="Consolas" w:eastAsia="Consolas" w:hAnsi="Consolas"/>
          <w:sz w:val="20"/>
          <w:szCs w:val="20"/>
          <w:shd w:fill="EEEEEE" w:val="clear"/>
        </w:rPr>
        <w:t xml:space="preserve">export_format_facturx</w:t>
      </w:r>
      <w:r>
        <w:t xml:space="preserve">), « Synthèse Excel » (</w:t>
      </w:r>
      <w:r>
        <w:rPr>
          <w:rFonts w:ascii="Consolas" w:cs="Consolas" w:eastAsia="Consolas" w:hAnsi="Consolas"/>
          <w:sz w:val="20"/>
          <w:szCs w:val="20"/>
          <w:shd w:fill="EEEEEE" w:val="clear"/>
        </w:rPr>
        <w:t xml:space="preserve">export_format_excel</w:t>
      </w:r>
      <w:r>
        <w:t xml:space="preserve">).</w:t>
      </w:r>
    </w:p>
    <w:p>
      <w:pPr>
        <w:spacing w:after="120"/>
      </w:pPr>
      <w:r>
        <w:rPr>
          <w:b/>
          <w:bCs/>
        </w:rPr>
        <w:t xml:space="preserve">Résultat attendu :</w:t>
      </w:r>
      <w:r>
        <w:t xml:space="preserve"> chaque tap sélectionne visuellement une seule carte à la fois (état exclusif) ; les sous-titres affichés correspondent : « Écritures comptables opposables », « Toutes les pièces de la période », « Récapitulatif pour votre tableur ».</w:t>
      </w:r>
    </w:p>
    <w:p>
      <w:pPr>
        <w:pStyle w:val="Heading2"/>
        <w:spacing w:after="140" w:before="260"/>
      </w:pPr>
      <w:r>
        <w:t xml:space="preserve">[MOB-EXP-03] Période invalide — dates inversées</w:t>
      </w:r>
    </w:p>
    <w:p>
      <w:pPr>
        <w:spacing w:after="120"/>
      </w:pPr>
      <w:r>
        <w:rPr>
          <w:b/>
          <w:bCs/>
        </w:rPr>
        <w:t xml:space="preserve">Type :</w:t>
      </w:r>
      <w:r>
        <w:t xml:space="preserve"> Non passant</w:t>
      </w:r>
    </w:p>
    <w:p>
      <w:pPr>
        <w:spacing w:after="120"/>
      </w:pPr>
      <w:r>
        <w:rPr>
          <w:b/>
          <w:bCs/>
        </w:rPr>
        <w:t xml:space="preserve">Préconditions :</w:t>
      </w:r>
      <w:r>
        <w:t xml:space="preserve"> Modale ouverte.</w:t>
      </w:r>
    </w:p>
    <w:p>
      <w:pPr>
        <w:spacing w:after="120"/>
      </w:pPr>
      <w:r>
        <w:rPr>
          <w:b/>
          <w:bCs/>
        </w:rPr>
        <w:t xml:space="preserve">Actions :</w:t>
      </w:r>
    </w:p>
    <w:p>
      <w:pPr>
        <w:spacing w:after="80"/>
        <w:ind w:left="360"/>
      </w:pPr>
      <w:r>
        <w:rPr>
          <w:b/>
          <w:bCs/>
        </w:rPr>
        <w:t xml:space="preserve">1. </w:t>
      </w:r>
      <w:r>
        <w:t xml:space="preserve">Saisir dans « Du » une date postérieure à celle saisie dans « Au ».</w:t>
      </w:r>
    </w:p>
    <w:p>
      <w:pPr>
        <w:spacing w:after="80"/>
        <w:ind w:left="360"/>
      </w:pPr>
      <w:r>
        <w:rPr>
          <w:b/>
          <w:bCs/>
        </w:rPr>
        <w:t xml:space="preserve">2. </w:t>
      </w:r>
      <w:r>
        <w:t xml:space="preserve">Taper « Générer l'archive » (</w:t>
      </w:r>
      <w:r>
        <w:rPr>
          <w:rFonts w:ascii="Consolas" w:cs="Consolas" w:eastAsia="Consolas" w:hAnsi="Consolas"/>
          <w:sz w:val="20"/>
          <w:szCs w:val="20"/>
          <w:shd w:fill="EEEEEE" w:val="clear"/>
        </w:rPr>
        <w:t xml:space="preserve">export_generate_btn</w:t>
      </w:r>
      <w:r>
        <w:t xml:space="preserve">).</w:t>
      </w:r>
    </w:p>
    <w:p>
      <w:pPr>
        <w:spacing w:after="120"/>
      </w:pPr>
      <w:r>
        <w:rPr>
          <w:b/>
          <w:bCs/>
        </w:rPr>
        <w:t xml:space="preserve">Résultat attendu :</w:t>
      </w:r>
      <w:r>
        <w:t xml:space="preserve"> erreur « La date de fin doit suivre la date de début » (</w:t>
      </w:r>
      <w:r>
        <w:rPr>
          <w:rFonts w:ascii="Consolas" w:cs="Consolas" w:eastAsia="Consolas" w:hAnsi="Consolas"/>
          <w:sz w:val="20"/>
          <w:szCs w:val="20"/>
          <w:shd w:fill="EEEEEE" w:val="clear"/>
        </w:rPr>
        <w:t xml:space="preserve">EXPORT_PERIOD_INVALID</w:t>
      </w:r>
      <w:r>
        <w:t xml:space="preserve">) ; aucune génération ne démarre.</w:t>
      </w:r>
    </w:p>
    <w:p>
      <w:pPr>
        <w:pStyle w:val="Heading2"/>
        <w:spacing w:after="140" w:before="260"/>
      </w:pPr>
      <w:r>
        <w:t xml:space="preserve">[MOB-EXP-04] Génération — animation et téléchargement</w:t>
      </w:r>
    </w:p>
    <w:p>
      <w:pPr>
        <w:spacing w:after="120"/>
      </w:pPr>
      <w:r>
        <w:rPr>
          <w:b/>
          <w:bCs/>
        </w:rPr>
        <w:t xml:space="preserve">Type :</w:t>
      </w:r>
      <w:r>
        <w:t xml:space="preserve"> Passant</w:t>
      </w:r>
    </w:p>
    <w:p>
      <w:pPr>
        <w:spacing w:after="120"/>
      </w:pPr>
      <w:r>
        <w:rPr>
          <w:b/>
          <w:bCs/>
        </w:rPr>
        <w:t xml:space="preserve">Préconditions :</w:t>
      </w:r>
      <w:r>
        <w:t xml:space="preserve"> Période et format valides sélectionnés.</w:t>
      </w:r>
    </w:p>
    <w:p>
      <w:pPr>
        <w:spacing w:after="120"/>
      </w:pPr>
      <w:r>
        <w:rPr>
          <w:b/>
          <w:bCs/>
        </w:rPr>
        <w:t xml:space="preserve">Actions :</w:t>
      </w:r>
    </w:p>
    <w:p>
      <w:pPr>
        <w:spacing w:after="80"/>
        <w:ind w:left="360"/>
      </w:pPr>
      <w:r>
        <w:rPr>
          <w:b/>
          <w:bCs/>
        </w:rPr>
        <w:t xml:space="preserve">1. </w:t>
      </w:r>
      <w:r>
        <w:t xml:space="preserve">Taper « Générer l'archive ».</w:t>
      </w:r>
    </w:p>
    <w:p>
      <w:pPr>
        <w:spacing w:after="80"/>
        <w:ind w:left="360"/>
      </w:pPr>
      <w:r>
        <w:rPr>
          <w:b/>
          <w:bCs/>
        </w:rPr>
        <w:t xml:space="preserve">2. </w:t>
      </w:r>
      <w:r>
        <w:t xml:space="preserve">Observer la barre de progression (</w:t>
      </w:r>
      <w:r>
        <w:rPr>
          <w:rFonts w:ascii="Consolas" w:cs="Consolas" w:eastAsia="Consolas" w:hAnsi="Consolas"/>
          <w:sz w:val="20"/>
          <w:szCs w:val="20"/>
          <w:shd w:fill="EEEEEE" w:val="clear"/>
        </w:rPr>
        <w:t xml:space="preserve">export_progress_bar</w:t>
      </w:r>
      <w:r>
        <w:t xml:space="preserve">) pendant la génération.</w:t>
      </w:r>
    </w:p>
    <w:p>
      <w:pPr>
        <w:spacing w:after="80"/>
        <w:ind w:left="360"/>
      </w:pPr>
      <w:r>
        <w:rPr>
          <w:b/>
          <w:bCs/>
        </w:rPr>
        <w:t xml:space="preserve">3. </w:t>
      </w:r>
      <w:r>
        <w:t xml:space="preserve">Une fois terminé, taper « Télécharger l'archive (.zip) » (</w:t>
      </w:r>
      <w:r>
        <w:rPr>
          <w:rFonts w:ascii="Consolas" w:cs="Consolas" w:eastAsia="Consolas" w:hAnsi="Consolas"/>
          <w:sz w:val="20"/>
          <w:szCs w:val="20"/>
          <w:shd w:fill="EEEEEE" w:val="clear"/>
        </w:rPr>
        <w:t xml:space="preserve">export_download_btn</w:t>
      </w:r>
      <w:r>
        <w:t xml:space="preserve">).</w:t>
      </w:r>
    </w:p>
    <w:p>
      <w:pPr>
        <w:spacing w:after="120"/>
      </w:pPr>
      <w:r>
        <w:rPr>
          <w:b/>
          <w:bCs/>
        </w:rPr>
        <w:t xml:space="preserve">Résultat attendu :</w:t>
      </w:r>
    </w:p>
    <w:p>
      <w:pPr>
        <w:pStyle w:val="ListParagraph"/>
        <w:numPr>
          <w:ilvl w:val="0"/>
          <w:numId w:val="1"/>
        </w:numPr>
        <w:spacing w:after="80"/>
      </w:pPr>
      <w:r>
        <w:t xml:space="preserve">Étape 2 : la barre progresse visuellement de 0 à 100 % (pas un saut instantané).</w:t>
      </w:r>
    </w:p>
    <w:p>
      <w:pPr>
        <w:pStyle w:val="ListParagraph"/>
        <w:numPr>
          <w:ilvl w:val="0"/>
          <w:numId w:val="1"/>
        </w:numPr>
        <w:spacing w:after="80"/>
      </w:pPr>
      <w:r>
        <w:t xml:space="preserve">Étape 3 : le bouton « Générer l'archive » a été remplacé par « Télécharger l'archive (.zip) » ; le fichier est proposé à l'enregistrement/au partage par le système.</w:t>
      </w:r>
    </w:p>
    <w:p>
      <w:pPr>
        <w:pStyle w:val="Heading2"/>
        <w:spacing w:after="140" w:before="260"/>
      </w:pPr>
      <w:r>
        <w:t xml:space="preserve">[MOB-EXP-05] Fermeture pendant une génération en cours</w:t>
      </w:r>
    </w:p>
    <w:p>
      <w:pPr>
        <w:spacing w:after="120"/>
      </w:pPr>
      <w:r>
        <w:rPr>
          <w:b/>
          <w:bCs/>
        </w:rPr>
        <w:t xml:space="preserve">Type :</w:t>
      </w:r>
      <w:r>
        <w:t xml:space="preserve"> Non passant / cas limite</w:t>
      </w:r>
    </w:p>
    <w:p>
      <w:pPr>
        <w:spacing w:after="120"/>
      </w:pPr>
      <w:r>
        <w:rPr>
          <w:b/>
          <w:bCs/>
        </w:rPr>
        <w:t xml:space="preserve">Préconditions :</w:t>
      </w:r>
      <w:r>
        <w:t xml:space="preserve"> Génération en cours (barre de progression visible).</w:t>
      </w:r>
    </w:p>
    <w:p>
      <w:pPr>
        <w:spacing w:after="120"/>
      </w:pPr>
      <w:r>
        <w:rPr>
          <w:b/>
          <w:bCs/>
        </w:rPr>
        <w:t xml:space="preserve">Actions :</w:t>
      </w:r>
    </w:p>
    <w:p>
      <w:pPr>
        <w:spacing w:after="80"/>
        <w:ind w:left="360"/>
      </w:pPr>
      <w:r>
        <w:rPr>
          <w:b/>
          <w:bCs/>
        </w:rPr>
        <w:t xml:space="preserve">1. </w:t>
      </w:r>
      <w:r>
        <w:t xml:space="preserve">Fermer la modale (croix, geste retour, ou tap en dehors) avant la fin de la génération.</w:t>
      </w:r>
    </w:p>
    <w:p>
      <w:pPr>
        <w:spacing w:after="120"/>
      </w:pPr>
      <w:r>
        <w:rPr>
          <w:b/>
          <w:bCs/>
        </w:rPr>
        <w:t xml:space="preserve">Résultat attendu :</w:t>
      </w:r>
      <w:r>
        <w:t xml:space="preserve"> la génération en vol est annulée proprement ; aucune archive partielle ni notification erronée de succès n'apparaît après la fermeture.</w:t>
      </w:r>
    </w:p>
    <w:p>
      <w:pPr>
        <w:pStyle w:val="Heading2"/>
        <w:spacing w:after="140" w:before="260"/>
      </w:pPr>
      <w:r>
        <w:t xml:space="preserve">[MOB-EXP-06] Aucune facture sur la période</w:t>
      </w:r>
    </w:p>
    <w:p>
      <w:pPr>
        <w:spacing w:after="120"/>
      </w:pPr>
      <w:r>
        <w:rPr>
          <w:b/>
          <w:bCs/>
        </w:rPr>
        <w:t xml:space="preserve">Type :</w:t>
      </w:r>
      <w:r>
        <w:t xml:space="preserve"> Non passant / cas limite</w:t>
      </w:r>
    </w:p>
    <w:p>
      <w:pPr>
        <w:spacing w:after="120"/>
      </w:pPr>
      <w:r>
        <w:rPr>
          <w:b/>
          <w:bCs/>
        </w:rPr>
        <w:t xml:space="preserve">Préconditions :</w:t>
      </w:r>
      <w:r>
        <w:t xml:space="preserve"> Période sélectionnée sans aucune facture émise.</w:t>
      </w:r>
    </w:p>
    <w:p>
      <w:pPr>
        <w:spacing w:after="120"/>
      </w:pPr>
      <w:r>
        <w:rPr>
          <w:b/>
          <w:bCs/>
        </w:rPr>
        <w:t xml:space="preserve">Actions :</w:t>
      </w:r>
    </w:p>
    <w:p>
      <w:pPr>
        <w:spacing w:after="80"/>
        <w:ind w:left="360"/>
      </w:pPr>
      <w:r>
        <w:rPr>
          <w:b/>
          <w:bCs/>
        </w:rPr>
        <w:t xml:space="preserve">1. </w:t>
      </w:r>
      <w:r>
        <w:t xml:space="preserve">Générer l'archive sur cette période.</w:t>
      </w:r>
    </w:p>
    <w:p>
      <w:pPr>
        <w:spacing w:after="120"/>
      </w:pPr>
      <w:r>
        <w:rPr>
          <w:b/>
          <w:bCs/>
        </w:rPr>
        <w:t xml:space="preserve">Résultat attendu :</w:t>
      </w:r>
      <w:r>
        <w:t xml:space="preserve"> l'export aboutit sans planter (archive vide ou message informatif — vérifier qu'aucune exception n'est visible côté UI).</w:t>
      </w:r>
    </w:p>
    <w:p>
      <w:pPr>
        <w:pStyle w:val="Heading2"/>
        <w:spacing w:after="140" w:before="260"/>
      </w:pPr>
      <w:r>
        <w:t xml:space="preserve">[MOB-EXP-07] Feuille joignable sur un écran compact (non-régression US-22)</w:t>
      </w:r>
    </w:p>
    <w:p>
      <w:pPr>
        <w:spacing w:after="120"/>
      </w:pPr>
      <w:r>
        <w:rPr>
          <w:b/>
          <w:bCs/>
        </w:rPr>
        <w:t xml:space="preserve">Type :</w:t>
      </w:r>
      <w:r>
        <w:t xml:space="preserve"> Passant / non-régression</w:t>
      </w:r>
    </w:p>
    <w:p>
      <w:pPr>
        <w:spacing w:after="120"/>
      </w:pPr>
      <w:r>
        <w:rPr>
          <w:b/>
          <w:bCs/>
        </w:rPr>
        <w:t xml:space="preserve">Préconditions :</w:t>
      </w:r>
      <w:r>
        <w:t xml:space="preserve"> Émulateur Pixel 5 (851 dp de hauteur).</w:t>
      </w:r>
    </w:p>
    <w:p>
      <w:pPr>
        <w:spacing w:after="120"/>
      </w:pPr>
      <w:r>
        <w:rPr>
          <w:b/>
          <w:bCs/>
        </w:rPr>
        <w:t xml:space="preserve">Actions :</w:t>
      </w:r>
    </w:p>
    <w:p>
      <w:pPr>
        <w:spacing w:after="80"/>
        <w:ind w:left="360"/>
      </w:pPr>
      <w:r>
        <w:rPr>
          <w:b/>
          <w:bCs/>
        </w:rPr>
        <w:t xml:space="preserve">1. </w:t>
      </w:r>
      <w:r>
        <w:t xml:space="preserve">Ouvrir la modale, défiler jusqu'au bouton de génération tout en bas.</w:t>
      </w:r>
    </w:p>
    <w:p>
      <w:pPr>
        <w:spacing w:after="120"/>
      </w:pPr>
      <w:r>
        <w:rPr>
          <w:b/>
          <w:bCs/>
        </w:rPr>
        <w:t xml:space="preserve">Résultat attendu :</w:t>
      </w:r>
      <w:r>
        <w:t xml:space="preserve"> le bouton « Générer l'archive » est atteignable par défilement, jamais masqué sous la barre système — historique du bug corrigé en US-22 (feuille ancrée en bas d'une fenêtre débordant sous les barres système, sans défilement possible).</w:t>
      </w:r>
    </w:p>
    <w:p>
      <w:pPr>
        <w:pBdr>
          <w:bottom w:val="single" w:color="AAAAAA" w:sz="6" w:space="1"/>
        </w:pBdr>
        <w:spacing w:after="240" w:before="120"/>
      </w:pPr>
    </w:p>
    <w:p>
      <w:pPr>
        <w:pStyle w:val="Heading1"/>
        <w:pageBreakBefore/>
        <w:spacing w:after="140" w:before="400"/>
      </w:pPr>
      <w:r>
        <w:t xml:space="preserve">7. Paramètres Fiscaux</w:t>
      </w:r>
    </w:p>
    <w:p>
      <w:pPr>
        <w:pStyle w:val="Heading2"/>
        <w:spacing w:after="140" w:before="260"/>
      </w:pPr>
      <w:r>
        <w:t xml:space="preserve">[MOB-SET-01] Affichage des paramètres existants</w:t>
      </w:r>
    </w:p>
    <w:p>
      <w:pPr>
        <w:spacing w:after="120"/>
      </w:pPr>
      <w:r>
        <w:rPr>
          <w:b/>
          <w:bCs/>
        </w:rPr>
        <w:t xml:space="preserve">Type :</w:t>
      </w:r>
      <w:r>
        <w:t xml:space="preserve"> Passant</w:t>
      </w:r>
    </w:p>
    <w:p>
      <w:pPr>
        <w:spacing w:after="120"/>
      </w:pPr>
      <w:r>
        <w:rPr>
          <w:b/>
          <w:bCs/>
        </w:rPr>
        <w:t xml:space="preserve">Préconditions :</w:t>
      </w:r>
      <w:r>
        <w:t xml:space="preserve"> Onglet Paramètres (</w:t>
      </w:r>
      <w:r>
        <w:rPr>
          <w:rFonts w:ascii="Consolas" w:cs="Consolas" w:eastAsia="Consolas" w:hAnsi="Consolas"/>
          <w:sz w:val="20"/>
          <w:szCs w:val="20"/>
          <w:shd w:fill="EEEEEE" w:val="clear"/>
        </w:rPr>
        <w:t xml:space="preserve">settings_screen</w:t>
      </w:r>
      <w:r>
        <w:t xml:space="preserve">), au moins une sauvegarde antérieure existante.</w:t>
      </w:r>
    </w:p>
    <w:p>
      <w:pPr>
        <w:spacing w:after="120"/>
      </w:pPr>
      <w:r>
        <w:rPr>
          <w:b/>
          <w:bCs/>
        </w:rPr>
        <w:t xml:space="preserve">Actions :</w:t>
      </w:r>
    </w:p>
    <w:p>
      <w:pPr>
        <w:spacing w:after="80"/>
        <w:ind w:left="360"/>
      </w:pPr>
      <w:r>
        <w:rPr>
          <w:b/>
          <w:bCs/>
        </w:rPr>
        <w:t xml:space="preserve">1. </w:t>
      </w:r>
      <w:r>
        <w:t xml:space="preserve">Ouvrir l'onglet.</w:t>
      </w:r>
    </w:p>
    <w:p>
      <w:pPr>
        <w:spacing w:after="120"/>
      </w:pPr>
      <w:r>
        <w:rPr>
          <w:b/>
          <w:bCs/>
        </w:rPr>
        <w:t xml:space="preserve">Résultat attendu :</w:t>
      </w:r>
      <w:r>
        <w:t xml:space="preserve"> Raison sociale (</w:t>
      </w:r>
      <w:r>
        <w:rPr>
          <w:rFonts w:ascii="Consolas" w:cs="Consolas" w:eastAsia="Consolas" w:hAnsi="Consolas"/>
          <w:sz w:val="20"/>
          <w:szCs w:val="20"/>
          <w:shd w:fill="EEEEEE" w:val="clear"/>
        </w:rPr>
        <w:t xml:space="preserve">settings_issuer_name</w:t>
      </w:r>
      <w:r>
        <w:t xml:space="preserve">), SIRET (</w:t>
      </w:r>
      <w:r>
        <w:rPr>
          <w:rFonts w:ascii="Consolas" w:cs="Consolas" w:eastAsia="Consolas" w:hAnsi="Consolas"/>
          <w:sz w:val="20"/>
          <w:szCs w:val="20"/>
          <w:shd w:fill="EEEEEE" w:val="clear"/>
        </w:rPr>
        <w:t xml:space="preserve">settings_issuer_siret</w:t>
      </w:r>
      <w:r>
        <w:t xml:space="preserve">), SIREN déduit en lecture seule (</w:t>
      </w:r>
      <w:r>
        <w:rPr>
          <w:rFonts w:ascii="Consolas" w:cs="Consolas" w:eastAsia="Consolas" w:hAnsi="Consolas"/>
          <w:sz w:val="20"/>
          <w:szCs w:val="20"/>
          <w:shd w:fill="EEEEEE" w:val="clear"/>
        </w:rPr>
        <w:t xml:space="preserve">settings_derived_siren</w:t>
      </w:r>
      <w:r>
        <w:t xml:space="preserve">), TVA intracommunautaire (</w:t>
      </w:r>
      <w:r>
        <w:rPr>
          <w:rFonts w:ascii="Consolas" w:cs="Consolas" w:eastAsia="Consolas" w:hAnsi="Consolas"/>
          <w:sz w:val="20"/>
          <w:szCs w:val="20"/>
          <w:shd w:fill="EEEEEE" w:val="clear"/>
        </w:rPr>
        <w:t xml:space="preserve">settings_vat_number</w:t>
      </w:r>
      <w:r>
        <w:t xml:space="preserve">), taux de TVA par défaut, bascule Factur-X — tous préremplis avec les valeurs sauvegardées.</w:t>
      </w:r>
    </w:p>
    <w:p>
      <w:pPr>
        <w:pStyle w:val="Heading2"/>
        <w:spacing w:after="140" w:before="260"/>
      </w:pPr>
      <w:r>
        <w:t xml:space="preserve">[MOB-SET-02] SIREN dérivé automatiquement</w:t>
      </w:r>
    </w:p>
    <w:p>
      <w:pPr>
        <w:spacing w:after="120"/>
      </w:pPr>
      <w:r>
        <w:rPr>
          <w:b/>
          <w:bCs/>
        </w:rPr>
        <w:t xml:space="preserve">Type :</w:t>
      </w:r>
      <w:r>
        <w:t xml:space="preserve"> Passant / non-régression</w:t>
      </w:r>
    </w:p>
    <w:p>
      <w:pPr>
        <w:spacing w:after="120"/>
      </w:pPr>
      <w:r>
        <w:rPr>
          <w:b/>
          <w:bCs/>
        </w:rPr>
        <w:t xml:space="preserve">Préconditions :</w:t>
      </w:r>
      <w:r>
        <w:t xml:space="preserve"> Onglet Paramètres.</w:t>
      </w:r>
    </w:p>
    <w:p>
      <w:pPr>
        <w:spacing w:after="120"/>
      </w:pPr>
      <w:r>
        <w:rPr>
          <w:b/>
          <w:bCs/>
        </w:rPr>
        <w:t xml:space="preserve">Actions :</w:t>
      </w:r>
    </w:p>
    <w:p>
      <w:pPr>
        <w:spacing w:after="80"/>
        <w:ind w:left="360"/>
      </w:pPr>
      <w:r>
        <w:rPr>
          <w:b/>
          <w:bCs/>
        </w:rPr>
        <w:t xml:space="preserve">1. </w:t>
      </w:r>
      <w:r>
        <w:t xml:space="preserve">Modifier le champ SIRET.</w:t>
      </w:r>
    </w:p>
    <w:p>
      <w:pPr>
        <w:spacing w:after="80"/>
        <w:ind w:left="360"/>
      </w:pPr>
      <w:r>
        <w:rPr>
          <w:b/>
          <w:bCs/>
        </w:rPr>
        <w:t xml:space="preserve">2. </w:t>
      </w:r>
      <w:r>
        <w:t xml:space="preserve">Observer le champ SIREN.</w:t>
      </w:r>
    </w:p>
    <w:p>
      <w:pPr>
        <w:spacing w:after="120"/>
      </w:pPr>
      <w:r>
        <w:rPr>
          <w:b/>
          <w:bCs/>
        </w:rPr>
        <w:t xml:space="preserve">Résultat attendu :</w:t>
      </w:r>
      <w:r>
        <w:t xml:space="preserve"> le SIREN se met à jour automatiquement (9 premiers chiffres du SIRET saisi), </w:t>
      </w:r>
      <w:r>
        <w:rPr>
          <w:b/>
          <w:bCs/>
        </w:rPr>
        <w:t xml:space="preserve">sans être éditable directement</w:t>
      </w:r>
      <w:r>
        <w:t xml:space="preserve">.</w:t>
      </w:r>
    </w:p>
    <w:p>
      <w:pPr>
        <w:pStyle w:val="Heading2"/>
        <w:spacing w:after="140" w:before="260"/>
      </w:pPr>
      <w:r>
        <w:t xml:space="preserve">[MOB-SET-03] Enregistrement — SIRET invalide</w:t>
      </w:r>
    </w:p>
    <w:p>
      <w:pPr>
        <w:spacing w:after="120"/>
      </w:pPr>
      <w:r>
        <w:rPr>
          <w:b/>
          <w:bCs/>
        </w:rPr>
        <w:t xml:space="preserve">Type :</w:t>
      </w:r>
      <w:r>
        <w:t xml:space="preserve"> Non passant</w:t>
      </w:r>
    </w:p>
    <w:p>
      <w:pPr>
        <w:spacing w:after="120"/>
      </w:pPr>
      <w:r>
        <w:rPr>
          <w:b/>
          <w:bCs/>
        </w:rPr>
        <w:t xml:space="preserve">Préconditions :</w:t>
      </w:r>
      <w:r>
        <w:t xml:space="preserve"> Onglet Paramètres.</w:t>
      </w:r>
    </w:p>
    <w:p>
      <w:pPr>
        <w:spacing w:after="120"/>
      </w:pPr>
      <w:r>
        <w:rPr>
          <w:b/>
          <w:bCs/>
        </w:rPr>
        <w:t xml:space="preserve">Actions :</w:t>
      </w:r>
    </w:p>
    <w:p>
      <w:pPr>
        <w:spacing w:after="80"/>
        <w:ind w:left="360"/>
      </w:pPr>
      <w:r>
        <w:rPr>
          <w:b/>
          <w:bCs/>
        </w:rPr>
        <w:t xml:space="preserve">1. </w:t>
      </w:r>
      <w:r>
        <w:t xml:space="preserve">Saisir un SIRET de longueur incorrecte.</w:t>
      </w:r>
    </w:p>
    <w:p>
      <w:pPr>
        <w:spacing w:after="80"/>
        <w:ind w:left="360"/>
      </w:pPr>
      <w:r>
        <w:rPr>
          <w:b/>
          <w:bCs/>
        </w:rPr>
        <w:t xml:space="preserve">2. </w:t>
      </w:r>
      <w:r>
        <w:t xml:space="preserve">Taper « Enregistrer les paramètres » (</w:t>
      </w:r>
      <w:r>
        <w:rPr>
          <w:rFonts w:ascii="Consolas" w:cs="Consolas" w:eastAsia="Consolas" w:hAnsi="Consolas"/>
          <w:sz w:val="20"/>
          <w:szCs w:val="20"/>
          <w:shd w:fill="EEEEEE" w:val="clear"/>
        </w:rPr>
        <w:t xml:space="preserve">settings_save_button</w:t>
      </w:r>
      <w:r>
        <w:t xml:space="preserve">).</w:t>
      </w:r>
    </w:p>
    <w:p>
      <w:pPr>
        <w:spacing w:after="120"/>
      </w:pPr>
      <w:r>
        <w:rPr>
          <w:b/>
          <w:bCs/>
        </w:rPr>
        <w:t xml:space="preserve">Résultat attendu :</w:t>
      </w:r>
      <w:r>
        <w:t xml:space="preserve"> erreur « Le SIRET doit comporter exactement 14 chiffres » ; l'enregistrement est bloqué.</w:t>
      </w:r>
    </w:p>
    <w:p>
      <w:pPr>
        <w:pStyle w:val="Heading2"/>
        <w:spacing w:after="140" w:before="260"/>
      </w:pPr>
      <w:r>
        <w:t xml:space="preserve">[MOB-SET-04] Enregistrement — numéro de TVA mal formé</w:t>
      </w:r>
    </w:p>
    <w:p>
      <w:pPr>
        <w:spacing w:after="120"/>
      </w:pPr>
      <w:r>
        <w:rPr>
          <w:b/>
          <w:bCs/>
        </w:rPr>
        <w:t xml:space="preserve">Type :</w:t>
      </w:r>
      <w:r>
        <w:t xml:space="preserve"> Non passant</w:t>
      </w:r>
    </w:p>
    <w:p>
      <w:pPr>
        <w:spacing w:after="120"/>
      </w:pPr>
      <w:r>
        <w:rPr>
          <w:b/>
          <w:bCs/>
        </w:rPr>
        <w:t xml:space="preserve">Préconditions :</w:t>
      </w:r>
      <w:r>
        <w:t xml:space="preserve"> Onglet Paramètres.</w:t>
      </w:r>
    </w:p>
    <w:p>
      <w:pPr>
        <w:spacing w:after="120"/>
      </w:pPr>
      <w:r>
        <w:rPr>
          <w:b/>
          <w:bCs/>
        </w:rPr>
        <w:t xml:space="preserve">Actions :</w:t>
      </w:r>
    </w:p>
    <w:p>
      <w:pPr>
        <w:spacing w:after="80"/>
        <w:ind w:left="360"/>
      </w:pPr>
      <w:r>
        <w:rPr>
          <w:b/>
          <w:bCs/>
        </w:rPr>
        <w:t xml:space="preserve">1. </w:t>
      </w:r>
      <w:r>
        <w:t xml:space="preserve">Saisir un numéro de TVA qui ne respecte pas le format </w:t>
      </w:r>
      <w:r>
        <w:rPr>
          <w:rFonts w:ascii="Consolas" w:cs="Consolas" w:eastAsia="Consolas" w:hAnsi="Consolas"/>
          <w:sz w:val="20"/>
          <w:szCs w:val="20"/>
          <w:shd w:fill="EEEEEE" w:val="clear"/>
        </w:rPr>
        <w:t xml:space="preserve">FRXX999999999</w:t>
      </w:r>
      <w:r>
        <w:t xml:space="preserve"> (ex. « FR12 »).</w:t>
      </w:r>
    </w:p>
    <w:p>
      <w:pPr>
        <w:spacing w:after="80"/>
        <w:ind w:left="360"/>
      </w:pPr>
      <w:r>
        <w:rPr>
          <w:b/>
          <w:bCs/>
        </w:rPr>
        <w:t xml:space="preserve">2. </w:t>
      </w:r>
      <w:r>
        <w:t xml:space="preserve">Taper Enregistrer.</w:t>
      </w:r>
    </w:p>
    <w:p>
      <w:pPr>
        <w:spacing w:after="120"/>
      </w:pPr>
      <w:r>
        <w:rPr>
          <w:b/>
          <w:bCs/>
        </w:rPr>
        <w:t xml:space="preserve">Résultat attendu :</w:t>
      </w:r>
      <w:r>
        <w:t xml:space="preserve"> erreur « Le numéro de TVA doit être au format FRXX999999999 ».</w:t>
      </w:r>
    </w:p>
    <w:p>
      <w:pPr>
        <w:pStyle w:val="Heading2"/>
        <w:spacing w:after="140" w:before="260"/>
      </w:pPr>
      <w:r>
        <w:t xml:space="preserve">[MOB-SET-05] Numéro de TVA vide accepté (franchise en base)</w:t>
      </w:r>
    </w:p>
    <w:p>
      <w:pPr>
        <w:spacing w:after="120"/>
      </w:pPr>
      <w:r>
        <w:rPr>
          <w:b/>
          <w:bCs/>
        </w:rPr>
        <w:t xml:space="preserve">Type :</w:t>
      </w:r>
      <w:r>
        <w:t xml:space="preserve"> Passant / cas limite</w:t>
      </w:r>
    </w:p>
    <w:p>
      <w:pPr>
        <w:spacing w:after="120"/>
      </w:pPr>
      <w:r>
        <w:rPr>
          <w:b/>
          <w:bCs/>
        </w:rPr>
        <w:t xml:space="preserve">Préconditions :</w:t>
      </w:r>
      <w:r>
        <w:t xml:space="preserve"> Onglet Paramètres.</w:t>
      </w:r>
    </w:p>
    <w:p>
      <w:pPr>
        <w:spacing w:after="120"/>
      </w:pPr>
      <w:r>
        <w:rPr>
          <w:b/>
          <w:bCs/>
        </w:rPr>
        <w:t xml:space="preserve">Actions :</w:t>
      </w:r>
    </w:p>
    <w:p>
      <w:pPr>
        <w:spacing w:after="80"/>
        <w:ind w:left="360"/>
      </w:pPr>
      <w:r>
        <w:rPr>
          <w:b/>
          <w:bCs/>
        </w:rPr>
        <w:t xml:space="preserve">1. </w:t>
      </w:r>
      <w:r>
        <w:t xml:space="preserve">Vider entièrement le champ TVA.</w:t>
      </w:r>
    </w:p>
    <w:p>
      <w:pPr>
        <w:spacing w:after="80"/>
        <w:ind w:left="360"/>
      </w:pPr>
      <w:r>
        <w:rPr>
          <w:b/>
          <w:bCs/>
        </w:rPr>
        <w:t xml:space="preserve">2. </w:t>
      </w:r>
      <w:r>
        <w:t xml:space="preserve">Taper Enregistrer.</w:t>
      </w:r>
    </w:p>
    <w:p>
      <w:pPr>
        <w:spacing w:after="120"/>
      </w:pPr>
      <w:r>
        <w:rPr>
          <w:b/>
          <w:bCs/>
        </w:rPr>
        <w:t xml:space="preserve">Résultat attendu :</w:t>
      </w:r>
      <w:r>
        <w:t xml:space="preserve"> aucune erreur — le champ TVA est optionnel (franchise en base légitime).</w:t>
      </w:r>
    </w:p>
    <w:p>
      <w:pPr>
        <w:pStyle w:val="Heading2"/>
        <w:spacing w:after="140" w:before="260"/>
      </w:pPr>
      <w:r>
        <w:t xml:space="preserve">[MOB-SET-06] Auto-majuscule du numéro de TVA</w:t>
      </w:r>
    </w:p>
    <w:p>
      <w:pPr>
        <w:spacing w:after="120"/>
      </w:pPr>
      <w:r>
        <w:rPr>
          <w:b/>
          <w:bCs/>
        </w:rPr>
        <w:t xml:space="preserve">Type :</w:t>
      </w:r>
      <w:r>
        <w:t xml:space="preserve"> Passant / non-régression</w:t>
      </w:r>
    </w:p>
    <w:p>
      <w:pPr>
        <w:spacing w:after="120"/>
      </w:pPr>
      <w:r>
        <w:rPr>
          <w:b/>
          <w:bCs/>
        </w:rPr>
        <w:t xml:space="preserve">Préconditions :</w:t>
      </w:r>
      <w:r>
        <w:t xml:space="preserve"> Onglet Paramètres.</w:t>
      </w:r>
    </w:p>
    <w:p>
      <w:pPr>
        <w:spacing w:after="120"/>
      </w:pPr>
      <w:r>
        <w:rPr>
          <w:b/>
          <w:bCs/>
        </w:rPr>
        <w:t xml:space="preserve">Actions :</w:t>
      </w:r>
    </w:p>
    <w:p>
      <w:pPr>
        <w:spacing w:after="80"/>
        <w:ind w:left="360"/>
      </w:pPr>
      <w:r>
        <w:rPr>
          <w:b/>
          <w:bCs/>
        </w:rPr>
        <w:t xml:space="preserve">1. </w:t>
      </w:r>
      <w:r>
        <w:t xml:space="preserve">Saisir un numéro de TVA en minuscules (ex. « fr12345678901 »).</w:t>
      </w:r>
    </w:p>
    <w:p>
      <w:pPr>
        <w:spacing w:after="120"/>
      </w:pPr>
      <w:r>
        <w:rPr>
          <w:b/>
          <w:bCs/>
        </w:rPr>
        <w:t xml:space="preserve">Résultat attendu :</w:t>
      </w:r>
      <w:r>
        <w:t xml:space="preserve"> le champ affiche automatiquement le texte en majuscules au fur et à mesure de la frappe.</w:t>
      </w:r>
    </w:p>
    <w:p>
      <w:pPr>
        <w:pStyle w:val="Heading2"/>
        <w:spacing w:after="140" w:before="260"/>
      </w:pPr>
      <w:r>
        <w:t xml:space="preserve">[MOB-SET-07] Enregistrement nominal</w:t>
      </w:r>
    </w:p>
    <w:p>
      <w:pPr>
        <w:spacing w:after="120"/>
      </w:pPr>
      <w:r>
        <w:rPr>
          <w:b/>
          <w:bCs/>
        </w:rPr>
        <w:t xml:space="preserve">Type :</w:t>
      </w:r>
      <w:r>
        <w:t xml:space="preserve"> Passant</w:t>
      </w:r>
    </w:p>
    <w:p>
      <w:pPr>
        <w:spacing w:after="120"/>
      </w:pPr>
      <w:r>
        <w:rPr>
          <w:b/>
          <w:bCs/>
        </w:rPr>
        <w:t xml:space="preserve">Préconditions :</w:t>
      </w:r>
      <w:r>
        <w:t xml:space="preserve"> Formulaire valide.</w:t>
      </w:r>
    </w:p>
    <w:p>
      <w:pPr>
        <w:spacing w:after="120"/>
      </w:pPr>
      <w:r>
        <w:rPr>
          <w:b/>
          <w:bCs/>
        </w:rPr>
        <w:t xml:space="preserve">Actions :</w:t>
      </w:r>
    </w:p>
    <w:p>
      <w:pPr>
        <w:spacing w:after="80"/>
        <w:ind w:left="360"/>
      </w:pPr>
      <w:r>
        <w:rPr>
          <w:b/>
          <w:bCs/>
        </w:rPr>
        <w:t xml:space="preserve">1. </w:t>
      </w:r>
      <w:r>
        <w:t xml:space="preserve">Modifier la Raison sociale.</w:t>
      </w:r>
    </w:p>
    <w:p>
      <w:pPr>
        <w:spacing w:after="80"/>
        <w:ind w:left="360"/>
      </w:pPr>
      <w:r>
        <w:rPr>
          <w:b/>
          <w:bCs/>
        </w:rPr>
        <w:t xml:space="preserve">2. </w:t>
      </w:r>
      <w:r>
        <w:t xml:space="preserve">Taper « Enregistrer les paramètres ».</w:t>
      </w:r>
    </w:p>
    <w:p>
      <w:pPr>
        <w:spacing w:after="120"/>
      </w:pPr>
      <w:r>
        <w:rPr>
          <w:b/>
          <w:bCs/>
        </w:rPr>
        <w:t xml:space="preserve">Résultat attendu :</w:t>
      </w:r>
      <w:r>
        <w:t xml:space="preserve"> message de confirmation « Paramètres fiscaux mis à jour avec succès » (Snackbar) ; en faisant pivoter l'écran juste après, la Snackbar </w:t>
      </w:r>
      <w:r>
        <w:rPr>
          <w:b/>
          <w:bCs/>
        </w:rPr>
        <w:t xml:space="preserve">ne rejoue pas</w:t>
      </w:r>
      <w:r>
        <w:t xml:space="preserve">.</w:t>
      </w:r>
    </w:p>
    <w:p>
      <w:pPr>
        <w:pStyle w:val="Heading2"/>
        <w:spacing w:after="140" w:before="260"/>
      </w:pPr>
      <w:r>
        <w:t xml:space="preserve">[MOB-SET-08] Répercussion sur un nouveau formulaire de facture</w:t>
      </w:r>
    </w:p>
    <w:p>
      <w:pPr>
        <w:spacing w:after="120"/>
      </w:pPr>
      <w:r>
        <w:rPr>
          <w:b/>
          <w:bCs/>
        </w:rPr>
        <w:t xml:space="preserve">Type :</w:t>
      </w:r>
      <w:r>
        <w:t xml:space="preserve"> Passant / parcours croisé</w:t>
      </w:r>
    </w:p>
    <w:p>
      <w:pPr>
        <w:spacing w:after="120"/>
      </w:pPr>
      <w:r>
        <w:rPr>
          <w:b/>
          <w:bCs/>
        </w:rPr>
        <w:t xml:space="preserve">Préconditions :</w:t>
      </w:r>
      <w:r>
        <w:t xml:space="preserve"> Paramètres fiscaux modifiés (nouvelle Raison sociale, nouveau taux de TVA par défaut).</w:t>
      </w:r>
    </w:p>
    <w:p>
      <w:pPr>
        <w:spacing w:after="120"/>
      </w:pPr>
      <w:r>
        <w:rPr>
          <w:b/>
          <w:bCs/>
        </w:rPr>
        <w:t xml:space="preserve">Actions :</w:t>
      </w:r>
    </w:p>
    <w:p>
      <w:pPr>
        <w:spacing w:after="80"/>
        <w:ind w:left="360"/>
      </w:pPr>
      <w:r>
        <w:rPr>
          <w:b/>
          <w:bCs/>
        </w:rPr>
        <w:t xml:space="preserve">1. </w:t>
      </w:r>
      <w:r>
        <w:t xml:space="preserve">Enregistrer les nouveaux paramètres.</w:t>
      </w:r>
    </w:p>
    <w:p>
      <w:pPr>
        <w:spacing w:after="80"/>
        <w:ind w:left="360"/>
      </w:pPr>
      <w:r>
        <w:rPr>
          <w:b/>
          <w:bCs/>
        </w:rPr>
        <w:t xml:space="preserve">2. </w:t>
      </w:r>
      <w:r>
        <w:t xml:space="preserve">Ouvrir un nouveau formulaire de facture.</w:t>
      </w:r>
    </w:p>
    <w:p>
      <w:pPr>
        <w:spacing w:after="80"/>
        <w:ind w:left="360"/>
      </w:pPr>
      <w:r>
        <w:rPr>
          <w:b/>
          <w:bCs/>
        </w:rPr>
        <w:t xml:space="preserve">3. </w:t>
      </w:r>
      <w:r>
        <w:t xml:space="preserve">Ajouter une ligne sans changer le taux de TVA proposé par défaut.</w:t>
      </w:r>
    </w:p>
    <w:p>
      <w:pPr>
        <w:spacing w:after="120"/>
      </w:pPr>
      <w:r>
        <w:rPr>
          <w:b/>
          <w:bCs/>
        </w:rPr>
        <w:t xml:space="preserve">Résultat attendu :</w:t>
      </w:r>
      <w:r>
        <w:t xml:space="preserve"> l'émetteur affiché dans le formulaire (et en mode Canvas) reflète la nouvelle Raison sociale ; le taux de TVA pré-sélectionné sur la nouvelle ligne correspond au nouveau taux par défaut choisi dans les Paramètres.</w:t>
      </w:r>
    </w:p>
    <w:p>
      <w:pPr>
        <w:pBdr>
          <w:bottom w:val="single" w:color="AAAAAA" w:sz="6" w:space="1"/>
        </w:pBdr>
        <w:spacing w:after="240" w:before="120"/>
      </w:pPr>
    </w:p>
    <w:p>
      <w:pPr>
        <w:pStyle w:val="Heading1"/>
        <w:pageBreakBefore/>
        <w:spacing w:after="140" w:before="400"/>
      </w:pPr>
      <w:r>
        <w:t xml:space="preserve">8. Intégrations</w:t>
      </w:r>
    </w:p>
    <w:p>
      <w:pPr>
        <w:pStyle w:val="Heading2"/>
        <w:spacing w:after="140" w:before="260"/>
      </w:pPr>
      <w:r>
        <w:t xml:space="preserve">[MOB-INT-01] Ouverture du hub</w:t>
      </w:r>
    </w:p>
    <w:p>
      <w:pPr>
        <w:spacing w:after="120"/>
      </w:pPr>
      <w:r>
        <w:rPr>
          <w:b/>
          <w:bCs/>
        </w:rPr>
        <w:t xml:space="preserve">Type :</w:t>
      </w:r>
      <w:r>
        <w:t xml:space="preserve"> Passant</w:t>
      </w:r>
    </w:p>
    <w:p>
      <w:pPr>
        <w:spacing w:after="120"/>
      </w:pPr>
      <w:r>
        <w:rPr>
          <w:b/>
          <w:bCs/>
        </w:rPr>
        <w:t xml:space="preserve">Préconditions :</w:t>
      </w:r>
      <w:r>
        <w:t xml:space="preserve"> N'importe quel écran portant le déclencheur 🧩 dans l'en-tête (</w:t>
      </w:r>
      <w:r>
        <w:rPr>
          <w:rFonts w:ascii="Consolas" w:cs="Consolas" w:eastAsia="Consolas" w:hAnsi="Consolas"/>
          <w:sz w:val="20"/>
          <w:szCs w:val="20"/>
          <w:shd w:fill="EEEEEE" w:val="clear"/>
        </w:rPr>
        <w:t xml:space="preserve">integrations_hub_trigger</w:t>
      </w:r>
      <w:r>
        <w:t xml:space="preserve">).</w:t>
      </w:r>
    </w:p>
    <w:p>
      <w:pPr>
        <w:spacing w:after="120"/>
      </w:pPr>
      <w:r>
        <w:rPr>
          <w:b/>
          <w:bCs/>
        </w:rPr>
        <w:t xml:space="preserve">Actions :</w:t>
      </w:r>
    </w:p>
    <w:p>
      <w:pPr>
        <w:spacing w:after="80"/>
        <w:ind w:left="360"/>
      </w:pPr>
      <w:r>
        <w:rPr>
          <w:b/>
          <w:bCs/>
        </w:rPr>
        <w:t xml:space="preserve">1. </w:t>
      </w:r>
      <w:r>
        <w:t xml:space="preserve">Taper l'icône Intégrations.</w:t>
      </w:r>
    </w:p>
    <w:p>
      <w:pPr>
        <w:spacing w:after="120"/>
      </w:pPr>
      <w:r>
        <w:rPr>
          <w:b/>
          <w:bCs/>
        </w:rPr>
        <w:t xml:space="preserve">Résultat attendu :</w:t>
      </w:r>
      <w:r>
        <w:t xml:space="preserve"> écran « Hub d'intégrations » (</w:t>
      </w:r>
      <w:r>
        <w:rPr>
          <w:rFonts w:ascii="Consolas" w:cs="Consolas" w:eastAsia="Consolas" w:hAnsi="Consolas"/>
          <w:sz w:val="20"/>
          <w:szCs w:val="20"/>
          <w:shd w:fill="EEEEEE" w:val="clear"/>
        </w:rPr>
        <w:t xml:space="preserve">integrations_hub_container</w:t>
      </w:r>
      <w:r>
        <w:t xml:space="preserve">) avec titre « Hub d'intégrations » et sous-titre « Connectez LedgerHub à vos outils du quotidien », grille de 4 cartes (2×2 sur téléphone).</w:t>
      </w:r>
    </w:p>
    <w:p>
      <w:pPr>
        <w:pStyle w:val="Heading2"/>
        <w:spacing w:after="140" w:before="260"/>
      </w:pPr>
      <w:r>
        <w:t xml:space="preserve">[MOB-INT-02] Modules en accès anticipé (BETA)</w:t>
      </w:r>
    </w:p>
    <w:p>
      <w:pPr>
        <w:spacing w:after="120"/>
      </w:pPr>
      <w:r>
        <w:rPr>
          <w:b/>
          <w:bCs/>
        </w:rPr>
        <w:t xml:space="preserve">Type :</w:t>
      </w:r>
      <w:r>
        <w:t xml:space="preserve"> Passant</w:t>
      </w:r>
    </w:p>
    <w:p>
      <w:pPr>
        <w:spacing w:after="120"/>
      </w:pPr>
      <w:r>
        <w:rPr>
          <w:b/>
          <w:bCs/>
        </w:rPr>
        <w:t xml:space="preserve">Préconditions :</w:t>
      </w:r>
      <w:r>
        <w:t xml:space="preserve"> Hub d'intégrations affiché.</w:t>
      </w:r>
    </w:p>
    <w:p>
      <w:pPr>
        <w:spacing w:after="120"/>
      </w:pPr>
      <w:r>
        <w:rPr>
          <w:b/>
          <w:bCs/>
        </w:rPr>
        <w:t xml:space="preserve">Actions :</w:t>
      </w:r>
    </w:p>
    <w:p>
      <w:pPr>
        <w:spacing w:after="80"/>
        <w:ind w:left="360"/>
      </w:pPr>
      <w:r>
        <w:rPr>
          <w:b/>
          <w:bCs/>
        </w:rPr>
        <w:t xml:space="preserve">1. </w:t>
      </w:r>
      <w:r>
        <w:t xml:space="preserve">Observer les cartes « Paiement en ligne par CB (Stripe) » et « Export FEC Expert-Comptable ».</w:t>
      </w:r>
    </w:p>
    <w:p>
      <w:pPr>
        <w:spacing w:after="120"/>
      </w:pPr>
      <w:r>
        <w:rPr>
          <w:b/>
          <w:bCs/>
        </w:rPr>
        <w:t xml:space="preserve">Résultat attendu :</w:t>
      </w:r>
      <w:r>
        <w:t xml:space="preserve"> ces deux cartes portent un badge BETA saturé (couleur indigo des devis, réutilisée), et sont rendues avec une opacité plus élevée que les cartes verrouillées — perçues comme plus « ouvertes ».</w:t>
      </w:r>
    </w:p>
    <w:p>
      <w:pPr>
        <w:pStyle w:val="Heading2"/>
        <w:spacing w:after="140" w:before="260"/>
      </w:pPr>
      <w:r>
        <w:t xml:space="preserve">[MOB-INT-03] Modules annoncés (COMING SOON)</w:t>
      </w:r>
    </w:p>
    <w:p>
      <w:pPr>
        <w:spacing w:after="120"/>
      </w:pPr>
      <w:r>
        <w:rPr>
          <w:b/>
          <w:bCs/>
        </w:rPr>
        <w:t xml:space="preserve">Type :</w:t>
      </w:r>
      <w:r>
        <w:t xml:space="preserve"> Passant / cas limite</w:t>
      </w:r>
    </w:p>
    <w:p>
      <w:pPr>
        <w:spacing w:after="120"/>
      </w:pPr>
      <w:r>
        <w:rPr>
          <w:b/>
          <w:bCs/>
        </w:rPr>
        <w:t xml:space="preserve">Préconditions :</w:t>
      </w:r>
      <w:r>
        <w:t xml:space="preserve"> Hub d'intégrations affiché.</w:t>
      </w:r>
    </w:p>
    <w:p>
      <w:pPr>
        <w:spacing w:after="120"/>
      </w:pPr>
      <w:r>
        <w:rPr>
          <w:b/>
          <w:bCs/>
        </w:rPr>
        <w:t xml:space="preserve">Actions :</w:t>
      </w:r>
    </w:p>
    <w:p>
      <w:pPr>
        <w:spacing w:after="80"/>
        <w:ind w:left="360"/>
      </w:pPr>
      <w:r>
        <w:rPr>
          <w:b/>
          <w:bCs/>
        </w:rPr>
        <w:t xml:space="preserve">1. </w:t>
      </w:r>
      <w:r>
        <w:t xml:space="preserve">Observer les cartes « Notifications Slack » et « Synchronisation Bancaire API ».</w:t>
      </w:r>
    </w:p>
    <w:p>
      <w:pPr>
        <w:spacing w:after="80"/>
        <w:ind w:left="360"/>
      </w:pPr>
      <w:r>
        <w:rPr>
          <w:b/>
          <w:bCs/>
        </w:rPr>
        <w:t xml:space="preserve">2. </w:t>
      </w:r>
      <w:r>
        <w:t xml:space="preserve">Taper sur l'une de ces cartes.</w:t>
      </w:r>
    </w:p>
    <w:p>
      <w:pPr>
        <w:spacing w:after="120"/>
      </w:pPr>
      <w:r>
        <w:rPr>
          <w:b/>
          <w:bCs/>
        </w:rPr>
        <w:t xml:space="preserve">Résultat attendu :</w:t>
      </w:r>
      <w:r>
        <w:t xml:space="preserve"> badge ambre « Coming Soon », carte visuellement désaturée (fond et titre atténués à ~70 % d'opacité) ; un tap ne déclenche </w:t>
      </w:r>
      <w:r>
        <w:rPr>
          <w:b/>
          <w:bCs/>
        </w:rPr>
        <w:t xml:space="preserve">aucune action</w:t>
      </w:r>
      <w:r>
        <w:t xml:space="preserve"> — aucun module n'est réellement branché, l'écran ne promet rien qu'il ne tienne.</w:t>
      </w:r>
    </w:p>
    <w:p>
      <w:pPr>
        <w:pStyle w:val="Heading2"/>
        <w:spacing w:after="140" w:before="260"/>
      </w:pPr>
      <w:r>
        <w:t xml:space="preserve">[MOB-INT-04] Retour depuis le hub</w:t>
      </w:r>
    </w:p>
    <w:p>
      <w:pPr>
        <w:spacing w:after="120"/>
      </w:pPr>
      <w:r>
        <w:rPr>
          <w:b/>
          <w:bCs/>
        </w:rPr>
        <w:t xml:space="preserve">Type :</w:t>
      </w:r>
      <w:r>
        <w:t xml:space="preserve"> Passant</w:t>
      </w:r>
    </w:p>
    <w:p>
      <w:pPr>
        <w:spacing w:after="120"/>
      </w:pPr>
      <w:r>
        <w:rPr>
          <w:b/>
          <w:bCs/>
        </w:rPr>
        <w:t xml:space="preserve">Préconditions :</w:t>
      </w:r>
      <w:r>
        <w:t xml:space="preserve"> Hub d'intégrations ouvert.</w:t>
      </w:r>
    </w:p>
    <w:p>
      <w:pPr>
        <w:spacing w:after="120"/>
      </w:pPr>
      <w:r>
        <w:rPr>
          <w:b/>
          <w:bCs/>
        </w:rPr>
        <w:t xml:space="preserve">Actions :</w:t>
      </w:r>
    </w:p>
    <w:p>
      <w:pPr>
        <w:spacing w:after="80"/>
        <w:ind w:left="360"/>
      </w:pPr>
      <w:r>
        <w:rPr>
          <w:b/>
          <w:bCs/>
        </w:rPr>
        <w:t xml:space="preserve">1. </w:t>
      </w:r>
      <w:r>
        <w:t xml:space="preserve">Taper le bouton de retour (« Retour »).</w:t>
      </w:r>
    </w:p>
    <w:p>
      <w:pPr>
        <w:spacing w:after="120"/>
      </w:pPr>
      <w:r>
        <w:rPr>
          <w:b/>
          <w:bCs/>
        </w:rPr>
        <w:t xml:space="preserve">Résultat attendu :</w:t>
      </w:r>
      <w:r>
        <w:t xml:space="preserve"> retour à l'écran précédent, sans perte d'état sur celui-ci (ex. formulaire de facture en cours resterait rempli si le hub avait été ouvert depuis l'en-tête pendant une saisie — à vérifier si l'en-tête est atteignable en surimpression).</w:t>
      </w:r>
    </w:p>
    <w:p>
      <w:pPr>
        <w:pBdr>
          <w:bottom w:val="single" w:color="AAAAAA" w:sz="6" w:space="1"/>
        </w:pBdr>
        <w:spacing w:after="240" w:before="120"/>
      </w:pPr>
    </w:p>
    <w:p>
      <w:pPr>
        <w:pStyle w:val="Heading1"/>
        <w:pageBreakBefore/>
        <w:spacing w:after="140" w:before="400"/>
      </w:pPr>
      <w:r>
        <w:t xml:space="preserve">9. Transversal — Navigation, Langue, Thème</w:t>
      </w:r>
    </w:p>
    <w:p>
      <w:pPr>
        <w:pStyle w:val="Heading2"/>
        <w:spacing w:after="140" w:before="260"/>
      </w:pPr>
      <w:r>
        <w:t xml:space="preserve">9.1 En-tête compact vs Sidebar tablette</w:t>
      </w:r>
    </w:p>
    <w:p>
      <w:pPr>
        <w:pStyle w:val="Heading2"/>
        <w:spacing w:after="140" w:before="260"/>
      </w:pPr>
      <w:r>
        <w:t xml:space="preserve">[MOB-NAV-01] Cinq commandes visibles en en-tête compact</w:t>
      </w:r>
    </w:p>
    <w:p>
      <w:pPr>
        <w:spacing w:after="120"/>
      </w:pPr>
      <w:r>
        <w:rPr>
          <w:b/>
          <w:bCs/>
        </w:rPr>
        <w:t xml:space="preserve">Type :</w:t>
      </w:r>
      <w:r>
        <w:t xml:space="preserve"> Passant / non-régression </w:t>
      </w:r>
      <w:r>
        <w:rPr>
          <w:b/>
          <w:bCs/>
        </w:rPr>
        <w:t xml:space="preserve">critique</w:t>
      </w:r>
    </w:p>
    <w:p>
      <w:pPr>
        <w:spacing w:after="120"/>
      </w:pPr>
      <w:r>
        <w:rPr>
          <w:b/>
          <w:bCs/>
        </w:rPr>
        <w:t xml:space="preserve">Préconditions :</w:t>
      </w:r>
      <w:r>
        <w:t xml:space="preserve"> Émulateur Pixel 5 (393 dp de large), portrait.</w:t>
      </w:r>
    </w:p>
    <w:p>
      <w:pPr>
        <w:spacing w:after="120"/>
      </w:pPr>
      <w:r>
        <w:rPr>
          <w:b/>
          <w:bCs/>
        </w:rPr>
        <w:t xml:space="preserve">Actions :</w:t>
      </w:r>
    </w:p>
    <w:p>
      <w:pPr>
        <w:spacing w:after="80"/>
        <w:ind w:left="360"/>
      </w:pPr>
      <w:r>
        <w:rPr>
          <w:b/>
          <w:bCs/>
        </w:rPr>
        <w:t xml:space="preserve">1. </w:t>
      </w:r>
      <w:r>
        <w:t xml:space="preserve">Observer l'en-tête sur n'importe quel onglet.</w:t>
      </w:r>
    </w:p>
    <w:p>
      <w:pPr>
        <w:spacing w:after="120"/>
      </w:pPr>
      <w:r>
        <w:rPr>
          <w:b/>
          <w:bCs/>
        </w:rPr>
        <w:t xml:space="preserve">Résultat attendu :</w:t>
      </w:r>
      <w:r>
        <w:t xml:space="preserve"> cinq commandes toutes visibles et joignables (≥ 48 dp chacune) : Export 📤, Intégrations 🧩, Palette de commandes 🔍 (réduite à la loupe seule, sans le libellé « Recherche ⌘K »), bascule de thème 🌙/☀️, sélecteur de langue FR/EN — </w:t>
      </w:r>
      <w:r>
        <w:rPr>
          <w:b/>
          <w:bCs/>
        </w:rPr>
        <w:t xml:space="preserve">aucune n'est masquée ni compressée</w:t>
      </w:r>
      <w:r>
        <w:t xml:space="preserve">. Le nom « LedgerHub » reste lisible en entier à gauche.</w:t>
      </w:r>
    </w:p>
    <w:p>
      <w:pPr>
        <w:pStyle w:val="Heading2"/>
        <w:spacing w:after="140" w:before="260"/>
      </w:pPr>
      <w:r>
        <w:t xml:space="preserve">[MOB-NAV-02] Bascule vers la sidebar tablette</w:t>
      </w:r>
    </w:p>
    <w:p>
      <w:pPr>
        <w:spacing w:after="120"/>
      </w:pPr>
      <w:r>
        <w:rPr>
          <w:b/>
          <w:bCs/>
        </w:rPr>
        <w:t xml:space="preserve">Type :</w:t>
      </w:r>
      <w:r>
        <w:t xml:space="preserve"> Passant / non-régression</w:t>
      </w:r>
    </w:p>
    <w:p>
      <w:pPr>
        <w:spacing w:after="120"/>
      </w:pPr>
      <w:r>
        <w:rPr>
          <w:b/>
          <w:bCs/>
        </w:rPr>
        <w:t xml:space="preserve">Préconditions :</w:t>
      </w:r>
      <w:r>
        <w:t xml:space="preserve"> Application affichée en largeur ≥ 840 dp (tablette ou émulateur redimensionné, ou rotation paysage sur un grand écran).</w:t>
      </w:r>
    </w:p>
    <w:p>
      <w:pPr>
        <w:spacing w:after="120"/>
      </w:pPr>
      <w:r>
        <w:rPr>
          <w:b/>
          <w:bCs/>
        </w:rPr>
        <w:t xml:space="preserve">Actions :</w:t>
      </w:r>
    </w:p>
    <w:p>
      <w:pPr>
        <w:spacing w:after="80"/>
        <w:ind w:left="360"/>
      </w:pPr>
      <w:r>
        <w:rPr>
          <w:b/>
          <w:bCs/>
        </w:rPr>
        <w:t xml:space="preserve">1. </w:t>
      </w:r>
      <w:r>
        <w:t xml:space="preserve">Observer la mise en page.</w:t>
      </w:r>
    </w:p>
    <w:p>
      <w:pPr>
        <w:spacing w:after="120"/>
      </w:pPr>
      <w:r>
        <w:rPr>
          <w:b/>
          <w:bCs/>
        </w:rPr>
        <w:t xml:space="preserve">Résultat attendu :</w:t>
      </w:r>
      <w:r>
        <w:t xml:space="preserve"> une sidebar permanente à gauche (248 dp) remplace la barre de navigation basse ; elle porte le nom complet de l'app, les cinq mêmes commandes (avec, cette fois, le badge « ⌘K » visible sur la palette de commandes, réservé à un contexte où un clavier peut être branché), et les six destinations en toutes lettres (Vue d'ensemble, Factures, Clients, Annuaire DGFIP, Rapprochement, Paramètres).</w:t>
      </w:r>
    </w:p>
    <w:p>
      <w:pPr>
        <w:pStyle w:val="Heading2"/>
        <w:spacing w:after="140" w:before="260"/>
      </w:pPr>
      <w:r>
        <w:t xml:space="preserve">[MOB-NAV-03] Barre de navigation basse — 6 destinations</w:t>
      </w:r>
    </w:p>
    <w:p>
      <w:pPr>
        <w:spacing w:after="120"/>
      </w:pPr>
      <w:r>
        <w:rPr>
          <w:b/>
          <w:bCs/>
        </w:rPr>
        <w:t xml:space="preserve">Type :</w:t>
      </w:r>
      <w:r>
        <w:t xml:space="preserve"> Passant</w:t>
      </w:r>
    </w:p>
    <w:p>
      <w:pPr>
        <w:spacing w:after="120"/>
      </w:pPr>
      <w:r>
        <w:rPr>
          <w:b/>
          <w:bCs/>
        </w:rPr>
        <w:t xml:space="preserve">Préconditions :</w:t>
      </w:r>
      <w:r>
        <w:t xml:space="preserve"> Largeur compacte.</w:t>
      </w:r>
    </w:p>
    <w:p>
      <w:pPr>
        <w:spacing w:after="120"/>
      </w:pPr>
      <w:r>
        <w:rPr>
          <w:b/>
          <w:bCs/>
        </w:rPr>
        <w:t xml:space="preserve">Actions :</w:t>
      </w:r>
    </w:p>
    <w:p>
      <w:pPr>
        <w:spacing w:after="80"/>
        <w:ind w:left="360"/>
      </w:pPr>
      <w:r>
        <w:rPr>
          <w:b/>
          <w:bCs/>
        </w:rPr>
        <w:t xml:space="preserve">1. </w:t>
      </w:r>
      <w:r>
        <w:t xml:space="preserve">Taper chacun des 6 onglets de la barre basse : Vue d'ensemble, Factures, Clients, Annuaire DGFIP, Rapprochement, Paramètres.</w:t>
      </w:r>
    </w:p>
    <w:p>
      <w:pPr>
        <w:spacing w:after="120"/>
      </w:pPr>
      <w:r>
        <w:rPr>
          <w:b/>
          <w:bCs/>
        </w:rPr>
        <w:t xml:space="preserve">Résultat attendu :</w:t>
      </w:r>
      <w:r>
        <w:t xml:space="preserve"> chaque tap navigue vers l'écran correspondant sans passer par une transition intermédiaire visible ; l'onglet actif est mis en évidence.</w:t>
      </w:r>
    </w:p>
    <w:p>
      <w:pPr>
        <w:pStyle w:val="Heading2"/>
        <w:spacing w:after="140" w:before="260"/>
      </w:pPr>
      <w:r>
        <w:t xml:space="preserve">[MOB-NAV-04] Palette de commandes — raccourci clavier</w:t>
      </w:r>
    </w:p>
    <w:p>
      <w:pPr>
        <w:spacing w:after="120"/>
      </w:pPr>
      <w:r>
        <w:rPr>
          <w:b/>
          <w:bCs/>
        </w:rPr>
        <w:t xml:space="preserve">Type :</w:t>
      </w:r>
      <w:r>
        <w:t xml:space="preserve"> Passant</w:t>
      </w:r>
    </w:p>
    <w:p>
      <w:pPr>
        <w:spacing w:after="120"/>
      </w:pPr>
      <w:r>
        <w:rPr>
          <w:b/>
          <w:bCs/>
        </w:rPr>
        <w:t xml:space="preserve">Préconditions :</w:t>
      </w:r>
      <w:r>
        <w:t xml:space="preserve"> Écran quelconque, en-tête visible.</w:t>
      </w:r>
    </w:p>
    <w:p>
      <w:pPr>
        <w:spacing w:after="120"/>
      </w:pPr>
      <w:r>
        <w:rPr>
          <w:b/>
          <w:bCs/>
        </w:rPr>
        <w:t xml:space="preserve">Actions :</w:t>
      </w:r>
    </w:p>
    <w:p>
      <w:pPr>
        <w:spacing w:after="80"/>
        <w:ind w:left="360"/>
      </w:pPr>
      <w:r>
        <w:rPr>
          <w:b/>
          <w:bCs/>
        </w:rPr>
        <w:t xml:space="preserve">1. </w:t>
      </w:r>
      <w:r>
        <w:t xml:space="preserve">Taper l'icône loupe de la palette de commandes.</w:t>
      </w:r>
    </w:p>
    <w:p>
      <w:pPr>
        <w:spacing w:after="120"/>
      </w:pPr>
      <w:r>
        <w:rPr>
          <w:b/>
          <w:bCs/>
        </w:rPr>
        <w:t xml:space="preserve">Résultat attendu :</w:t>
      </w:r>
      <w:r>
        <w:t xml:space="preserve"> une boîte de dialogue plein écran (</w:t>
      </w:r>
      <w:r>
        <w:rPr>
          <w:rFonts w:ascii="Consolas" w:cs="Consolas" w:eastAsia="Consolas" w:hAnsi="Consolas"/>
          <w:sz w:val="20"/>
          <w:szCs w:val="20"/>
          <w:shd w:fill="EEEEEE" w:val="clear"/>
        </w:rPr>
        <w:t xml:space="preserve">command_palette_dialog</w:t>
      </w:r>
      <w:r>
        <w:t xml:space="preserve">) s'ouvre avec un champ de recherche et éventuellement des actions rapides (créer une facture, relancer une facture en retard, exporter la comptabilité).</w:t>
      </w:r>
    </w:p>
    <w:p>
      <w:pPr>
        <w:pStyle w:val="Heading2"/>
        <w:spacing w:after="140" w:before="260"/>
      </w:pPr>
      <w:r>
        <w:t xml:space="preserve">9.2 Bascule de langue (US-02)</w:t>
      </w:r>
    </w:p>
    <w:p>
      <w:pPr>
        <w:pStyle w:val="Heading2"/>
        <w:spacing w:after="140" w:before="260"/>
      </w:pPr>
      <w:r>
        <w:t xml:space="preserve">[MOB-NAV-05] Bascule FR → EN → FR sur le tableau de bord</w:t>
      </w:r>
    </w:p>
    <w:p>
      <w:pPr>
        <w:spacing w:after="120"/>
      </w:pPr>
      <w:r>
        <w:rPr>
          <w:b/>
          <w:bCs/>
        </w:rPr>
        <w:t xml:space="preserve">Type :</w:t>
      </w:r>
      <w:r>
        <w:t xml:space="preserve"> Passant</w:t>
      </w:r>
    </w:p>
    <w:p>
      <w:pPr>
        <w:spacing w:after="120"/>
      </w:pPr>
      <w:r>
        <w:rPr>
          <w:b/>
          <w:bCs/>
        </w:rPr>
        <w:t xml:space="preserve">Préconditions :</w:t>
      </w:r>
      <w:r>
        <w:t xml:space="preserve"> Application en français par défaut, Dashboard affiché.</w:t>
      </w:r>
    </w:p>
    <w:p>
      <w:pPr>
        <w:spacing w:after="120"/>
      </w:pPr>
      <w:r>
        <w:rPr>
          <w:b/>
          <w:bCs/>
        </w:rPr>
        <w:t xml:space="preserve">Actions :</w:t>
      </w:r>
    </w:p>
    <w:p>
      <w:pPr>
        <w:spacing w:after="80"/>
        <w:ind w:left="360"/>
      </w:pPr>
      <w:r>
        <w:rPr>
          <w:b/>
          <w:bCs/>
        </w:rPr>
        <w:t xml:space="preserve">1. </w:t>
      </w:r>
      <w:r>
        <w:t xml:space="preserve">Taper le segment « EN » du sélecteur de langue (</w:t>
      </w:r>
      <w:r>
        <w:rPr>
          <w:rFonts w:ascii="Consolas" w:cs="Consolas" w:eastAsia="Consolas" w:hAnsi="Consolas"/>
          <w:sz w:val="20"/>
          <w:szCs w:val="20"/>
          <w:shd w:fill="EEEEEE" w:val="clear"/>
        </w:rPr>
        <w:t xml:space="preserve">lang_toggle_en</w:t>
      </w:r>
      <w:r>
        <w:t xml:space="preserve">).</w:t>
      </w:r>
    </w:p>
    <w:p>
      <w:pPr>
        <w:spacing w:after="80"/>
        <w:ind w:left="360"/>
      </w:pPr>
      <w:r>
        <w:rPr>
          <w:b/>
          <w:bCs/>
        </w:rPr>
        <w:t xml:space="preserve">2. </w:t>
      </w:r>
      <w:r>
        <w:t xml:space="preserve">Observer titres, libellés de KPI et formats de montant/date.</w:t>
      </w:r>
    </w:p>
    <w:p>
      <w:pPr>
        <w:spacing w:after="80"/>
        <w:ind w:left="360"/>
      </w:pPr>
      <w:r>
        <w:rPr>
          <w:b/>
          <w:bCs/>
        </w:rPr>
        <w:t xml:space="preserve">3. </w:t>
      </w:r>
      <w:r>
        <w:t xml:space="preserve">Retaper le segment « FR » (</w:t>
      </w:r>
      <w:r>
        <w:rPr>
          <w:rFonts w:ascii="Consolas" w:cs="Consolas" w:eastAsia="Consolas" w:hAnsi="Consolas"/>
          <w:sz w:val="20"/>
          <w:szCs w:val="20"/>
          <w:shd w:fill="EEEEEE" w:val="clear"/>
        </w:rPr>
        <w:t xml:space="preserve">lang_toggle_fr</w:t>
      </w:r>
      <w:r>
        <w:t xml:space="preserve">).</w:t>
      </w:r>
    </w:p>
    <w:p>
      <w:pPr>
        <w:spacing w:after="120"/>
      </w:pPr>
      <w:r>
        <w:rPr>
          <w:b/>
          <w:bCs/>
        </w:rPr>
        <w:t xml:space="preserve">Résultat attendu :</w:t>
      </w:r>
    </w:p>
    <w:p>
      <w:pPr>
        <w:pStyle w:val="ListParagraph"/>
        <w:numPr>
          <w:ilvl w:val="0"/>
          <w:numId w:val="1"/>
        </w:numPr>
        <w:spacing w:after="80"/>
      </w:pPr>
      <w:r>
        <w:t xml:space="preserve">Après l'étape 1 : « Vue d'ensemble » devient « Dashboard », les montants passent du format « 1 234,56 € » au format « €1,234.56 » </w:t>
      </w:r>
      <w:r>
        <w:rPr>
          <w:b/>
          <w:bCs/>
        </w:rPr>
        <w:t xml:space="preserve">instantanément</w:t>
      </w:r>
      <w:r>
        <w:t xml:space="preserve">, sans redémarrer l'écran.</w:t>
      </w:r>
    </w:p>
    <w:p>
      <w:pPr>
        <w:pStyle w:val="ListParagraph"/>
        <w:numPr>
          <w:ilvl w:val="0"/>
          <w:numId w:val="1"/>
        </w:numPr>
        <w:spacing w:after="80"/>
      </w:pPr>
      <w:r>
        <w:t xml:space="preserve">Après l'étape 3 : retour identique à l'état initial (aller-retour complet, sans reliquat anglais).</w:t>
      </w:r>
    </w:p>
    <w:p>
      <w:pPr>
        <w:pStyle w:val="Heading2"/>
        <w:spacing w:after="140" w:before="260"/>
      </w:pPr>
      <w:r>
        <w:t xml:space="preserve">[MOB-NAV-06] Réactivité de la langue en profondeur (formulaire de facture)</w:t>
      </w:r>
    </w:p>
    <w:p>
      <w:pPr>
        <w:spacing w:after="120"/>
      </w:pPr>
      <w:r>
        <w:rPr>
          <w:b/>
          <w:bCs/>
        </w:rPr>
        <w:t xml:space="preserve">Type :</w:t>
      </w:r>
      <w:r>
        <w:t xml:space="preserve"> Passant / non-régression</w:t>
      </w:r>
    </w:p>
    <w:p>
      <w:pPr>
        <w:spacing w:after="120"/>
      </w:pPr>
      <w:r>
        <w:rPr>
          <w:b/>
          <w:bCs/>
        </w:rPr>
        <w:t xml:space="preserve">Préconditions :</w:t>
      </w:r>
      <w:r>
        <w:t xml:space="preserve"> Formulaire de facture ouvert avec des données saisies.</w:t>
      </w:r>
    </w:p>
    <w:p>
      <w:pPr>
        <w:spacing w:after="120"/>
      </w:pPr>
      <w:r>
        <w:rPr>
          <w:b/>
          <w:bCs/>
        </w:rPr>
        <w:t xml:space="preserve">Actions :</w:t>
      </w:r>
    </w:p>
    <w:p>
      <w:pPr>
        <w:spacing w:after="80"/>
        <w:ind w:left="360"/>
      </w:pPr>
      <w:r>
        <w:rPr>
          <w:b/>
          <w:bCs/>
        </w:rPr>
        <w:t xml:space="preserve">1. </w:t>
      </w:r>
      <w:r>
        <w:t xml:space="preserve">Basculer la langue pendant que le formulaire est ouvert.</w:t>
      </w:r>
    </w:p>
    <w:p>
      <w:pPr>
        <w:spacing w:after="120"/>
      </w:pPr>
      <w:r>
        <w:rPr>
          <w:b/>
          <w:bCs/>
        </w:rPr>
        <w:t xml:space="preserve">Résultat attendu :</w:t>
      </w:r>
      <w:r>
        <w:t xml:space="preserve"> tous les libellés du formulaire (sections, boutons, messages d'erreur déjà affichés) changent de langue sans perdre les valeurs saisies par l'utilisateur.</w:t>
      </w:r>
    </w:p>
    <w:p>
      <w:pPr>
        <w:pStyle w:val="Heading2"/>
        <w:spacing w:after="140" w:before="260"/>
      </w:pPr>
      <w:r>
        <w:t xml:space="preserve">[MOB-NAV-07] Non-régression — écrans hors périmètre i18n</w:t>
      </w:r>
    </w:p>
    <w:p>
      <w:pPr>
        <w:spacing w:after="120"/>
      </w:pPr>
      <w:r>
        <w:rPr>
          <w:b/>
          <w:bCs/>
        </w:rPr>
        <w:t xml:space="preserve">Type :</w:t>
      </w:r>
      <w:r>
        <w:t xml:space="preserve"> Non passant / non-régression</w:t>
      </w:r>
    </w:p>
    <w:p>
      <w:pPr>
        <w:spacing w:after="120"/>
      </w:pPr>
      <w:r>
        <w:rPr>
          <w:b/>
          <w:bCs/>
        </w:rPr>
        <w:t xml:space="preserve">Préconditions :</w:t>
      </w:r>
      <w:r>
        <w:t xml:space="preserve"> Voir MOB-DIR-06 et MOB-QUO-03.</w:t>
      </w:r>
    </w:p>
    <w:p>
      <w:pPr>
        <w:spacing w:after="120"/>
      </w:pPr>
      <w:r>
        <w:rPr>
          <w:b/>
          <w:bCs/>
        </w:rPr>
        <w:t xml:space="preserve">Actions :</w:t>
      </w:r>
    </w:p>
    <w:p>
      <w:pPr>
        <w:spacing w:after="80"/>
        <w:ind w:left="360"/>
      </w:pPr>
      <w:r>
        <w:rPr>
          <w:b/>
          <w:bCs/>
        </w:rPr>
        <w:t xml:space="preserve">1. </w:t>
      </w:r>
      <w:r>
        <w:t xml:space="preserve">Basculer en anglais, visiter l'Annuaire DGFIP et le formulaire Devis.</w:t>
      </w:r>
    </w:p>
    <w:p>
      <w:pPr>
        <w:spacing w:after="120"/>
      </w:pPr>
      <w:r>
        <w:rPr>
          <w:b/>
          <w:bCs/>
        </w:rPr>
        <w:t xml:space="preserve">Résultat attendu :</w:t>
      </w:r>
      <w:r>
        <w:t xml:space="preserve"> ces deux écrans restent en français — comportement </w:t>
      </w:r>
      <w:r>
        <w:rPr>
          <w:b/>
          <w:bCs/>
        </w:rPr>
        <w:t xml:space="preserve">attendu et documenté</w:t>
      </w:r>
      <w:r>
        <w:t xml:space="preserve">, à ne pas remonter comme un nouveau défaut à chaque campagne de recette.</w:t>
      </w:r>
    </w:p>
    <w:p>
      <w:pPr>
        <w:pStyle w:val="Heading2"/>
        <w:spacing w:after="140" w:before="260"/>
      </w:pPr>
      <w:r>
        <w:t xml:space="preserve">9.3 Bascule de thème Sombre/Clair (US-25)</w:t>
      </w:r>
    </w:p>
    <w:p>
      <w:pPr>
        <w:pStyle w:val="Heading2"/>
        <w:spacing w:after="140" w:before="260"/>
      </w:pPr>
      <w:r>
        <w:t xml:space="preserve">[MOB-NAV-08] Cycle complet DARK → LIGHT → DARK</w:t>
      </w:r>
    </w:p>
    <w:p>
      <w:pPr>
        <w:spacing w:after="120"/>
      </w:pPr>
      <w:r>
        <w:rPr>
          <w:b/>
          <w:bCs/>
        </w:rPr>
        <w:t xml:space="preserve">Type :</w:t>
      </w:r>
      <w:r>
        <w:t xml:space="preserve"> Passant</w:t>
      </w:r>
    </w:p>
    <w:p>
      <w:pPr>
        <w:spacing w:after="120"/>
      </w:pPr>
      <w:r>
        <w:rPr>
          <w:b/>
          <w:bCs/>
        </w:rPr>
        <w:t xml:space="preserve">Préconditions :</w:t>
      </w:r>
      <w:r>
        <w:t xml:space="preserve"> Application au thème sombre par défaut (premier lancement).</w:t>
      </w:r>
    </w:p>
    <w:p>
      <w:pPr>
        <w:spacing w:after="120"/>
      </w:pPr>
      <w:r>
        <w:rPr>
          <w:b/>
          <w:bCs/>
        </w:rPr>
        <w:t xml:space="preserve">Actions :</w:t>
      </w:r>
    </w:p>
    <w:p>
      <w:pPr>
        <w:spacing w:after="80"/>
        <w:ind w:left="360"/>
      </w:pPr>
      <w:r>
        <w:rPr>
          <w:b/>
          <w:bCs/>
        </w:rPr>
        <w:t xml:space="preserve">1. </w:t>
      </w:r>
      <w:r>
        <w:t xml:space="preserve">Taper le bouton de bascule de thème (</w:t>
      </w:r>
      <w:r>
        <w:rPr>
          <w:rFonts w:ascii="Consolas" w:cs="Consolas" w:eastAsia="Consolas" w:hAnsi="Consolas"/>
          <w:sz w:val="20"/>
          <w:szCs w:val="20"/>
          <w:shd w:fill="EEEEEE" w:val="clear"/>
        </w:rPr>
        <w:t xml:space="preserve">theme_toggle_btn</w:t>
      </w:r>
      <w:r>
        <w:t xml:space="preserve">) — icône ☀️ visible en thème sombre.</w:t>
      </w:r>
    </w:p>
    <w:p>
      <w:pPr>
        <w:spacing w:after="80"/>
        <w:ind w:left="360"/>
      </w:pPr>
      <w:r>
        <w:rPr>
          <w:b/>
          <w:bCs/>
        </w:rPr>
        <w:t xml:space="preserve">2. </w:t>
      </w:r>
      <w:r>
        <w:t xml:space="preserve">Observer le repeint de l'écran entier.</w:t>
      </w:r>
    </w:p>
    <w:p>
      <w:pPr>
        <w:spacing w:after="80"/>
        <w:ind w:left="360"/>
      </w:pPr>
      <w:r>
        <w:rPr>
          <w:b/>
          <w:bCs/>
        </w:rPr>
        <w:t xml:space="preserve">3. </w:t>
      </w:r>
      <w:r>
        <w:t xml:space="preserve">Taper à nouveau le bouton — icône 🌙 visible en thème clair.</w:t>
      </w:r>
    </w:p>
    <w:p>
      <w:pPr>
        <w:spacing w:after="120"/>
      </w:pPr>
      <w:r>
        <w:rPr>
          <w:b/>
          <w:bCs/>
        </w:rPr>
        <w:t xml:space="preserve">Résultat attendu :</w:t>
      </w:r>
    </w:p>
    <w:p>
      <w:pPr>
        <w:pStyle w:val="ListParagraph"/>
        <w:numPr>
          <w:ilvl w:val="0"/>
          <w:numId w:val="1"/>
        </w:numPr>
        <w:spacing w:after="80"/>
      </w:pPr>
      <w:r>
        <w:t xml:space="preserve">Étape 1-2 : fond, cartes, textes de </w:t>
      </w:r>
      <w:r>
        <w:rPr>
          <w:b/>
          <w:bCs/>
        </w:rPr>
        <w:t xml:space="preserve">tout l'écran</w:t>
      </w:r>
      <w:r>
        <w:t xml:space="preserve"> (pas seulement l'en-tête) basculent vers la palette claire ; l'icône du bouton devient une lune (annonce la destination du prochain appui, pas l'état courant).</w:t>
      </w:r>
    </w:p>
    <w:p>
      <w:pPr>
        <w:pStyle w:val="ListParagraph"/>
        <w:numPr>
          <w:ilvl w:val="0"/>
          <w:numId w:val="1"/>
        </w:numPr>
        <w:spacing w:after="80"/>
      </w:pPr>
      <w:r>
        <w:t xml:space="preserve">Étape 3 : retour identique au thème sombre initial.</w:t>
      </w:r>
    </w:p>
    <w:p>
      <w:pPr>
        <w:pStyle w:val="Heading2"/>
        <w:spacing w:after="140" w:before="260"/>
      </w:pPr>
      <w:r>
        <w:t xml:space="preserve">[MOB-NAV-09] Coexistence avec le sélecteur de langue</w:t>
      </w:r>
    </w:p>
    <w:p>
      <w:pPr>
        <w:spacing w:after="120"/>
      </w:pPr>
      <w:r>
        <w:rPr>
          <w:b/>
          <w:bCs/>
        </w:rPr>
        <w:t xml:space="preserve">Type :</w:t>
      </w:r>
      <w:r>
        <w:t xml:space="preserve"> Passant / non-régression </w:t>
      </w:r>
      <w:r>
        <w:rPr>
          <w:b/>
          <w:bCs/>
        </w:rPr>
        <w:t xml:space="preserve">critique</w:t>
      </w:r>
    </w:p>
    <w:p>
      <w:pPr>
        <w:spacing w:after="120"/>
      </w:pPr>
      <w:r>
        <w:rPr>
          <w:b/>
          <w:bCs/>
        </w:rPr>
        <w:t xml:space="preserve">Préconditions :</w:t>
      </w:r>
      <w:r>
        <w:t xml:space="preserve"> En-tête compact (Pixel 5).</w:t>
      </w:r>
    </w:p>
    <w:p>
      <w:pPr>
        <w:spacing w:after="120"/>
      </w:pPr>
      <w:r>
        <w:rPr>
          <w:b/>
          <w:bCs/>
        </w:rPr>
        <w:t xml:space="preserve">Actions :</w:t>
      </w:r>
    </w:p>
    <w:p>
      <w:pPr>
        <w:spacing w:after="80"/>
        <w:ind w:left="360"/>
      </w:pPr>
      <w:r>
        <w:rPr>
          <w:b/>
          <w:bCs/>
        </w:rPr>
        <w:t xml:space="preserve">1. </w:t>
      </w:r>
      <w:r>
        <w:t xml:space="preserve">Observer simultanément la bascule de thème et le sélecteur de langue dans l'en-tête.</w:t>
      </w:r>
    </w:p>
    <w:p>
      <w:pPr>
        <w:spacing w:after="120"/>
      </w:pPr>
      <w:r>
        <w:rPr>
          <w:b/>
          <w:bCs/>
        </w:rPr>
        <w:t xml:space="preserve">Résultat attendu :</w:t>
      </w:r>
      <w:r>
        <w:t xml:space="preserve"> les deux commandes sont </w:t>
      </w:r>
      <w:r>
        <w:rPr>
          <w:b/>
          <w:bCs/>
        </w:rPr>
        <w:t xml:space="preserve">entièrement visibles</w:t>
      </w:r>
      <w:r>
        <w:t xml:space="preserve">, avec leur cible tactile pleine (≥ 48 dp chacune) — historique d'un bug corrigé en cours d'US-25 où la 5ᵉ commande comprimait le sélecteur de langue hors de l'écran.</w:t>
      </w:r>
    </w:p>
    <w:p>
      <w:pPr>
        <w:pStyle w:val="Heading2"/>
        <w:spacing w:after="140" w:before="260"/>
      </w:pPr>
      <w:r>
        <w:t xml:space="preserve">[MOB-NAV-10] Persistance du thème après redémarrage</w:t>
      </w:r>
    </w:p>
    <w:p>
      <w:pPr>
        <w:spacing w:after="120"/>
      </w:pPr>
      <w:r>
        <w:rPr>
          <w:b/>
          <w:bCs/>
        </w:rPr>
        <w:t xml:space="preserve">Type :</w:t>
      </w:r>
      <w:r>
        <w:t xml:space="preserve"> Passant</w:t>
      </w:r>
    </w:p>
    <w:p>
      <w:pPr>
        <w:spacing w:after="120"/>
      </w:pPr>
      <w:r>
        <w:rPr>
          <w:b/>
          <w:bCs/>
        </w:rPr>
        <w:t xml:space="preserve">Préconditions :</w:t>
      </w:r>
      <w:r>
        <w:t xml:space="preserve"> Thème basculé en Clair.</w:t>
      </w:r>
    </w:p>
    <w:p>
      <w:pPr>
        <w:spacing w:after="120"/>
      </w:pPr>
      <w:r>
        <w:rPr>
          <w:b/>
          <w:bCs/>
        </w:rPr>
        <w:t xml:space="preserve">Actions :</w:t>
      </w:r>
    </w:p>
    <w:p>
      <w:pPr>
        <w:spacing w:after="80"/>
        <w:ind w:left="360"/>
      </w:pPr>
      <w:r>
        <w:rPr>
          <w:b/>
          <w:bCs/>
        </w:rPr>
        <w:t xml:space="preserve">1. </w:t>
      </w:r>
      <w:r>
        <w:t xml:space="preserve">Fermer complètement l'application (pas seulement mise en arrière-plan).</w:t>
      </w:r>
    </w:p>
    <w:p>
      <w:pPr>
        <w:spacing w:after="80"/>
        <w:ind w:left="360"/>
      </w:pPr>
      <w:r>
        <w:rPr>
          <w:b/>
          <w:bCs/>
        </w:rPr>
        <w:t xml:space="preserve">2. </w:t>
      </w:r>
      <w:r>
        <w:t xml:space="preserve">Relancer l'application.</w:t>
      </w:r>
    </w:p>
    <w:p>
      <w:pPr>
        <w:spacing w:after="120"/>
      </w:pPr>
      <w:r>
        <w:rPr>
          <w:b/>
          <w:bCs/>
        </w:rPr>
        <w:t xml:space="preserve">Résultat attendu :</w:t>
      </w:r>
      <w:r>
        <w:t xml:space="preserve"> l'application démarre directement en thème </w:t>
      </w:r>
      <w:r>
        <w:rPr>
          <w:b/>
          <w:bCs/>
        </w:rPr>
        <w:t xml:space="preserve">Clair</w:t>
      </w:r>
      <w:r>
        <w:t xml:space="preserve"> — la préférence est persistée en base, pas seulement en mémoire.</w:t>
      </w:r>
    </w:p>
    <w:p>
      <w:pPr>
        <w:pStyle w:val="Heading2"/>
        <w:spacing w:after="140" w:before="260"/>
      </w:pPr>
      <w:r>
        <w:t xml:space="preserve">[MOB-NAV-11] Cohérence du thème sur l'écran d'avoir</w:t>
      </w:r>
    </w:p>
    <w:p>
      <w:pPr>
        <w:spacing w:after="120"/>
      </w:pPr>
      <w:r>
        <w:rPr>
          <w:b/>
          <w:bCs/>
        </w:rPr>
        <w:t xml:space="preserve">Type :</w:t>
      </w:r>
      <w:r>
        <w:t xml:space="preserve"> Passant / non-régression</w:t>
      </w:r>
    </w:p>
    <w:p>
      <w:pPr>
        <w:spacing w:after="120"/>
      </w:pPr>
      <w:r>
        <w:rPr>
          <w:b/>
          <w:bCs/>
        </w:rPr>
        <w:t xml:space="preserve">Préconditions :</w:t>
      </w:r>
      <w:r>
        <w:t xml:space="preserve"> Thème basculé en Clair, écran d'avoir ouvert (thème violet/indigo local).</w:t>
      </w:r>
    </w:p>
    <w:p>
      <w:pPr>
        <w:spacing w:after="120"/>
      </w:pPr>
      <w:r>
        <w:rPr>
          <w:b/>
          <w:bCs/>
        </w:rPr>
        <w:t xml:space="preserve">Actions :</w:t>
      </w:r>
    </w:p>
    <w:p>
      <w:pPr>
        <w:spacing w:after="80"/>
        <w:ind w:left="360"/>
      </w:pPr>
      <w:r>
        <w:rPr>
          <w:b/>
          <w:bCs/>
        </w:rPr>
        <w:t xml:space="preserve">1. </w:t>
      </w:r>
      <w:r>
        <w:t xml:space="preserve">Ouvrir un formulaire d'avoir en thème Clair.</w:t>
      </w:r>
    </w:p>
    <w:p>
      <w:pPr>
        <w:spacing w:after="120"/>
      </w:pPr>
      <w:r>
        <w:rPr>
          <w:b/>
          <w:bCs/>
        </w:rPr>
        <w:t xml:space="preserve">Résultat attendu :</w:t>
      </w:r>
      <w:r>
        <w:t xml:space="preserve"> la dominante violet/indigo de l'écran d'avoir se décline elle aussi en version claire (fond clair, texte sombre) — elle ne reste pas figée en sombre pendant que le reste de l'application est clair.</w:t>
      </w:r>
    </w:p>
    <w:p>
      <w:pPr>
        <w:pStyle w:val="Heading2"/>
        <w:spacing w:after="140" w:before="260"/>
      </w:pPr>
      <w:r>
        <w:t xml:space="preserve">[MOB-NAV-12] Thème clair et lisibilité des badges de statut</w:t>
      </w:r>
    </w:p>
    <w:p>
      <w:pPr>
        <w:spacing w:after="120"/>
      </w:pPr>
      <w:r>
        <w:rPr>
          <w:b/>
          <w:bCs/>
        </w:rPr>
        <w:t xml:space="preserve">Type :</w:t>
      </w:r>
      <w:r>
        <w:t xml:space="preserve"> Passant / non-régression</w:t>
      </w:r>
    </w:p>
    <w:p>
      <w:pPr>
        <w:spacing w:after="120"/>
      </w:pPr>
      <w:r>
        <w:rPr>
          <w:b/>
          <w:bCs/>
        </w:rPr>
        <w:t xml:space="preserve">Préconditions :</w:t>
      </w:r>
      <w:r>
        <w:t xml:space="preserve"> Thème Clair actif, liste de factures avec plusieurs statuts visibles.</w:t>
      </w:r>
    </w:p>
    <w:p>
      <w:pPr>
        <w:spacing w:after="120"/>
      </w:pPr>
      <w:r>
        <w:rPr>
          <w:b/>
          <w:bCs/>
        </w:rPr>
        <w:t xml:space="preserve">Actions :</w:t>
      </w:r>
    </w:p>
    <w:p>
      <w:pPr>
        <w:spacing w:after="80"/>
        <w:ind w:left="360"/>
      </w:pPr>
      <w:r>
        <w:rPr>
          <w:b/>
          <w:bCs/>
        </w:rPr>
        <w:t xml:space="preserve">1. </w:t>
      </w:r>
      <w:r>
        <w:t xml:space="preserve">Observer les badges de statut (Payé/En attente/Brouillon) sur la liste des factures.</w:t>
      </w:r>
    </w:p>
    <w:p>
      <w:pPr>
        <w:spacing w:after="120"/>
      </w:pPr>
      <w:r>
        <w:rPr>
          <w:b/>
          <w:bCs/>
        </w:rPr>
        <w:t xml:space="preserve">Résultat attendu :</w:t>
      </w:r>
      <w:r>
        <w:t xml:space="preserve"> chaque badge garde un contraste net (fond clair, texte saturé — pas l'inverse du thème sombre simplement éclairci) ; aucun badge n'est illisible sur fond blanc.</w:t>
      </w:r>
    </w:p>
    <w:p>
      <w:pPr>
        <w:pBdr>
          <w:bottom w:val="single" w:color="AAAAAA" w:sz="6" w:space="1"/>
        </w:pBdr>
        <w:spacing w:after="240" w:before="120"/>
      </w:pPr>
    </w:p>
    <w:p>
      <w:pPr>
        <w:pStyle w:val="Heading1"/>
        <w:pageBreakBefore/>
        <w:spacing w:after="140" w:before="400"/>
      </w:pPr>
      <w:r>
        <w:t xml:space="preserve">10. Rapprochement Bancaire (US-18)</w:t>
      </w:r>
    </w:p>
    <w:p>
      <w:pPr>
        <w:pStyle w:val="Heading2"/>
        <w:spacing w:after="140" w:before="260"/>
      </w:pPr>
      <w:r>
        <w:t xml:space="preserve">[MOB-REC-01] Mise en page tablette — deux colonnes permanentes</w:t>
      </w:r>
    </w:p>
    <w:p>
      <w:pPr>
        <w:spacing w:after="120"/>
      </w:pPr>
      <w:r>
        <w:rPr>
          <w:b/>
          <w:bCs/>
        </w:rPr>
        <w:t xml:space="preserve">Type :</w:t>
      </w:r>
      <w:r>
        <w:t xml:space="preserve"> Passant / non-régression</w:t>
      </w:r>
    </w:p>
    <w:p>
      <w:pPr>
        <w:spacing w:after="120"/>
      </w:pPr>
      <w:r>
        <w:rPr>
          <w:b/>
          <w:bCs/>
        </w:rPr>
        <w:t xml:space="preserve">Préconditions :</w:t>
      </w:r>
      <w:r>
        <w:t xml:space="preserve"> Largeur ≥ 840 dp (tablette ou émulateur redimensionné), au moins une transaction et une facture en attente de paiement.</w:t>
      </w:r>
    </w:p>
    <w:p>
      <w:pPr>
        <w:spacing w:after="120"/>
      </w:pPr>
      <w:r>
        <w:rPr>
          <w:b/>
          <w:bCs/>
        </w:rPr>
        <w:t xml:space="preserve">Actions :</w:t>
      </w:r>
    </w:p>
    <w:p>
      <w:pPr>
        <w:spacing w:after="80"/>
        <w:ind w:left="360"/>
      </w:pPr>
      <w:r>
        <w:rPr>
          <w:b/>
          <w:bCs/>
        </w:rPr>
        <w:t xml:space="preserve">1. </w:t>
      </w:r>
      <w:r>
        <w:t xml:space="preserve">Ouvrir l'onglet « Rapprochement » (</w:t>
      </w:r>
      <w:r>
        <w:rPr>
          <w:rFonts w:ascii="Consolas" w:cs="Consolas" w:eastAsia="Consolas" w:hAnsi="Consolas"/>
          <w:sz w:val="20"/>
          <w:szCs w:val="20"/>
          <w:shd w:fill="EEEEEE" w:val="clear"/>
        </w:rPr>
        <w:t xml:space="preserve">bank_reconciliation_screen</w:t>
      </w:r>
      <w:r>
        <w:t xml:space="preserve">).</w:t>
      </w:r>
    </w:p>
    <w:p>
      <w:pPr>
        <w:spacing w:after="120"/>
      </w:pPr>
      <w:r>
        <w:rPr>
          <w:b/>
          <w:bCs/>
        </w:rPr>
        <w:t xml:space="preserve">Résultat attendu :</w:t>
      </w:r>
      <w:r>
        <w:t xml:space="preserve"> deux colonnes côte à côte, </w:t>
      </w:r>
      <w:r>
        <w:rPr>
          <w:b/>
          <w:bCs/>
        </w:rPr>
        <w:t xml:space="preserve">toutes deux visibles en permanence</w:t>
      </w:r>
      <w:r>
        <w:t xml:space="preserve"> — « Transactions bancaires récentes » à gauche, « Factures en attente de paiement » à droite. Contrairement au Dashboard, ce module a bien une rupture de mise en page dédiée à 840 dp.</w:t>
      </w:r>
    </w:p>
    <w:p>
      <w:pPr>
        <w:pStyle w:val="Heading2"/>
        <w:spacing w:after="140" w:before="260"/>
      </w:pPr>
      <w:r>
        <w:t xml:space="preserve">[MOB-REC-02] Mise en page téléphone — onglets avec indicateur de sélection</w:t>
      </w:r>
    </w:p>
    <w:p>
      <w:pPr>
        <w:spacing w:after="120"/>
      </w:pPr>
      <w:r>
        <w:rPr>
          <w:b/>
          <w:bCs/>
        </w:rPr>
        <w:t xml:space="preserve">Type :</w:t>
      </w:r>
      <w:r>
        <w:t xml:space="preserve"> Passant / non-régression</w:t>
      </w:r>
    </w:p>
    <w:p>
      <w:pPr>
        <w:spacing w:after="120"/>
      </w:pPr>
      <w:r>
        <w:rPr>
          <w:b/>
          <w:bCs/>
        </w:rPr>
        <w:t xml:space="preserve">Préconditions :</w:t>
      </w:r>
      <w:r>
        <w:t xml:space="preserve"> Largeur compacte (&lt; 840 dp).</w:t>
      </w:r>
    </w:p>
    <w:p>
      <w:pPr>
        <w:spacing w:after="120"/>
      </w:pPr>
      <w:r>
        <w:rPr>
          <w:b/>
          <w:bCs/>
        </w:rPr>
        <w:t xml:space="preserve">Actions :</w:t>
      </w:r>
    </w:p>
    <w:p>
      <w:pPr>
        <w:spacing w:after="80"/>
        <w:ind w:left="360"/>
      </w:pPr>
      <w:r>
        <w:rPr>
          <w:b/>
          <w:bCs/>
        </w:rPr>
        <w:t xml:space="preserve">1. </w:t>
      </w:r>
      <w:r>
        <w:t xml:space="preserve">Ouvrir l'onglet Rapprochement.</w:t>
      </w:r>
    </w:p>
    <w:p>
      <w:pPr>
        <w:spacing w:after="80"/>
        <w:ind w:left="360"/>
      </w:pPr>
      <w:r>
        <w:rPr>
          <w:b/>
          <w:bCs/>
        </w:rPr>
        <w:t xml:space="preserve">2. </w:t>
      </w:r>
      <w:r>
        <w:t xml:space="preserve">Sélectionner une transaction (voir MOB-REC-03), puis basculer sur l'onglet « Factures » (</w:t>
      </w:r>
      <w:r>
        <w:rPr>
          <w:rFonts w:ascii="Consolas" w:cs="Consolas" w:eastAsia="Consolas" w:hAnsi="Consolas"/>
          <w:sz w:val="20"/>
          <w:szCs w:val="20"/>
          <w:shd w:fill="EEEEEE" w:val="clear"/>
        </w:rPr>
        <w:t xml:space="preserve">bank_reconciliation_tab_invoices</w:t>
      </w:r>
      <w:r>
        <w:t xml:space="preserve">).</w:t>
      </w:r>
    </w:p>
    <w:p>
      <w:pPr>
        <w:spacing w:after="120"/>
      </w:pPr>
      <w:r>
        <w:rPr>
          <w:b/>
          <w:bCs/>
        </w:rPr>
        <w:t xml:space="preserve">Résultat attendu :</w:t>
      </w:r>
    </w:p>
    <w:p>
      <w:pPr>
        <w:pStyle w:val="ListParagraph"/>
        <w:numPr>
          <w:ilvl w:val="0"/>
          <w:numId w:val="1"/>
        </w:numPr>
        <w:spacing w:after="80"/>
      </w:pPr>
      <w:r>
        <w:t xml:space="preserve">Une bannière persistante « Sélectionnez une transaction et une facture pour les associer. » (</w:t>
      </w:r>
      <w:r>
        <w:rPr>
          <w:rFonts w:ascii="Consolas" w:cs="Consolas" w:eastAsia="Consolas" w:hAnsi="Consolas"/>
          <w:sz w:val="20"/>
          <w:szCs w:val="20"/>
          <w:shd w:fill="EEEEEE" w:val="clear"/>
        </w:rPr>
        <w:t xml:space="preserve">bank_reconciliation_hint</w:t>
      </w:r>
      <w:r>
        <w:t xml:space="preserve">) reste visible quel que soit l'onglet actif.</w:t>
      </w:r>
    </w:p>
    <w:p>
      <w:pPr>
        <w:pStyle w:val="ListParagraph"/>
        <w:numPr>
          <w:ilvl w:val="0"/>
          <w:numId w:val="1"/>
        </w:numPr>
        <w:spacing w:after="80"/>
      </w:pPr>
      <w:r>
        <w:t xml:space="preserve">Après la sélection côté Transactions puis le passage à l'onglet Factures : l'onglet « Transactions » (</w:t>
      </w:r>
      <w:r>
        <w:rPr>
          <w:rFonts w:ascii="Consolas" w:cs="Consolas" w:eastAsia="Consolas" w:hAnsi="Consolas"/>
          <w:sz w:val="20"/>
          <w:szCs w:val="20"/>
          <w:shd w:fill="EEEEEE" w:val="clear"/>
        </w:rPr>
        <w:t xml:space="preserve">bank_reconciliation_tab_transactions</w:t>
      </w:r>
      <w:r>
        <w:t xml:space="preserve">) porte désormais un petit point indicateur — la sélection en cours n'est pas perdue en changeant d'onglet, et rien ne le rappelle sauf ce point.</w:t>
      </w:r>
    </w:p>
    <w:p>
      <w:pPr>
        <w:pStyle w:val="Heading2"/>
        <w:spacing w:after="140" w:before="260"/>
      </w:pPr>
      <w:r>
        <w:t xml:space="preserve">[MOB-REC-03] Sélection en bascule (toggle)</w:t>
      </w:r>
    </w:p>
    <w:p>
      <w:pPr>
        <w:spacing w:after="120"/>
      </w:pPr>
      <w:r>
        <w:rPr>
          <w:b/>
          <w:bCs/>
        </w:rPr>
        <w:t xml:space="preserve">Type :</w:t>
      </w:r>
      <w:r>
        <w:t xml:space="preserve"> Passant</w:t>
      </w:r>
    </w:p>
    <w:p>
      <w:pPr>
        <w:spacing w:after="120"/>
      </w:pPr>
      <w:r>
        <w:rPr>
          <w:b/>
          <w:bCs/>
        </w:rPr>
        <w:t xml:space="preserve">Préconditions :</w:t>
      </w:r>
      <w:r>
        <w:t xml:space="preserve"> Onglet Rapprochement affiché, au moins une transaction listée.</w:t>
      </w:r>
    </w:p>
    <w:p>
      <w:pPr>
        <w:spacing w:after="120"/>
      </w:pPr>
      <w:r>
        <w:rPr>
          <w:b/>
          <w:bCs/>
        </w:rPr>
        <w:t xml:space="preserve">Actions :</w:t>
      </w:r>
    </w:p>
    <w:p>
      <w:pPr>
        <w:spacing w:after="80"/>
        <w:ind w:left="360"/>
      </w:pPr>
      <w:r>
        <w:rPr>
          <w:b/>
          <w:bCs/>
        </w:rPr>
        <w:t xml:space="preserve">1. </w:t>
      </w:r>
      <w:r>
        <w:t xml:space="preserve">Taper une carte de transaction (</w:t>
      </w:r>
      <w:r>
        <w:rPr>
          <w:rFonts w:ascii="Consolas" w:cs="Consolas" w:eastAsia="Consolas" w:hAnsi="Consolas"/>
          <w:sz w:val="20"/>
          <w:szCs w:val="20"/>
          <w:shd w:fill="EEEEEE" w:val="clear"/>
        </w:rPr>
        <w:t xml:space="preserve">transactionCard(id)</w:t>
      </w:r>
      <w:r>
        <w:t xml:space="preserve">).</w:t>
      </w:r>
    </w:p>
    <w:p>
      <w:pPr>
        <w:spacing w:after="80"/>
        <w:ind w:left="360"/>
      </w:pPr>
      <w:r>
        <w:rPr>
          <w:b/>
          <w:bCs/>
        </w:rPr>
        <w:t xml:space="preserve">2. </w:t>
      </w:r>
      <w:r>
        <w:t xml:space="preserve">Retaper la </w:t>
      </w:r>
      <w:r>
        <w:rPr>
          <w:b/>
          <w:bCs/>
        </w:rPr>
        <w:t xml:space="preserve">même</w:t>
      </w:r>
      <w:r>
        <w:t xml:space="preserve"> carte.</w:t>
      </w:r>
    </w:p>
    <w:p>
      <w:pPr>
        <w:spacing w:after="120"/>
      </w:pPr>
      <w:r>
        <w:rPr>
          <w:b/>
          <w:bCs/>
        </w:rPr>
        <w:t xml:space="preserve">Résultat attendu :</w:t>
      </w:r>
      <w:r>
        <w:t xml:space="preserve"> au premier tap, la carte apparaît sélectionnée (mise en évidence) ; au second tap sur la même carte, elle se désélectionne — aucun bouton « Annuler » séparé n'est nécessaire.</w:t>
      </w:r>
    </w:p>
    <w:p>
      <w:pPr>
        <w:pStyle w:val="Heading2"/>
        <w:spacing w:after="140" w:before="260"/>
      </w:pPr>
      <w:r>
        <w:t xml:space="preserve">[MOB-REC-04] Bouton d'association — apparition conditionnelle</w:t>
      </w:r>
    </w:p>
    <w:p>
      <w:pPr>
        <w:spacing w:after="120"/>
      </w:pPr>
      <w:r>
        <w:rPr>
          <w:b/>
          <w:bCs/>
        </w:rPr>
        <w:t xml:space="preserve">Type :</w:t>
      </w:r>
      <w:r>
        <w:t xml:space="preserve"> Passant</w:t>
      </w:r>
    </w:p>
    <w:p>
      <w:pPr>
        <w:spacing w:after="120"/>
      </w:pPr>
      <w:r>
        <w:rPr>
          <w:b/>
          <w:bCs/>
        </w:rPr>
        <w:t xml:space="preserve">Préconditions :</w:t>
      </w:r>
      <w:r>
        <w:t xml:space="preserve"> Onglet Rapprochement affiché.</w:t>
      </w:r>
    </w:p>
    <w:p>
      <w:pPr>
        <w:spacing w:after="120"/>
      </w:pPr>
      <w:r>
        <w:rPr>
          <w:b/>
          <w:bCs/>
        </w:rPr>
        <w:t xml:space="preserve">Actions :</w:t>
      </w:r>
    </w:p>
    <w:p>
      <w:pPr>
        <w:spacing w:after="80"/>
        <w:ind w:left="360"/>
      </w:pPr>
      <w:r>
        <w:rPr>
          <w:b/>
          <w:bCs/>
        </w:rPr>
        <w:t xml:space="preserve">1. </w:t>
      </w:r>
      <w:r>
        <w:t xml:space="preserve">Sélectionner uniquement une transaction (aucune facture).</w:t>
      </w:r>
    </w:p>
    <w:p>
      <w:pPr>
        <w:spacing w:after="80"/>
        <w:ind w:left="360"/>
      </w:pPr>
      <w:r>
        <w:rPr>
          <w:b/>
          <w:bCs/>
        </w:rPr>
        <w:t xml:space="preserve">2. </w:t>
      </w:r>
      <w:r>
        <w:t xml:space="preserve">Observer le bas de l'écran.</w:t>
      </w:r>
    </w:p>
    <w:p>
      <w:pPr>
        <w:spacing w:after="80"/>
        <w:ind w:left="360"/>
      </w:pPr>
      <w:r>
        <w:rPr>
          <w:b/>
          <w:bCs/>
        </w:rPr>
        <w:t xml:space="preserve">3. </w:t>
      </w:r>
      <w:r>
        <w:t xml:space="preserve">Sélectionner également une facture.</w:t>
      </w:r>
    </w:p>
    <w:p>
      <w:pPr>
        <w:spacing w:after="120"/>
      </w:pPr>
      <w:r>
        <w:rPr>
          <w:b/>
          <w:bCs/>
        </w:rPr>
        <w:t xml:space="preserve">Résultat attendu :</w:t>
      </w:r>
    </w:p>
    <w:p>
      <w:pPr>
        <w:pStyle w:val="ListParagraph"/>
        <w:numPr>
          <w:ilvl w:val="0"/>
          <w:numId w:val="1"/>
        </w:numPr>
        <w:spacing w:after="80"/>
      </w:pPr>
      <w:r>
        <w:t xml:space="preserve">Après l'étape 2 : aucun bouton flottant d'association n'apparaît (une seule des deux sélections ne suffit pas).</w:t>
      </w:r>
    </w:p>
    <w:p>
      <w:pPr>
        <w:pStyle w:val="ListParagraph"/>
        <w:numPr>
          <w:ilvl w:val="0"/>
          <w:numId w:val="1"/>
        </w:numPr>
        <w:spacing w:after="80"/>
      </w:pPr>
      <w:r>
        <w:t xml:space="preserve">Après l'étape 3 : le bouton flottant « Associer (Lettrage) » (</w:t>
      </w:r>
      <w:r>
        <w:rPr>
          <w:rFonts w:ascii="Consolas" w:cs="Consolas" w:eastAsia="Consolas" w:hAnsi="Consolas"/>
          <w:sz w:val="20"/>
          <w:szCs w:val="20"/>
          <w:shd w:fill="EEEEEE" w:val="clear"/>
        </w:rPr>
        <w:t xml:space="preserve">btn_reconcile_match</w:t>
      </w:r>
      <w:r>
        <w:t xml:space="preserve">) apparaît avec une animation d'apparition (fondu + glissement).</w:t>
      </w:r>
    </w:p>
    <w:p>
      <w:pPr>
        <w:pStyle w:val="Heading2"/>
        <w:spacing w:after="140" w:before="260"/>
      </w:pPr>
      <w:r>
        <w:t xml:space="preserve">[MOB-REC-05] Seules les factures légalement encaissables sont listées</w:t>
      </w:r>
    </w:p>
    <w:p>
      <w:pPr>
        <w:spacing w:after="120"/>
      </w:pPr>
      <w:r>
        <w:rPr>
          <w:b/>
          <w:bCs/>
        </w:rPr>
        <w:t xml:space="preserve">Type :</w:t>
      </w:r>
      <w:r>
        <w:t xml:space="preserve"> Passant / non-régression</w:t>
      </w:r>
    </w:p>
    <w:p>
      <w:pPr>
        <w:spacing w:after="120"/>
      </w:pPr>
      <w:r>
        <w:rPr>
          <w:b/>
          <w:bCs/>
        </w:rPr>
        <w:t xml:space="preserve">Préconditions :</w:t>
      </w:r>
      <w:r>
        <w:t xml:space="preserve"> Une facture au statut Brouillon et une autre au statut Déposée, toutes deux impayées.</w:t>
      </w:r>
    </w:p>
    <w:p>
      <w:pPr>
        <w:spacing w:after="120"/>
      </w:pPr>
      <w:r>
        <w:rPr>
          <w:b/>
          <w:bCs/>
        </w:rPr>
        <w:t xml:space="preserve">Actions :</w:t>
      </w:r>
    </w:p>
    <w:p>
      <w:pPr>
        <w:spacing w:after="80"/>
        <w:ind w:left="360"/>
      </w:pPr>
      <w:r>
        <w:rPr>
          <w:b/>
          <w:bCs/>
        </w:rPr>
        <w:t xml:space="preserve">1. </w:t>
      </w:r>
      <w:r>
        <w:t xml:space="preserve">Observer la colonne/l'onglet « Factures en attente de paiement » (</w:t>
      </w:r>
      <w:r>
        <w:rPr>
          <w:rFonts w:ascii="Consolas" w:cs="Consolas" w:eastAsia="Consolas" w:hAnsi="Consolas"/>
          <w:sz w:val="20"/>
          <w:szCs w:val="20"/>
          <w:shd w:fill="EEEEEE" w:val="clear"/>
        </w:rPr>
        <w:t xml:space="preserve">unpaid_invoices_list</w:t>
      </w:r>
      <w:r>
        <w:t xml:space="preserve">).</w:t>
      </w:r>
    </w:p>
    <w:p>
      <w:pPr>
        <w:spacing w:after="120"/>
      </w:pPr>
      <w:r>
        <w:rPr>
          <w:b/>
          <w:bCs/>
        </w:rPr>
        <w:t xml:space="preserve">Résultat attendu :</w:t>
      </w:r>
      <w:r>
        <w:t xml:space="preserve"> la facture </w:t>
      </w:r>
      <w:r>
        <w:rPr>
          <w:b/>
          <w:bCs/>
        </w:rPr>
        <w:t xml:space="preserve">Déposée</w:t>
      </w:r>
      <w:r>
        <w:t xml:space="preserve"> apparaît (DEPOSITED → PAID est une transition légale) ; la facture </w:t>
      </w:r>
      <w:r>
        <w:rPr>
          <w:b/>
          <w:bCs/>
        </w:rPr>
        <w:t xml:space="preserve">Brouillon</w:t>
      </w:r>
      <w:r>
        <w:t xml:space="preserve"> n'apparaît </w:t>
      </w:r>
      <w:r>
        <w:rPr>
          <w:b/>
          <w:bCs/>
        </w:rPr>
        <w:t xml:space="preserve">jamais</w:t>
      </w:r>
      <w:r>
        <w:t xml:space="preserve"> dans cette liste — la règle n'est pas codée en dur, elle dérive de la machine à états des statuts (</w:t>
      </w:r>
      <w:r>
        <w:rPr>
          <w:rFonts w:ascii="Consolas" w:cs="Consolas" w:eastAsia="Consolas" w:hAnsi="Consolas"/>
          <w:sz w:val="20"/>
          <w:szCs w:val="20"/>
          <w:shd w:fill="EEEEEE" w:val="clear"/>
        </w:rPr>
        <w:t xml:space="preserve">InvoiceStatusTransition.isAllowed</w:t>
      </w:r>
      <w:r>
        <w:t xml:space="preserve">).</w:t>
      </w:r>
    </w:p>
    <w:p>
      <w:pPr>
        <w:pStyle w:val="Heading2"/>
        <w:spacing w:after="140" w:before="260"/>
      </w:pPr>
      <w:r>
        <w:t xml:space="preserve">[MOB-REC-06] Association nominale — montants identiques</w:t>
      </w:r>
    </w:p>
    <w:p>
      <w:pPr>
        <w:spacing w:after="120"/>
      </w:pPr>
      <w:r>
        <w:rPr>
          <w:b/>
          <w:bCs/>
        </w:rPr>
        <w:t xml:space="preserve">Type :</w:t>
      </w:r>
      <w:r>
        <w:t xml:space="preserve"> Passant</w:t>
      </w:r>
    </w:p>
    <w:p>
      <w:pPr>
        <w:spacing w:after="120"/>
      </w:pPr>
      <w:r>
        <w:rPr>
          <w:b/>
          <w:bCs/>
        </w:rPr>
        <w:t xml:space="preserve">Préconditions :</w:t>
      </w:r>
      <w:r>
        <w:t xml:space="preserve"> Une transaction et une facture impayée de même montant.</w:t>
      </w:r>
    </w:p>
    <w:p>
      <w:pPr>
        <w:spacing w:after="120"/>
      </w:pPr>
      <w:r>
        <w:rPr>
          <w:b/>
          <w:bCs/>
        </w:rPr>
        <w:t xml:space="preserve">Actions :</w:t>
      </w:r>
    </w:p>
    <w:p>
      <w:pPr>
        <w:spacing w:after="80"/>
        <w:ind w:left="360"/>
      </w:pPr>
      <w:r>
        <w:rPr>
          <w:b/>
          <w:bCs/>
        </w:rPr>
        <w:t xml:space="preserve">1. </w:t>
      </w:r>
      <w:r>
        <w:t xml:space="preserve">Sélectionner la transaction, puis la facture.</w:t>
      </w:r>
    </w:p>
    <w:p>
      <w:pPr>
        <w:spacing w:after="80"/>
        <w:ind w:left="360"/>
      </w:pPr>
      <w:r>
        <w:rPr>
          <w:b/>
          <w:bCs/>
        </w:rPr>
        <w:t xml:space="preserve">2. </w:t>
      </w:r>
      <w:r>
        <w:t xml:space="preserve">Taper « Associer (Lettrage) ».</w:t>
      </w:r>
    </w:p>
    <w:p>
      <w:pPr>
        <w:spacing w:after="120"/>
      </w:pPr>
      <w:r>
        <w:rPr>
          <w:b/>
          <w:bCs/>
        </w:rPr>
        <w:t xml:space="preserve">Résultat attendu :</w:t>
      </w:r>
      <w:r>
        <w:t xml:space="preserve"> les deux sélections se vident après l'association ; les deux cartes portent désormais un badge vert « Rapprochée » ; la facture bascule au statut Encaissée (vérifiable dans l'onglet Factures du shell principal).</w:t>
      </w:r>
    </w:p>
    <w:p>
      <w:pPr>
        <w:pStyle w:val="Heading2"/>
        <w:spacing w:after="140" w:before="260"/>
      </w:pPr>
      <w:r>
        <w:t xml:space="preserve">[MOB-REC-07] Association avec écart de montant — avertissement non bloquant</w:t>
      </w:r>
    </w:p>
    <w:p>
      <w:pPr>
        <w:spacing w:after="120"/>
      </w:pPr>
      <w:r>
        <w:rPr>
          <w:b/>
          <w:bCs/>
        </w:rPr>
        <w:t xml:space="preserve">Type :</w:t>
      </w:r>
      <w:r>
        <w:t xml:space="preserve"> Non passant / cas limite</w:t>
      </w:r>
    </w:p>
    <w:p>
      <w:pPr>
        <w:spacing w:after="120"/>
      </w:pPr>
      <w:r>
        <w:rPr>
          <w:b/>
          <w:bCs/>
        </w:rPr>
        <w:t xml:space="preserve">Préconditions :</w:t>
      </w:r>
      <w:r>
        <w:t xml:space="preserve"> Une transaction et une facture de montants différents.</w:t>
      </w:r>
    </w:p>
    <w:p>
      <w:pPr>
        <w:spacing w:after="120"/>
      </w:pPr>
      <w:r>
        <w:rPr>
          <w:b/>
          <w:bCs/>
        </w:rPr>
        <w:t xml:space="preserve">Actions :</w:t>
      </w:r>
    </w:p>
    <w:p>
      <w:pPr>
        <w:spacing w:after="80"/>
        <w:ind w:left="360"/>
      </w:pPr>
      <w:r>
        <w:rPr>
          <w:b/>
          <w:bCs/>
        </w:rPr>
        <w:t xml:space="preserve">1. </w:t>
      </w:r>
      <w:r>
        <w:t xml:space="preserve">Sélectionner les deux.</w:t>
      </w:r>
    </w:p>
    <w:p>
      <w:pPr>
        <w:spacing w:after="80"/>
        <w:ind w:left="360"/>
      </w:pPr>
      <w:r>
        <w:rPr>
          <w:b/>
          <w:bCs/>
        </w:rPr>
        <w:t xml:space="preserve">2. </w:t>
      </w:r>
      <w:r>
        <w:t xml:space="preserve">Observer la carte de la facture avant de confirmer.</w:t>
      </w:r>
    </w:p>
    <w:p>
      <w:pPr>
        <w:spacing w:after="120"/>
      </w:pPr>
      <w:r>
        <w:rPr>
          <w:b/>
          <w:bCs/>
        </w:rPr>
        <w:t xml:space="preserve">Résultat attendu :</w:t>
      </w:r>
      <w:r>
        <w:t xml:space="preserve"> un badge ambre « Écart de montant » apparaît sur la carte de la facture, accompagné d'une ligne « Écart : &lt;montant&gt; ». L'association reste </w:t>
      </w:r>
      <w:r>
        <w:rPr>
          <w:b/>
          <w:bCs/>
        </w:rPr>
        <w:t xml:space="preserve">possible</w:t>
      </w:r>
      <w:r>
        <w:t xml:space="preserve"> malgré l'écart — ce n'est qu'un avertissement, pas un blocage.</w:t>
      </w:r>
    </w:p>
    <w:p>
      <w:pPr>
        <w:pStyle w:val="Heading2"/>
        <w:spacing w:after="140" w:before="260"/>
      </w:pPr>
      <w:r>
        <w:t xml:space="preserve">[MOB-REC-08] Échec de l'association</w:t>
      </w:r>
    </w:p>
    <w:p>
      <w:pPr>
        <w:spacing w:after="120"/>
      </w:pPr>
      <w:r>
        <w:rPr>
          <w:b/>
          <w:bCs/>
        </w:rPr>
        <w:t xml:space="preserve">Type :</w:t>
      </w:r>
      <w:r>
        <w:t xml:space="preserve"> Non passant</w:t>
      </w:r>
    </w:p>
    <w:p>
      <w:pPr>
        <w:spacing w:after="120"/>
      </w:pPr>
      <w:r>
        <w:rPr>
          <w:b/>
          <w:bCs/>
        </w:rPr>
        <w:t xml:space="preserve">Préconditions :</w:t>
      </w:r>
      <w:r>
        <w:t xml:space="preserve"> Situation provoquant un échec côté dépôt (ex. conflit de concurrence).</w:t>
      </w:r>
    </w:p>
    <w:p>
      <w:pPr>
        <w:spacing w:after="120"/>
      </w:pPr>
      <w:r>
        <w:rPr>
          <w:b/>
          <w:bCs/>
        </w:rPr>
        <w:t xml:space="preserve">Actions :</w:t>
      </w:r>
    </w:p>
    <w:p>
      <w:pPr>
        <w:spacing w:after="80"/>
        <w:ind w:left="360"/>
      </w:pPr>
      <w:r>
        <w:rPr>
          <w:b/>
          <w:bCs/>
        </w:rPr>
        <w:t xml:space="preserve">1. </w:t>
      </w:r>
      <w:r>
        <w:t xml:space="preserve">Sélectionner une paire valide et taper « Associer (Lettrage) ».</w:t>
      </w:r>
    </w:p>
    <w:p>
      <w:pPr>
        <w:spacing w:after="120"/>
      </w:pPr>
      <w:r>
        <w:rPr>
          <w:b/>
          <w:bCs/>
        </w:rPr>
        <w:t xml:space="preserve">Résultat attendu :</w:t>
      </w:r>
      <w:r>
        <w:t xml:space="preserve"> message d'erreur « Lettrage impossible » (ou détail du dépôt) affiché dans </w:t>
      </w:r>
      <w:r>
        <w:rPr>
          <w:rFonts w:ascii="Consolas" w:cs="Consolas" w:eastAsia="Consolas" w:hAnsi="Consolas"/>
          <w:sz w:val="20"/>
          <w:szCs w:val="20"/>
          <w:shd w:fill="EEEEEE" w:val="clear"/>
        </w:rPr>
        <w:t xml:space="preserve">bank_reconciliation_error</w:t>
      </w:r>
      <w:r>
        <w:t xml:space="preserve"> ; les sélections ne sont pas perdues, permettant de réessayer.</w:t>
      </w:r>
    </w:p>
    <w:p>
      <w:pPr>
        <w:pStyle w:val="Heading2"/>
        <w:spacing w:after="140" w:before="260"/>
      </w:pPr>
      <w:r>
        <w:t xml:space="preserve">[MOB-REC-09] États vides</w:t>
      </w:r>
    </w:p>
    <w:p>
      <w:pPr>
        <w:spacing w:after="120"/>
      </w:pPr>
      <w:r>
        <w:rPr>
          <w:b/>
          <w:bCs/>
        </w:rPr>
        <w:t xml:space="preserve">Type :</w:t>
      </w:r>
      <w:r>
        <w:t xml:space="preserve"> Non passant / cas limite</w:t>
      </w:r>
    </w:p>
    <w:p>
      <w:pPr>
        <w:spacing w:after="120"/>
      </w:pPr>
      <w:r>
        <w:rPr>
          <w:b/>
          <w:bCs/>
        </w:rPr>
        <w:t xml:space="preserve">Préconditions :</w:t>
      </w:r>
      <w:r>
        <w:t xml:space="preserve"> Aucune transaction bancaire, ou aucune facture en attente de paiement.</w:t>
      </w:r>
    </w:p>
    <w:p>
      <w:pPr>
        <w:spacing w:after="120"/>
      </w:pPr>
      <w:r>
        <w:rPr>
          <w:b/>
          <w:bCs/>
        </w:rPr>
        <w:t xml:space="preserve">Actions :</w:t>
      </w:r>
    </w:p>
    <w:p>
      <w:pPr>
        <w:spacing w:after="80"/>
        <w:ind w:left="360"/>
      </w:pPr>
      <w:r>
        <w:rPr>
          <w:b/>
          <w:bCs/>
        </w:rPr>
        <w:t xml:space="preserve">1. </w:t>
      </w:r>
      <w:r>
        <w:t xml:space="preserve">Ouvrir l'onglet Rapprochement sur un jeu de données vide.</w:t>
      </w:r>
    </w:p>
    <w:p>
      <w:pPr>
        <w:spacing w:after="120"/>
      </w:pPr>
      <w:r>
        <w:rPr>
          <w:b/>
          <w:bCs/>
        </w:rPr>
        <w:t xml:space="preserve">Résultat attendu :</w:t>
      </w:r>
      <w:r>
        <w:t xml:space="preserve"> « Aucune transaction bancaire à rapprocher. » et/ou « Aucune facture en attente de paiement. » selon le côté vide.</w:t>
      </w:r>
    </w:p>
    <w:p>
      <w:pPr>
        <w:pBdr>
          <w:bottom w:val="single" w:color="AAAAAA" w:sz="6" w:space="1"/>
        </w:pBdr>
        <w:spacing w:after="240" w:before="120"/>
      </w:pPr>
    </w:p>
    <w:p>
      <w:pPr>
        <w:pStyle w:val="Heading1"/>
        <w:pageBreakBefore/>
        <w:spacing w:after="140" w:before="400"/>
      </w:pPr>
      <w:r>
        <w:t xml:space="preserve">11. e-Reporting (US-08)</w:t>
      </w:r>
    </w:p>
    <w:p>
      <w:pPr>
        <w:pBdr>
          <w:left w:val="single" w:color="D4A017" w:sz="18" w:space="8"/>
        </w:pBdr>
        <w:shd w:fill="FFF4CE" w:val="clear"/>
        <w:spacing w:after="160" w:before="100"/>
        <w:ind w:left="215"/>
      </w:pPr>
      <w:r>
        <w:rPr>
          <w:i/>
          <w:iCs/>
        </w:rPr>
        <w:t xml:space="preserve">⚠️ </w:t>
      </w:r>
      <w:r>
        <w:rPr>
          <w:b/>
          <w:bCs/>
          <w:i/>
          <w:iCs/>
        </w:rPr>
        <w:t xml:space="preserve">Non atteignable depuis le parcours normal de l'application</w:t>
      </w:r>
      <w:r>
        <w:rPr>
          <w:i/>
          <w:iCs/>
        </w:rPr>
        <w:t xml:space="preserve"> — comme l'écran de connexion (module 1), </w:t>
      </w:r>
      <w:r>
        <w:rPr>
          <w:rFonts w:ascii="Consolas" w:cs="Consolas" w:eastAsia="Consolas" w:hAnsi="Consolas"/>
          <w:i/>
          <w:iCs/>
          <w:sz w:val="20"/>
          <w:szCs w:val="20"/>
          <w:shd w:fill="EEEEEE" w:val="clear"/>
        </w:rPr>
        <w:t xml:space="preserve">EReportingScreen</w:t>
      </w:r>
      <w:r>
        <w:rPr>
          <w:i/>
          <w:iCs/>
        </w:rPr>
        <w:t xml:space="preserve"> et </w:t>
      </w:r>
      <w:r>
        <w:rPr>
          <w:rFonts w:ascii="Consolas" w:cs="Consolas" w:eastAsia="Consolas" w:hAnsi="Consolas"/>
          <w:i/>
          <w:iCs/>
          <w:sz w:val="20"/>
          <w:szCs w:val="20"/>
          <w:shd w:fill="EEEEEE" w:val="clear"/>
        </w:rPr>
        <w:t xml:space="preserve">EReportingViewModel</w:t>
      </w:r>
      <w:r>
        <w:rPr>
          <w:i/>
          <w:iCs/>
        </w:rPr>
        <w:t xml:space="preserve"> ne sont référencés nulle part dans </w:t>
      </w:r>
      <w:r>
        <w:rPr>
          <w:rFonts w:ascii="Consolas" w:cs="Consolas" w:eastAsia="Consolas" w:hAnsi="Consolas"/>
          <w:i/>
          <w:iCs/>
          <w:sz w:val="20"/>
          <w:szCs w:val="20"/>
          <w:shd w:fill="EEEEEE" w:val="clear"/>
        </w:rPr>
        <w:t xml:space="preserve">App.kt</w:t>
      </w:r>
      <w:r>
        <w:rPr>
          <w:i/>
          <w:iCs/>
        </w:rPr>
        <w:t xml:space="preserve"> ni dans aucun autre écran de production : aucun onglet de la barre basse, aucune sidebar, aucune surimpression n'y mène. Un testeur manuel sur l'APK standard ne peut pas l'atteindre. Les scénarios ci-dessous supposent un harnais de test montant </w:t>
      </w:r>
      <w:r>
        <w:rPr>
          <w:rFonts w:ascii="Consolas" w:cs="Consolas" w:eastAsia="Consolas" w:hAnsi="Consolas"/>
          <w:i/>
          <w:iCs/>
          <w:sz w:val="20"/>
          <w:szCs w:val="20"/>
          <w:shd w:fill="EEEEEE" w:val="clear"/>
        </w:rPr>
        <w:t xml:space="preserve">EReportingScreen</w:t>
      </w:r>
      <w:r>
        <w:rPr>
          <w:i/>
          <w:iCs/>
        </w:rPr>
        <w:t xml:space="preserve"> directement, ou une intégration future dans la navigation. Voir l'encart Dette Technique ci-après.</w:t>
      </w:r>
    </w:p>
    <w:p>
      <w:pPr>
        <w:pStyle w:val="Heading2"/>
        <w:spacing w:after="140" w:before="260"/>
      </w:pPr>
      <w:r>
        <w:t xml:space="preserve">[MOB-ERP-01] Bandeau de conformité permanent</w:t>
      </w:r>
    </w:p>
    <w:p>
      <w:pPr>
        <w:spacing w:after="120"/>
      </w:pPr>
      <w:r>
        <w:rPr>
          <w:b/>
          <w:bCs/>
        </w:rPr>
        <w:t xml:space="preserve">Type :</w:t>
      </w:r>
      <w:r>
        <w:t xml:space="preserve"> Passant</w:t>
      </w:r>
    </w:p>
    <w:p>
      <w:pPr>
        <w:spacing w:after="120"/>
      </w:pPr>
      <w:r>
        <w:rPr>
          <w:b/>
          <w:bCs/>
        </w:rPr>
        <w:t xml:space="preserve">Préconditions :</w:t>
      </w:r>
      <w:r>
        <w:t xml:space="preserve"> Écran e-Reporting affiché (</w:t>
      </w:r>
      <w:r>
        <w:rPr>
          <w:rFonts w:ascii="Consolas" w:cs="Consolas" w:eastAsia="Consolas" w:hAnsi="Consolas"/>
          <w:sz w:val="20"/>
          <w:szCs w:val="20"/>
          <w:shd w:fill="EEEEEE" w:val="clear"/>
        </w:rPr>
        <w:t xml:space="preserve">ereporting_screen</w:t>
      </w:r>
      <w:r>
        <w:t xml:space="preserve">), harnais de test.</w:t>
      </w:r>
    </w:p>
    <w:p>
      <w:pPr>
        <w:spacing w:after="120"/>
      </w:pPr>
      <w:r>
        <w:rPr>
          <w:b/>
          <w:bCs/>
        </w:rPr>
        <w:t xml:space="preserve">Actions :</w:t>
      </w:r>
    </w:p>
    <w:p>
      <w:pPr>
        <w:spacing w:after="80"/>
        <w:ind w:left="360"/>
      </w:pPr>
      <w:r>
        <w:rPr>
          <w:b/>
          <w:bCs/>
        </w:rPr>
        <w:t xml:space="preserve">1. </w:t>
      </w:r>
      <w:r>
        <w:t xml:space="preserve">Observer l'en-tête de l'écran.</w:t>
      </w:r>
    </w:p>
    <w:p>
      <w:pPr>
        <w:spacing w:after="120"/>
      </w:pPr>
      <w:r>
        <w:rPr>
          <w:b/>
          <w:bCs/>
        </w:rPr>
        <w:t xml:space="preserve">Résultat attendu :</w:t>
      </w:r>
      <w:r>
        <w:t xml:space="preserve"> bandeau fixe « Conformité DGFIP 2026 — e-Reporting » (</w:t>
      </w:r>
      <w:r>
        <w:rPr>
          <w:rFonts w:ascii="Consolas" w:cs="Consolas" w:eastAsia="Consolas" w:hAnsi="Consolas"/>
          <w:sz w:val="20"/>
          <w:szCs w:val="20"/>
          <w:shd w:fill="EEEEEE" w:val="clear"/>
        </w:rPr>
        <w:t xml:space="preserve">ereporting_badge</w:t>
      </w:r>
      <w:r>
        <w:t xml:space="preserve">), présent quel que soit le contenu de la liste en dessous.</w:t>
      </w:r>
    </w:p>
    <w:p>
      <w:pPr>
        <w:pStyle w:val="Heading2"/>
        <w:spacing w:after="140" w:before="260"/>
      </w:pPr>
      <w:r>
        <w:t xml:space="preserve">[MOB-ERP-02] Liste des déclarations — contenu d'une carte</w:t>
      </w:r>
    </w:p>
    <w:p>
      <w:pPr>
        <w:spacing w:after="120"/>
      </w:pPr>
      <w:r>
        <w:rPr>
          <w:b/>
          <w:bCs/>
        </w:rPr>
        <w:t xml:space="preserve">Type :</w:t>
      </w:r>
      <w:r>
        <w:t xml:space="preserve"> Passant</w:t>
      </w:r>
    </w:p>
    <w:p>
      <w:pPr>
        <w:spacing w:after="120"/>
      </w:pPr>
      <w:r>
        <w:rPr>
          <w:b/>
          <w:bCs/>
        </w:rPr>
        <w:t xml:space="preserve">Préconditions :</w:t>
      </w:r>
      <w:r>
        <w:t xml:space="preserve"> Au moins une déclaration existante, statut Brouillon.</w:t>
      </w:r>
    </w:p>
    <w:p>
      <w:pPr>
        <w:spacing w:after="120"/>
      </w:pPr>
      <w:r>
        <w:rPr>
          <w:b/>
          <w:bCs/>
        </w:rPr>
        <w:t xml:space="preserve">Actions :</w:t>
      </w:r>
    </w:p>
    <w:p>
      <w:pPr>
        <w:spacing w:after="80"/>
        <w:ind w:left="360"/>
      </w:pPr>
      <w:r>
        <w:rPr>
          <w:b/>
          <w:bCs/>
        </w:rPr>
        <w:t xml:space="preserve">1. </w:t>
      </w:r>
      <w:r>
        <w:t xml:space="preserve">Observer une carte de déclaration (</w:t>
      </w:r>
      <w:r>
        <w:rPr>
          <w:rFonts w:ascii="Consolas" w:cs="Consolas" w:eastAsia="Consolas" w:hAnsi="Consolas"/>
          <w:sz w:val="20"/>
          <w:szCs w:val="20"/>
          <w:shd w:fill="EEEEEE" w:val="clear"/>
        </w:rPr>
        <w:t xml:space="preserve">card(id)</w:t>
      </w:r>
      <w:r>
        <w:t xml:space="preserve">) dans la liste (</w:t>
      </w:r>
      <w:r>
        <w:rPr>
          <w:rFonts w:ascii="Consolas" w:cs="Consolas" w:eastAsia="Consolas" w:hAnsi="Consolas"/>
          <w:sz w:val="20"/>
          <w:szCs w:val="20"/>
          <w:shd w:fill="EEEEEE" w:val="clear"/>
        </w:rPr>
        <w:t xml:space="preserve">ereporting_list</w:t>
      </w:r>
      <w:r>
        <w:t xml:space="preserve">).</w:t>
      </w:r>
    </w:p>
    <w:p>
      <w:pPr>
        <w:spacing w:after="120"/>
      </w:pPr>
      <w:r>
        <w:rPr>
          <w:b/>
          <w:bCs/>
        </w:rPr>
        <w:t xml:space="preserve">Résultat attendu :</w:t>
      </w:r>
      <w:r>
        <w:t xml:space="preserve"> la carte affiche la période, le statut (« Brouillon »), le type (« Ventes B2C » / « Opérations internationales » / « Encaissements »), les totaux HT/TVA/TTC et le nombre de transactions. Aucune ligne « Accusé PPF » n'apparaît tant que la déclaration n'est pas acquittée.</w:t>
      </w:r>
    </w:p>
    <w:p>
      <w:pPr>
        <w:pStyle w:val="Heading2"/>
        <w:spacing w:after="140" w:before="260"/>
      </w:pPr>
      <w:r>
        <w:t xml:space="preserve">[MOB-ERP-03] Transmission — nominal</w:t>
      </w:r>
    </w:p>
    <w:p>
      <w:pPr>
        <w:spacing w:after="120"/>
      </w:pPr>
      <w:r>
        <w:rPr>
          <w:b/>
          <w:bCs/>
        </w:rPr>
        <w:t xml:space="preserve">Type :</w:t>
      </w:r>
      <w:r>
        <w:t xml:space="preserve"> Passant</w:t>
      </w:r>
    </w:p>
    <w:p>
      <w:pPr>
        <w:spacing w:after="120"/>
      </w:pPr>
      <w:r>
        <w:rPr>
          <w:b/>
          <w:bCs/>
        </w:rPr>
        <w:t xml:space="preserve">Préconditions :</w:t>
      </w:r>
      <w:r>
        <w:t xml:space="preserve"> Une déclaration au statut Brouillon.</w:t>
      </w:r>
    </w:p>
    <w:p>
      <w:pPr>
        <w:spacing w:after="120"/>
      </w:pPr>
      <w:r>
        <w:rPr>
          <w:b/>
          <w:bCs/>
        </w:rPr>
        <w:t xml:space="preserve">Actions :</w:t>
      </w:r>
    </w:p>
    <w:p>
      <w:pPr>
        <w:spacing w:after="80"/>
        <w:ind w:left="360"/>
      </w:pPr>
      <w:r>
        <w:rPr>
          <w:b/>
          <w:bCs/>
        </w:rPr>
        <w:t xml:space="preserve">1. </w:t>
      </w:r>
      <w:r>
        <w:t xml:space="preserve">Taper « Transmettre PPF » (</w:t>
      </w:r>
      <w:r>
        <w:rPr>
          <w:rFonts w:ascii="Consolas" w:cs="Consolas" w:eastAsia="Consolas" w:hAnsi="Consolas"/>
          <w:sz w:val="20"/>
          <w:szCs w:val="20"/>
          <w:shd w:fill="EEEEEE" w:val="clear"/>
        </w:rPr>
        <w:t xml:space="preserve">transmitButton(id)</w:t>
      </w:r>
      <w:r>
        <w:t xml:space="preserve">) sur cette carte.</w:t>
      </w:r>
    </w:p>
    <w:p>
      <w:pPr>
        <w:spacing w:after="80"/>
        <w:ind w:left="360"/>
      </w:pPr>
      <w:r>
        <w:rPr>
          <w:b/>
          <w:bCs/>
        </w:rPr>
        <w:t xml:space="preserve">2. </w:t>
      </w:r>
      <w:r>
        <w:t xml:space="preserve">Observer le libellé du bouton pendant l'appel.</w:t>
      </w:r>
    </w:p>
    <w:p>
      <w:pPr>
        <w:spacing w:after="120"/>
      </w:pPr>
      <w:r>
        <w:rPr>
          <w:b/>
          <w:bCs/>
        </w:rPr>
        <w:t xml:space="preserve">Résultat attendu :</w:t>
      </w:r>
    </w:p>
    <w:p>
      <w:pPr>
        <w:pStyle w:val="ListParagraph"/>
        <w:numPr>
          <w:ilvl w:val="0"/>
          <w:numId w:val="1"/>
        </w:numPr>
        <w:spacing w:after="80"/>
      </w:pPr>
      <w:r>
        <w:t xml:space="preserve">Étape 2 : le bouton passe à « Transmission… » et se désactive (empêche un double-tap).</w:t>
      </w:r>
    </w:p>
    <w:p>
      <w:pPr>
        <w:pStyle w:val="ListParagraph"/>
        <w:numPr>
          <w:ilvl w:val="0"/>
          <w:numId w:val="1"/>
        </w:numPr>
        <w:spacing w:after="80"/>
      </w:pPr>
      <w:r>
        <w:t xml:space="preserve">Résultat final : Snackbar (</w:t>
      </w:r>
      <w:r>
        <w:rPr>
          <w:rFonts w:ascii="Consolas" w:cs="Consolas" w:eastAsia="Consolas" w:hAnsi="Consolas"/>
          <w:sz w:val="20"/>
          <w:szCs w:val="20"/>
          <w:shd w:fill="EEEEEE" w:val="clear"/>
        </w:rPr>
        <w:t xml:space="preserve">ereporting_snackbar</w:t>
      </w:r>
      <w:r>
        <w:t xml:space="preserve">) « Déclaration transmise au PPF — accusé &lt;numéro&gt; » ; la carte affiche désormais le statut « Acquittée » et une ligne « Accusé PPF : &lt;numéro&gt; » (</w:t>
      </w:r>
      <w:r>
        <w:rPr>
          <w:rFonts w:ascii="Consolas" w:cs="Consolas" w:eastAsia="Consolas" w:hAnsi="Consolas"/>
          <w:sz w:val="20"/>
          <w:szCs w:val="20"/>
          <w:shd w:fill="EEEEEE" w:val="clear"/>
        </w:rPr>
        <w:t xml:space="preserve">ack(id)</w:t>
      </w:r>
      <w:r>
        <w:t xml:space="preserve">) en gras.</w:t>
      </w:r>
    </w:p>
    <w:p>
      <w:pPr>
        <w:pStyle w:val="Heading2"/>
        <w:spacing w:after="140" w:before="260"/>
      </w:pPr>
      <w:r>
        <w:t xml:space="preserve">[MOB-ERP-04] Blocage de la transmission concurrente</w:t>
      </w:r>
    </w:p>
    <w:p>
      <w:pPr>
        <w:spacing w:after="120"/>
      </w:pPr>
      <w:r>
        <w:rPr>
          <w:b/>
          <w:bCs/>
        </w:rPr>
        <w:t xml:space="preserve">Type :</w:t>
      </w:r>
      <w:r>
        <w:t xml:space="preserve"> Non passant / cas limite</w:t>
      </w:r>
    </w:p>
    <w:p>
      <w:pPr>
        <w:spacing w:after="120"/>
      </w:pPr>
      <w:r>
        <w:rPr>
          <w:b/>
          <w:bCs/>
        </w:rPr>
        <w:t xml:space="preserve">Préconditions :</w:t>
      </w:r>
      <w:r>
        <w:t xml:space="preserve"> Une transmission en cours sur une déclaration (bouton affichant « Transmission… »).</w:t>
      </w:r>
    </w:p>
    <w:p>
      <w:pPr>
        <w:spacing w:after="120"/>
      </w:pPr>
      <w:r>
        <w:rPr>
          <w:b/>
          <w:bCs/>
        </w:rPr>
        <w:t xml:space="preserve">Actions :</w:t>
      </w:r>
    </w:p>
    <w:p>
      <w:pPr>
        <w:spacing w:after="80"/>
        <w:ind w:left="360"/>
      </w:pPr>
      <w:r>
        <w:rPr>
          <w:b/>
          <w:bCs/>
        </w:rPr>
        <w:t xml:space="preserve">1. </w:t>
      </w:r>
      <w:r>
        <w:t xml:space="preserve">Taper le bouton de transmission d'une </w:t>
      </w:r>
      <w:r>
        <w:rPr>
          <w:b/>
          <w:bCs/>
        </w:rPr>
        <w:t xml:space="preserve">autre</w:t>
      </w:r>
      <w:r>
        <w:t xml:space="preserve"> déclaration Brouillon pendant que la première est en vol.</w:t>
      </w:r>
    </w:p>
    <w:p>
      <w:pPr>
        <w:spacing w:after="120"/>
      </w:pPr>
      <w:r>
        <w:rPr>
          <w:b/>
          <w:bCs/>
        </w:rPr>
        <w:t xml:space="preserve">Résultat attendu :</w:t>
      </w:r>
      <w:r>
        <w:t xml:space="preserve"> le second bouton reste inerte tant que la première transmission n'est pas terminée — une seule transmission à la fois, quelle que soit la déclaration visée.</w:t>
      </w:r>
    </w:p>
    <w:p>
      <w:pPr>
        <w:pStyle w:val="Heading2"/>
        <w:spacing w:after="140" w:before="260"/>
      </w:pPr>
      <w:r>
        <w:t xml:space="preserve">[MOB-ERP-05] Nouvelle tentative sur une déclaration déjà acquittée</w:t>
      </w:r>
    </w:p>
    <w:p>
      <w:pPr>
        <w:spacing w:after="120"/>
      </w:pPr>
      <w:r>
        <w:rPr>
          <w:b/>
          <w:bCs/>
        </w:rPr>
        <w:t xml:space="preserve">Type :</w:t>
      </w:r>
      <w:r>
        <w:t xml:space="preserve"> Non passant</w:t>
      </w:r>
    </w:p>
    <w:p>
      <w:pPr>
        <w:spacing w:after="120"/>
      </w:pPr>
      <w:r>
        <w:rPr>
          <w:b/>
          <w:bCs/>
        </w:rPr>
        <w:t xml:space="preserve">Préconditions :</w:t>
      </w:r>
      <w:r>
        <w:t xml:space="preserve"> Une déclaration déjà transmise et acquittée, dont le bouton de transmission serait sollicité à nouveau (ex. via un état incohérent du harnais).</w:t>
      </w:r>
    </w:p>
    <w:p>
      <w:pPr>
        <w:spacing w:after="120"/>
      </w:pPr>
      <w:r>
        <w:rPr>
          <w:b/>
          <w:bCs/>
        </w:rPr>
        <w:t xml:space="preserve">Actions :</w:t>
      </w:r>
    </w:p>
    <w:p>
      <w:pPr>
        <w:spacing w:after="80"/>
        <w:ind w:left="360"/>
      </w:pPr>
      <w:r>
        <w:rPr>
          <w:b/>
          <w:bCs/>
        </w:rPr>
        <w:t xml:space="preserve">1. </w:t>
      </w:r>
      <w:r>
        <w:t xml:space="preserve">Déclencher une nouvelle transmission sur cette déclaration.</w:t>
      </w:r>
    </w:p>
    <w:p>
      <w:pPr>
        <w:spacing w:after="120"/>
      </w:pPr>
      <w:r>
        <w:rPr>
          <w:b/>
          <w:bCs/>
        </w:rPr>
        <w:t xml:space="preserve">Résultat attendu :</w:t>
      </w:r>
      <w:r>
        <w:t xml:space="preserve"> message explicite « Cette déclaration a déjà été transmise et acquittée (HTTP 409) » — distinct du message d'échec générique, pour ne pas laisser croire à une anomalie réseau.</w:t>
      </w:r>
    </w:p>
    <w:p>
      <w:pPr>
        <w:pStyle w:val="Heading2"/>
        <w:spacing w:after="140" w:before="260"/>
      </w:pPr>
      <w:r>
        <w:t xml:space="preserve">[MOB-ERP-06] Échec générique de transmission</w:t>
      </w:r>
    </w:p>
    <w:p>
      <w:pPr>
        <w:spacing w:after="120"/>
      </w:pPr>
      <w:r>
        <w:rPr>
          <w:b/>
          <w:bCs/>
        </w:rPr>
        <w:t xml:space="preserve">Type :</w:t>
      </w:r>
      <w:r>
        <w:t xml:space="preserve"> Non passant</w:t>
      </w:r>
    </w:p>
    <w:p>
      <w:pPr>
        <w:spacing w:after="120"/>
      </w:pPr>
      <w:r>
        <w:rPr>
          <w:b/>
          <w:bCs/>
        </w:rPr>
        <w:t xml:space="preserve">Préconditions :</w:t>
      </w:r>
      <w:r>
        <w:t xml:space="preserve"> Backend PPF simulé en panne.</w:t>
      </w:r>
    </w:p>
    <w:p>
      <w:pPr>
        <w:spacing w:after="120"/>
      </w:pPr>
      <w:r>
        <w:rPr>
          <w:b/>
          <w:bCs/>
        </w:rPr>
        <w:t xml:space="preserve">Actions :</w:t>
      </w:r>
    </w:p>
    <w:p>
      <w:pPr>
        <w:spacing w:after="80"/>
        <w:ind w:left="360"/>
      </w:pPr>
      <w:r>
        <w:rPr>
          <w:b/>
          <w:bCs/>
        </w:rPr>
        <w:t xml:space="preserve">1. </w:t>
      </w:r>
      <w:r>
        <w:t xml:space="preserve">Taper « Transmettre PPF » sur une déclaration Brouillon.</w:t>
      </w:r>
    </w:p>
    <w:p>
      <w:pPr>
        <w:spacing w:after="120"/>
      </w:pPr>
      <w:r>
        <w:rPr>
          <w:b/>
          <w:bCs/>
        </w:rPr>
        <w:t xml:space="preserve">Résultat attendu :</w:t>
      </w:r>
      <w:r>
        <w:t xml:space="preserve"> Snackbar « Transmission au PPF impossible » ; la déclaration reste au statut Brouillon, le bouton redevient actif pour une nouvelle tentative.</w:t>
      </w:r>
    </w:p>
    <w:p>
      <w:pPr>
        <w:pStyle w:val="Heading2"/>
        <w:spacing w:after="140" w:before="260"/>
      </w:pPr>
      <w:r>
        <w:t xml:space="preserve">[MOB-ERP-07] Liste vide</w:t>
      </w:r>
    </w:p>
    <w:p>
      <w:pPr>
        <w:spacing w:after="120"/>
      </w:pPr>
      <w:r>
        <w:rPr>
          <w:b/>
          <w:bCs/>
        </w:rPr>
        <w:t xml:space="preserve">Type :</w:t>
      </w:r>
      <w:r>
        <w:t xml:space="preserve"> Non passant / cas limite</w:t>
      </w:r>
    </w:p>
    <w:p>
      <w:pPr>
        <w:spacing w:after="120"/>
      </w:pPr>
      <w:r>
        <w:rPr>
          <w:b/>
          <w:bCs/>
        </w:rPr>
        <w:t xml:space="preserve">Préconditions :</w:t>
      </w:r>
      <w:r>
        <w:t xml:space="preserve"> Aucune déclaration e-Reporting en base.</w:t>
      </w:r>
    </w:p>
    <w:p>
      <w:pPr>
        <w:spacing w:after="120"/>
      </w:pPr>
      <w:r>
        <w:rPr>
          <w:b/>
          <w:bCs/>
        </w:rPr>
        <w:t xml:space="preserve">Actions :</w:t>
      </w:r>
    </w:p>
    <w:p>
      <w:pPr>
        <w:spacing w:after="80"/>
        <w:ind w:left="360"/>
      </w:pPr>
      <w:r>
        <w:rPr>
          <w:b/>
          <w:bCs/>
        </w:rPr>
        <w:t xml:space="preserve">1. </w:t>
      </w:r>
      <w:r>
        <w:t xml:space="preserve">Ouvrir l'écran.</w:t>
      </w:r>
    </w:p>
    <w:p>
      <w:pPr>
        <w:spacing w:after="120"/>
      </w:pPr>
      <w:r>
        <w:rPr>
          <w:b/>
          <w:bCs/>
        </w:rPr>
        <w:t xml:space="preserve">Résultat attendu :</w:t>
      </w:r>
      <w:r>
        <w:t xml:space="preserve"> état vide affiché (</w:t>
      </w:r>
      <w:r>
        <w:rPr>
          <w:rFonts w:ascii="Consolas" w:cs="Consolas" w:eastAsia="Consolas" w:hAnsi="Consolas"/>
          <w:sz w:val="20"/>
          <w:szCs w:val="20"/>
          <w:shd w:fill="EEEEEE" w:val="clear"/>
        </w:rPr>
        <w:t xml:space="preserve">ereporting_empty</w:t>
      </w:r>
      <w:r>
        <w:t xml:space="preserve">) plutôt qu'une liste blanche silencieuse.</w:t>
      </w:r>
    </w:p>
    <w:p>
      <w:pPr>
        <w:pStyle w:val="Heading2"/>
        <w:spacing w:after="140" w:before="260"/>
      </w:pPr>
      <w:r>
        <w:t xml:space="preserve">[MOB-ERP-08] Non-régression — l'écran ignore la bascule de langue</w:t>
      </w:r>
    </w:p>
    <w:p>
      <w:pPr>
        <w:spacing w:after="120"/>
      </w:pPr>
      <w:r>
        <w:rPr>
          <w:b/>
          <w:bCs/>
        </w:rPr>
        <w:t xml:space="preserve">Type :</w:t>
      </w:r>
      <w:r>
        <w:t xml:space="preserve"> Non passant / non-régression</w:t>
      </w:r>
    </w:p>
    <w:p>
      <w:pPr>
        <w:spacing w:after="120"/>
      </w:pPr>
      <w:r>
        <w:rPr>
          <w:b/>
          <w:bCs/>
        </w:rPr>
        <w:t xml:space="preserve">Préconditions :</w:t>
      </w:r>
      <w:r>
        <w:t xml:space="preserve"> Écran e-Reporting affiché.</w:t>
      </w:r>
    </w:p>
    <w:p>
      <w:pPr>
        <w:spacing w:after="120"/>
      </w:pPr>
      <w:r>
        <w:rPr>
          <w:b/>
          <w:bCs/>
        </w:rPr>
        <w:t xml:space="preserve">Actions :</w:t>
      </w:r>
    </w:p>
    <w:p>
      <w:pPr>
        <w:spacing w:after="80"/>
        <w:ind w:left="360"/>
      </w:pPr>
      <w:r>
        <w:rPr>
          <w:b/>
          <w:bCs/>
        </w:rPr>
        <w:t xml:space="preserve">1. </w:t>
      </w:r>
      <w:r>
        <w:t xml:space="preserve">Basculer la langue en EN.</w:t>
      </w:r>
    </w:p>
    <w:p>
      <w:pPr>
        <w:spacing w:after="120"/>
      </w:pPr>
      <w:r>
        <w:rPr>
          <w:b/>
          <w:bCs/>
        </w:rPr>
        <w:t xml:space="preserve">Résultat attendu :</w:t>
      </w:r>
      <w:r>
        <w:t xml:space="preserve"> l'écran reste entièrement en français, comme l'Annuaire DGFIP et le formulaire Devis (module non câblé au système </w:t>
      </w:r>
      <w:r>
        <w:rPr>
          <w:rFonts w:ascii="Consolas" w:cs="Consolas" w:eastAsia="Consolas" w:hAnsi="Consolas"/>
          <w:sz w:val="20"/>
          <w:szCs w:val="20"/>
          <w:shd w:fill="EEEEEE" w:val="clear"/>
        </w:rPr>
        <w:t xml:space="preserve">tr()</w:t>
      </w:r>
      <w:r>
        <w:t xml:space="preserve">) — comportement à consigner, pas un nouveau défaut à chaque campagne.</w:t>
      </w:r>
    </w:p>
    <w:p>
      <w:pPr>
        <w:pBdr>
          <w:bottom w:val="single" w:color="AAAAAA" w:sz="6" w:space="1"/>
        </w:pBdr>
        <w:spacing w:after="240" w:before="120"/>
      </w:pPr>
    </w:p>
    <w:p>
      <w:pPr>
        <w:pStyle w:val="Heading1"/>
        <w:pageBreakBefore/>
        <w:spacing w:after="140" w:before="400"/>
      </w:pPr>
      <w:r>
        <w:t xml:space="preserve">⚠️ Dette Technique &amp; Anomalies Connues</w:t>
      </w:r>
    </w:p>
    <w:p>
      <w:pPr>
        <w:spacing w:after="120"/>
      </w:pPr>
      <w:r>
        <w:t xml:space="preserve">Cet encart consolide les écarts constatés en explorant le code source pendant la rédaction de ce plan de test — à ne </w:t>
      </w:r>
      <w:r>
        <w:rPr>
          <w:b/>
          <w:bCs/>
        </w:rPr>
        <w:t xml:space="preserve">pas</w:t>
      </w:r>
      <w:r>
        <w:t xml:space="preserve"> rouvrir comme des anomalies « nouvelles » à chaque campagne de recette, mais à garder sous les yeux d'un testeur pour qu'il n'y perde pas de temps en diagnostic, et sous ceux d'un product owner pour arbitrage.</w:t>
      </w:r>
    </w:p>
    <w:p>
      <w:pPr>
        <w:pStyle w:val="Heading2"/>
        <w:spacing w:after="140" w:before="260"/>
      </w:pPr>
      <w:r>
        <w:t xml:space="preserve">1. Deux écrans complets, entièrement développés et testés unitairement, sont injoignables depuis l'application</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3120"/>
        <w:gridCol w:w="3120"/>
        <w:gridCol w:w="3120"/>
      </w:tblGrid>
      <w:tr>
        <w:trPr>
          <w:tblHeader/>
        </w:trPr>
        <w:tc>
          <w:tcPr>
            <w:tcW w:type="dxa" w:w="3120"/>
            <w:shd w:fill="1F2937" w:val="clear"/>
            <w:tcMar>
              <w:top w:type="dxa" w:w="60"/>
              <w:left w:type="dxa" w:w="100"/>
              <w:bottom w:type="dxa" w:w="60"/>
              <w:right w:type="dxa" w:w="100"/>
            </w:tcMar>
          </w:tcPr>
          <w:p>
            <w:r>
              <w:rPr>
                <w:color w:val="FFFFFF"/>
                <w:sz w:val="18"/>
                <w:szCs w:val="18"/>
              </w:rPr>
              <w:t xml:space="preserve">Écran</w:t>
            </w:r>
          </w:p>
        </w:tc>
        <w:tc>
          <w:tcPr>
            <w:tcW w:type="dxa" w:w="3120"/>
            <w:shd w:fill="1F2937" w:val="clear"/>
            <w:tcMar>
              <w:top w:type="dxa" w:w="60"/>
              <w:left w:type="dxa" w:w="100"/>
              <w:bottom w:type="dxa" w:w="60"/>
              <w:right w:type="dxa" w:w="100"/>
            </w:tcMar>
          </w:tcPr>
          <w:p>
            <w:r>
              <w:rPr>
                <w:color w:val="FFFFFF"/>
                <w:sz w:val="18"/>
                <w:szCs w:val="18"/>
              </w:rPr>
              <w:t xml:space="preserve">Statut du code</w:t>
            </w:r>
          </w:p>
        </w:tc>
        <w:tc>
          <w:tcPr>
            <w:tcW w:type="dxa" w:w="3120"/>
            <w:shd w:fill="1F2937" w:val="clear"/>
            <w:tcMar>
              <w:top w:type="dxa" w:w="60"/>
              <w:left w:type="dxa" w:w="100"/>
              <w:bottom w:type="dxa" w:w="60"/>
              <w:right w:type="dxa" w:w="100"/>
            </w:tcMar>
          </w:tcPr>
          <w:p>
            <w:r>
              <w:rPr>
                <w:color w:val="FFFFFF"/>
                <w:sz w:val="18"/>
                <w:szCs w:val="18"/>
              </w:rPr>
              <w:t xml:space="preserve">Statut de la navigation</w:t>
            </w:r>
          </w:p>
        </w:tc>
      </w:tr>
      <w:tr>
        <w:tc>
          <w:tcPr>
            <w:tcW w:type="dxa" w:w="3120"/>
            <w:tcMar>
              <w:top w:type="dxa" w:w="60"/>
              <w:left w:type="dxa" w:w="100"/>
              <w:bottom w:type="dxa" w:w="60"/>
              <w:right w:type="dxa" w:w="100"/>
            </w:tcMar>
          </w:tcPr>
          <w:p>
            <w:r>
              <w:rPr>
                <w:sz w:val="18"/>
                <w:szCs w:val="18"/>
              </w:rPr>
              <w:t xml:space="preserve">Connexion / Inscription (</w:t>
            </w:r>
            <w:r>
              <w:rPr>
                <w:rFonts w:ascii="Consolas" w:cs="Consolas" w:eastAsia="Consolas" w:hAnsi="Consolas"/>
                <w:sz w:val="18"/>
                <w:szCs w:val="18"/>
                <w:shd w:fill="EEEEEE" w:val="clear"/>
              </w:rPr>
              <w:t xml:space="preserve">login_screen</w:t>
            </w:r>
            <w:r>
              <w:rPr>
                <w:sz w:val="18"/>
                <w:szCs w:val="18"/>
              </w:rPr>
              <w:t xml:space="preserve">, US-21)</w:t>
            </w:r>
          </w:p>
        </w:tc>
        <w:tc>
          <w:tcPr>
            <w:tcW w:type="dxa" w:w="3120"/>
            <w:tcMar>
              <w:top w:type="dxa" w:w="60"/>
              <w:left w:type="dxa" w:w="100"/>
              <w:bottom w:type="dxa" w:w="60"/>
              <w:right w:type="dxa" w:w="100"/>
            </w:tcMar>
          </w:tcPr>
          <w:p>
            <w:r>
              <w:rPr>
                <w:sz w:val="18"/>
                <w:szCs w:val="18"/>
              </w:rPr>
              <w:t xml:space="preserve">Implémenté, testé (N1/N2/N3a/N3b)</w:t>
            </w:r>
          </w:p>
        </w:tc>
        <w:tc>
          <w:tcPr>
            <w:tcW w:type="dxa" w:w="3120"/>
            <w:tcMar>
              <w:top w:type="dxa" w:w="60"/>
              <w:left w:type="dxa" w:w="100"/>
              <w:bottom w:type="dxa" w:w="60"/>
              <w:right w:type="dxa" w:w="100"/>
            </w:tcMar>
          </w:tcPr>
          <w:p>
            <w:r>
              <w:rPr>
                <w:b/>
                <w:bCs/>
                <w:sz w:val="18"/>
                <w:szCs w:val="18"/>
              </w:rPr>
              <w:t xml:space="preserve">Aucune référence dans `App.kt`</w:t>
            </w:r>
            <w:r>
              <w:rPr>
                <w:sz w:val="18"/>
                <w:szCs w:val="18"/>
              </w:rPr>
              <w:t xml:space="preserve"> — aucun bouton, aucun onglet, aucune surimpression n'y mène</w:t>
            </w:r>
          </w:p>
        </w:tc>
      </w:tr>
      <w:tr>
        <w:tc>
          <w:tcPr>
            <w:tcW w:type="dxa" w:w="3120"/>
            <w:tcMar>
              <w:top w:type="dxa" w:w="60"/>
              <w:left w:type="dxa" w:w="100"/>
              <w:bottom w:type="dxa" w:w="60"/>
              <w:right w:type="dxa" w:w="100"/>
            </w:tcMar>
          </w:tcPr>
          <w:p>
            <w:r>
              <w:rPr>
                <w:sz w:val="18"/>
                <w:szCs w:val="18"/>
              </w:rPr>
              <w:t xml:space="preserve">e-Reporting (</w:t>
            </w:r>
            <w:r>
              <w:rPr>
                <w:rFonts w:ascii="Consolas" w:cs="Consolas" w:eastAsia="Consolas" w:hAnsi="Consolas"/>
                <w:sz w:val="18"/>
                <w:szCs w:val="18"/>
                <w:shd w:fill="EEEEEE" w:val="clear"/>
              </w:rPr>
              <w:t xml:space="preserve">ereporting_screen</w:t>
            </w:r>
            <w:r>
              <w:rPr>
                <w:sz w:val="18"/>
                <w:szCs w:val="18"/>
              </w:rPr>
              <w:t xml:space="preserve">, US-08)</w:t>
            </w:r>
          </w:p>
        </w:tc>
        <w:tc>
          <w:tcPr>
            <w:tcW w:type="dxa" w:w="3120"/>
            <w:tcMar>
              <w:top w:type="dxa" w:w="60"/>
              <w:left w:type="dxa" w:w="100"/>
              <w:bottom w:type="dxa" w:w="60"/>
              <w:right w:type="dxa" w:w="100"/>
            </w:tcMar>
          </w:tcPr>
          <w:p>
            <w:r>
              <w:rPr>
                <w:sz w:val="18"/>
                <w:szCs w:val="18"/>
              </w:rPr>
              <w:t xml:space="preserve">Implémenté, testé</w:t>
            </w:r>
          </w:p>
        </w:tc>
        <w:tc>
          <w:tcPr>
            <w:tcW w:type="dxa" w:w="3120"/>
            <w:tcMar>
              <w:top w:type="dxa" w:w="60"/>
              <w:left w:type="dxa" w:w="100"/>
              <w:bottom w:type="dxa" w:w="60"/>
              <w:right w:type="dxa" w:w="100"/>
            </w:tcMar>
          </w:tcPr>
          <w:p>
            <w:r>
              <w:rPr>
                <w:b/>
                <w:bCs/>
                <w:sz w:val="18"/>
                <w:szCs w:val="18"/>
              </w:rPr>
              <w:t xml:space="preserve">Aucune référence dans `App.kt`</w:t>
            </w:r>
            <w:r>
              <w:rPr>
                <w:sz w:val="18"/>
                <w:szCs w:val="18"/>
              </w:rPr>
              <w:t xml:space="preserve"> — même constat</w:t>
            </w:r>
          </w:p>
        </w:tc>
      </w:tr>
    </w:tbl>
    <w:p>
      <w:pPr>
        <w:spacing w:after="160"/>
      </w:pPr>
    </w:p>
    <w:p>
      <w:pPr>
        <w:spacing w:after="120"/>
      </w:pPr>
      <w:r>
        <w:t xml:space="preserve">Vérifié par recherche exhaustive du nom de la classe/fonction dans </w:t>
      </w:r>
      <w:r>
        <w:rPr>
          <w:rFonts w:ascii="Consolas" w:cs="Consolas" w:eastAsia="Consolas" w:hAnsi="Consolas"/>
          <w:sz w:val="20"/>
          <w:szCs w:val="20"/>
          <w:shd w:fill="EEEEEE" w:val="clear"/>
        </w:rPr>
        <w:t xml:space="preserve">commonMain</w:t>
      </w:r>
      <w:r>
        <w:t xml:space="preserve">, </w:t>
      </w:r>
      <w:r>
        <w:rPr>
          <w:rFonts w:ascii="Consolas" w:cs="Consolas" w:eastAsia="Consolas" w:hAnsi="Consolas"/>
          <w:sz w:val="20"/>
          <w:szCs w:val="20"/>
          <w:shd w:fill="EEEEEE" w:val="clear"/>
        </w:rPr>
        <w:t xml:space="preserve">androidMain</w:t>
      </w:r>
      <w:r>
        <w:t xml:space="preserve"> et </w:t>
      </w:r>
      <w:r>
        <w:rPr>
          <w:rFonts w:ascii="Consolas" w:cs="Consolas" w:eastAsia="Consolas" w:hAnsi="Consolas"/>
          <w:sz w:val="20"/>
          <w:szCs w:val="20"/>
          <w:shd w:fill="EEEEEE" w:val="clear"/>
        </w:rPr>
        <w:t xml:space="preserve">iosMain</w:t>
      </w:r>
      <w:r>
        <w:t xml:space="preserve"> : en dehors de leur propre paquet, aucune occurrence en dehors de mentions en commentaire KDoc. Ce n'est donc pas un oubli d'un seul bouton mais une </w:t>
      </w:r>
      <w:r>
        <w:rPr>
          <w:b/>
          <w:bCs/>
        </w:rPr>
        <w:t xml:space="preserve">absence totale de câblage</w:t>
      </w:r>
      <w:r>
        <w:t xml:space="preserve"> — ces deux US sont fonctionnellement complètes et invisibles pour un utilisateur final comme pour un testeur manuel sur l'APK standard.</w:t>
      </w:r>
    </w:p>
    <w:p>
      <w:pPr>
        <w:spacing w:after="120"/>
      </w:pPr>
      <w:r>
        <w:rPr>
          <w:b/>
          <w:bCs/>
        </w:rPr>
        <w:t xml:space="preserve">Impact recette :</w:t>
      </w:r>
      <w:r>
        <w:t xml:space="preserve"> les modules 1 (Auth) et 11 (e-Reporting) de ce plan ne sont exécutables qu'avec un harnais de test dédié (montage direct du composable), jamais en parcourant l'application normalement. Un testeur qui ne trouve pas ces écrans en explorant l'app </w:t>
      </w:r>
      <w:r>
        <w:rPr>
          <w:b/>
          <w:bCs/>
        </w:rPr>
        <w:t xml:space="preserve">ne doit pas conclure à une régression</w:t>
      </w:r>
      <w:r>
        <w:t xml:space="preserve"> — c'est l'état actuel, documenté ici.</w:t>
      </w:r>
    </w:p>
    <w:p>
      <w:pPr>
        <w:pStyle w:val="Heading2"/>
        <w:spacing w:after="140" w:before="260"/>
      </w:pPr>
      <w:r>
        <w:t xml:space="preserve">2. Quatre écrans ignorent le système d'internationalisation (</w:t>
      </w:r>
      <w:r>
        <w:rPr>
          <w:rFonts w:ascii="Consolas" w:cs="Consolas" w:eastAsia="Consolas" w:hAnsi="Consolas"/>
          <w:sz w:val="20"/>
          <w:szCs w:val="20"/>
          <w:shd w:fill="EEEEEE" w:val="clear"/>
        </w:rPr>
        <w:t xml:space="preserve">tr()</w:t>
      </w:r>
      <w:r>
        <w:t xml:space="preserve"> / </w:t>
      </w:r>
      <w:r>
        <w:rPr>
          <w:rFonts w:ascii="Consolas" w:cs="Consolas" w:eastAsia="Consolas" w:hAnsi="Consolas"/>
          <w:sz w:val="20"/>
          <w:szCs w:val="20"/>
          <w:shd w:fill="EEEEEE" w:val="clear"/>
        </w:rPr>
        <w:t xml:space="preserve">StringKey</w:t>
      </w:r>
      <w:r>
        <w:t xml:space="preserve">)</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3120"/>
        <w:gridCol w:w="3120"/>
        <w:gridCol w:w="3120"/>
      </w:tblGrid>
      <w:tr>
        <w:trPr>
          <w:tblHeader/>
        </w:trPr>
        <w:tc>
          <w:tcPr>
            <w:tcW w:type="dxa" w:w="3120"/>
            <w:shd w:fill="1F2937" w:val="clear"/>
            <w:tcMar>
              <w:top w:type="dxa" w:w="60"/>
              <w:left w:type="dxa" w:w="100"/>
              <w:bottom w:type="dxa" w:w="60"/>
              <w:right w:type="dxa" w:w="100"/>
            </w:tcMar>
          </w:tcPr>
          <w:p>
            <w:r>
              <w:rPr>
                <w:color w:val="FFFFFF"/>
                <w:sz w:val="18"/>
                <w:szCs w:val="18"/>
              </w:rPr>
              <w:t xml:space="preserve">Écran</w:t>
            </w:r>
          </w:p>
        </w:tc>
        <w:tc>
          <w:tcPr>
            <w:tcW w:type="dxa" w:w="3120"/>
            <w:shd w:fill="1F2937" w:val="clear"/>
            <w:tcMar>
              <w:top w:type="dxa" w:w="60"/>
              <w:left w:type="dxa" w:w="100"/>
              <w:bottom w:type="dxa" w:w="60"/>
              <w:right w:type="dxa" w:w="100"/>
            </w:tcMar>
          </w:tcPr>
          <w:p>
            <w:r>
              <w:rPr>
                <w:color w:val="FFFFFF"/>
                <w:sz w:val="18"/>
                <w:szCs w:val="18"/>
              </w:rPr>
              <w:t xml:space="preserve">Bascule FR/EN</w:t>
            </w:r>
          </w:p>
        </w:tc>
        <w:tc>
          <w:tcPr>
            <w:tcW w:type="dxa" w:w="3120"/>
            <w:shd w:fill="1F2937" w:val="clear"/>
            <w:tcMar>
              <w:top w:type="dxa" w:w="60"/>
              <w:left w:type="dxa" w:w="100"/>
              <w:bottom w:type="dxa" w:w="60"/>
              <w:right w:type="dxa" w:w="100"/>
            </w:tcMar>
          </w:tcPr>
          <w:p>
            <w:r>
              <w:rPr>
                <w:color w:val="FFFFFF"/>
                <w:sz w:val="18"/>
                <w:szCs w:val="18"/>
              </w:rPr>
              <w:t xml:space="preserve">Constat</w:t>
            </w:r>
          </w:p>
        </w:tc>
      </w:tr>
      <w:tr>
        <w:tc>
          <w:tcPr>
            <w:tcW w:type="dxa" w:w="3120"/>
            <w:tcMar>
              <w:top w:type="dxa" w:w="60"/>
              <w:left w:type="dxa" w:w="100"/>
              <w:bottom w:type="dxa" w:w="60"/>
              <w:right w:type="dxa" w:w="100"/>
            </w:tcMar>
          </w:tcPr>
          <w:p>
            <w:r>
              <w:rPr>
                <w:sz w:val="18"/>
                <w:szCs w:val="18"/>
              </w:rPr>
              <w:t xml:space="preserve">Annuaire DGFIP (</w:t>
            </w:r>
            <w:r>
              <w:rPr>
                <w:rFonts w:ascii="Consolas" w:cs="Consolas" w:eastAsia="Consolas" w:hAnsi="Consolas"/>
                <w:sz w:val="18"/>
                <w:szCs w:val="18"/>
                <w:shd w:fill="EEEEEE" w:val="clear"/>
              </w:rPr>
              <w:t xml:space="preserve">directory_screen</w:t>
            </w:r>
            <w:r>
              <w:rPr>
                <w:sz w:val="18"/>
                <w:szCs w:val="18"/>
              </w:rPr>
              <w:t xml:space="preserve">)</w:t>
            </w:r>
          </w:p>
        </w:tc>
        <w:tc>
          <w:tcPr>
            <w:tcW w:type="dxa" w:w="3120"/>
            <w:tcMar>
              <w:top w:type="dxa" w:w="60"/>
              <w:left w:type="dxa" w:w="100"/>
              <w:bottom w:type="dxa" w:w="60"/>
              <w:right w:type="dxa" w:w="100"/>
            </w:tcMar>
          </w:tcPr>
          <w:p>
            <w:r>
              <w:rPr>
                <w:sz w:val="18"/>
                <w:szCs w:val="18"/>
              </w:rPr>
              <w:t xml:space="preserve">❌ reste en français</w:t>
            </w:r>
          </w:p>
        </w:tc>
        <w:tc>
          <w:tcPr>
            <w:tcW w:type="dxa" w:w="3120"/>
            <w:tcMar>
              <w:top w:type="dxa" w:w="60"/>
              <w:left w:type="dxa" w:w="100"/>
              <w:bottom w:type="dxa" w:w="60"/>
              <w:right w:type="dxa" w:w="100"/>
            </w:tcMar>
          </w:tcPr>
          <w:p>
            <w:r>
              <w:rPr>
                <w:sz w:val="18"/>
                <w:szCs w:val="18"/>
              </w:rPr>
              <w:t xml:space="preserve">0 appel à </w:t>
            </w:r>
            <w:r>
              <w:rPr>
                <w:rFonts w:ascii="Consolas" w:cs="Consolas" w:eastAsia="Consolas" w:hAnsi="Consolas"/>
                <w:sz w:val="18"/>
                <w:szCs w:val="18"/>
                <w:shd w:fill="EEEEEE" w:val="clear"/>
              </w:rPr>
              <w:t xml:space="preserve">tr()</w:t>
            </w:r>
            <w:r>
              <w:rPr>
                <w:sz w:val="18"/>
                <w:szCs w:val="18"/>
              </w:rPr>
              <w:t xml:space="preserve"> dans </w:t>
            </w:r>
            <w:r>
              <w:rPr>
                <w:rFonts w:ascii="Consolas" w:cs="Consolas" w:eastAsia="Consolas" w:hAnsi="Consolas"/>
                <w:sz w:val="18"/>
                <w:szCs w:val="18"/>
                <w:shd w:fill="EEEEEE" w:val="clear"/>
              </w:rPr>
              <w:t xml:space="preserve">DirectoryScreen.kt</w:t>
            </w:r>
          </w:p>
        </w:tc>
      </w:tr>
      <w:tr>
        <w:tc>
          <w:tcPr>
            <w:tcW w:type="dxa" w:w="3120"/>
            <w:tcMar>
              <w:top w:type="dxa" w:w="60"/>
              <w:left w:type="dxa" w:w="100"/>
              <w:bottom w:type="dxa" w:w="60"/>
              <w:right w:type="dxa" w:w="100"/>
            </w:tcMar>
          </w:tcPr>
          <w:p>
            <w:r>
              <w:rPr>
                <w:sz w:val="18"/>
                <w:szCs w:val="18"/>
              </w:rPr>
              <w:t xml:space="preserve">Formulaire Devis (</w:t>
            </w:r>
            <w:r>
              <w:rPr>
                <w:rFonts w:ascii="Consolas" w:cs="Consolas" w:eastAsia="Consolas" w:hAnsi="Consolas"/>
                <w:sz w:val="18"/>
                <w:szCs w:val="18"/>
                <w:shd w:fill="EEEEEE" w:val="clear"/>
              </w:rPr>
              <w:t xml:space="preserve">quote_form_screen</w:t>
            </w:r>
            <w:r>
              <w:rPr>
                <w:sz w:val="18"/>
                <w:szCs w:val="18"/>
              </w:rPr>
              <w:t xml:space="preserve">)</w:t>
            </w:r>
          </w:p>
        </w:tc>
        <w:tc>
          <w:tcPr>
            <w:tcW w:type="dxa" w:w="3120"/>
            <w:tcMar>
              <w:top w:type="dxa" w:w="60"/>
              <w:left w:type="dxa" w:w="100"/>
              <w:bottom w:type="dxa" w:w="60"/>
              <w:right w:type="dxa" w:w="100"/>
            </w:tcMar>
          </w:tcPr>
          <w:p>
            <w:r>
              <w:rPr>
                <w:sz w:val="18"/>
                <w:szCs w:val="18"/>
              </w:rPr>
              <w:t xml:space="preserve">❌ reste en français</w:t>
            </w:r>
          </w:p>
        </w:tc>
        <w:tc>
          <w:tcPr>
            <w:tcW w:type="dxa" w:w="3120"/>
            <w:tcMar>
              <w:top w:type="dxa" w:w="60"/>
              <w:left w:type="dxa" w:w="100"/>
              <w:bottom w:type="dxa" w:w="60"/>
              <w:right w:type="dxa" w:w="100"/>
            </w:tcMar>
          </w:tcPr>
          <w:p>
            <w:r>
              <w:rPr>
                <w:sz w:val="18"/>
                <w:szCs w:val="18"/>
              </w:rPr>
              <w:t xml:space="preserve">0 appel à </w:t>
            </w:r>
            <w:r>
              <w:rPr>
                <w:rFonts w:ascii="Consolas" w:cs="Consolas" w:eastAsia="Consolas" w:hAnsi="Consolas"/>
                <w:sz w:val="18"/>
                <w:szCs w:val="18"/>
                <w:shd w:fill="EEEEEE" w:val="clear"/>
              </w:rPr>
              <w:t xml:space="preserve">tr()</w:t>
            </w:r>
            <w:r>
              <w:rPr>
                <w:sz w:val="18"/>
                <w:szCs w:val="18"/>
              </w:rPr>
              <w:t xml:space="preserve"> dans </w:t>
            </w:r>
            <w:r>
              <w:rPr>
                <w:rFonts w:ascii="Consolas" w:cs="Consolas" w:eastAsia="Consolas" w:hAnsi="Consolas"/>
                <w:sz w:val="18"/>
                <w:szCs w:val="18"/>
                <w:shd w:fill="EEEEEE" w:val="clear"/>
              </w:rPr>
              <w:t xml:space="preserve">QuoteFormScreen.kt</w:t>
            </w:r>
          </w:p>
        </w:tc>
      </w:tr>
      <w:tr>
        <w:tc>
          <w:tcPr>
            <w:tcW w:type="dxa" w:w="3120"/>
            <w:tcMar>
              <w:top w:type="dxa" w:w="60"/>
              <w:left w:type="dxa" w:w="100"/>
              <w:bottom w:type="dxa" w:w="60"/>
              <w:right w:type="dxa" w:w="100"/>
            </w:tcMar>
          </w:tcPr>
          <w:p>
            <w:r>
              <w:rPr>
                <w:sz w:val="18"/>
                <w:szCs w:val="18"/>
              </w:rPr>
              <w:t xml:space="preserve">e-Reporting (</w:t>
            </w:r>
            <w:r>
              <w:rPr>
                <w:rFonts w:ascii="Consolas" w:cs="Consolas" w:eastAsia="Consolas" w:hAnsi="Consolas"/>
                <w:sz w:val="18"/>
                <w:szCs w:val="18"/>
                <w:shd w:fill="EEEEEE" w:val="clear"/>
              </w:rPr>
              <w:t xml:space="preserve">ereporting_screen</w:t>
            </w:r>
            <w:r>
              <w:rPr>
                <w:sz w:val="18"/>
                <w:szCs w:val="18"/>
              </w:rPr>
              <w:t xml:space="preserve">)</w:t>
            </w:r>
          </w:p>
        </w:tc>
        <w:tc>
          <w:tcPr>
            <w:tcW w:type="dxa" w:w="3120"/>
            <w:tcMar>
              <w:top w:type="dxa" w:w="60"/>
              <w:left w:type="dxa" w:w="100"/>
              <w:bottom w:type="dxa" w:w="60"/>
              <w:right w:type="dxa" w:w="100"/>
            </w:tcMar>
          </w:tcPr>
          <w:p>
            <w:r>
              <w:rPr>
                <w:sz w:val="18"/>
                <w:szCs w:val="18"/>
              </w:rPr>
              <w:t xml:space="preserve">❌ reste en français</w:t>
            </w:r>
          </w:p>
        </w:tc>
        <w:tc>
          <w:tcPr>
            <w:tcW w:type="dxa" w:w="3120"/>
            <w:tcMar>
              <w:top w:type="dxa" w:w="60"/>
              <w:left w:type="dxa" w:w="100"/>
              <w:bottom w:type="dxa" w:w="60"/>
              <w:right w:type="dxa" w:w="100"/>
            </w:tcMar>
          </w:tcPr>
          <w:p>
            <w:r>
              <w:rPr>
                <w:sz w:val="18"/>
                <w:szCs w:val="18"/>
              </w:rPr>
              <w:t xml:space="preserve">0 appel à </w:t>
            </w:r>
            <w:r>
              <w:rPr>
                <w:rFonts w:ascii="Consolas" w:cs="Consolas" w:eastAsia="Consolas" w:hAnsi="Consolas"/>
                <w:sz w:val="18"/>
                <w:szCs w:val="18"/>
                <w:shd w:fill="EEEEEE" w:val="clear"/>
              </w:rPr>
              <w:t xml:space="preserve">tr()</w:t>
            </w:r>
            <w:r>
              <w:rPr>
                <w:sz w:val="18"/>
                <w:szCs w:val="18"/>
              </w:rPr>
              <w:t xml:space="preserve"> dans </w:t>
            </w:r>
            <w:r>
              <w:rPr>
                <w:rFonts w:ascii="Consolas" w:cs="Consolas" w:eastAsia="Consolas" w:hAnsi="Consolas"/>
                <w:sz w:val="18"/>
                <w:szCs w:val="18"/>
                <w:shd w:fill="EEEEEE" w:val="clear"/>
              </w:rPr>
              <w:t xml:space="preserve">EReportingScreen.kt</w:t>
            </w:r>
          </w:p>
        </w:tc>
      </w:tr>
      <w:tr>
        <w:tc>
          <w:tcPr>
            <w:tcW w:type="dxa" w:w="3120"/>
            <w:tcMar>
              <w:top w:type="dxa" w:w="60"/>
              <w:left w:type="dxa" w:w="100"/>
              <w:bottom w:type="dxa" w:w="60"/>
              <w:right w:type="dxa" w:w="100"/>
            </w:tcMar>
          </w:tcPr>
          <w:p>
            <w:r>
              <w:rPr>
                <w:sz w:val="18"/>
                <w:szCs w:val="18"/>
              </w:rPr>
              <w:t xml:space="preserve">Rapprochement bancaire (</w:t>
            </w:r>
            <w:r>
              <w:rPr>
                <w:rFonts w:ascii="Consolas" w:cs="Consolas" w:eastAsia="Consolas" w:hAnsi="Consolas"/>
                <w:sz w:val="18"/>
                <w:szCs w:val="18"/>
                <w:shd w:fill="EEEEEE" w:val="clear"/>
              </w:rPr>
              <w:t xml:space="preserve">bank_reconciliation_screen</w:t>
            </w:r>
            <w:r>
              <w:rPr>
                <w:sz w:val="18"/>
                <w:szCs w:val="18"/>
              </w:rPr>
              <w:t xml:space="preserve">)</w:t>
            </w:r>
          </w:p>
        </w:tc>
        <w:tc>
          <w:tcPr>
            <w:tcW w:type="dxa" w:w="3120"/>
            <w:tcMar>
              <w:top w:type="dxa" w:w="60"/>
              <w:left w:type="dxa" w:w="100"/>
              <w:bottom w:type="dxa" w:w="60"/>
              <w:right w:type="dxa" w:w="100"/>
            </w:tcMar>
          </w:tcPr>
          <w:p>
            <w:r>
              <w:rPr>
                <w:sz w:val="18"/>
                <w:szCs w:val="18"/>
              </w:rPr>
              <w:t xml:space="preserve">✅ traduit</w:t>
            </w:r>
          </w:p>
        </w:tc>
        <w:tc>
          <w:tcPr>
            <w:tcW w:type="dxa" w:w="3120"/>
            <w:tcMar>
              <w:top w:type="dxa" w:w="60"/>
              <w:left w:type="dxa" w:w="100"/>
              <w:bottom w:type="dxa" w:w="60"/>
              <w:right w:type="dxa" w:w="100"/>
            </w:tcMar>
          </w:tcPr>
          <w:p>
            <w:r>
              <w:rPr>
                <w:sz w:val="18"/>
                <w:szCs w:val="18"/>
              </w:rPr>
              <w:t xml:space="preserve">13 appels à </w:t>
            </w:r>
            <w:r>
              <w:rPr>
                <w:rFonts w:ascii="Consolas" w:cs="Consolas" w:eastAsia="Consolas" w:hAnsi="Consolas"/>
                <w:sz w:val="18"/>
                <w:szCs w:val="18"/>
                <w:shd w:fill="EEEEEE" w:val="clear"/>
              </w:rPr>
              <w:t xml:space="preserve">tr()</w:t>
            </w:r>
            <w:r>
              <w:rPr>
                <w:sz w:val="18"/>
                <w:szCs w:val="18"/>
              </w:rPr>
              <w:t xml:space="preserve"> — </w:t>
            </w:r>
            <w:r>
              <w:rPr>
                <w:b/>
                <w:bCs/>
                <w:sz w:val="18"/>
                <w:szCs w:val="18"/>
              </w:rPr>
              <w:t xml:space="preserve">contre-exemple qui confirme que les trois autres sont bien un oubli</w:t>
            </w:r>
            <w:r>
              <w:rPr>
                <w:sz w:val="18"/>
                <w:szCs w:val="18"/>
              </w:rPr>
              <w:t xml:space="preserve">, pas une contrainte technique</w:t>
            </w:r>
          </w:p>
        </w:tc>
      </w:tr>
    </w:tbl>
    <w:p>
      <w:pPr>
        <w:spacing w:after="160"/>
      </w:pPr>
    </w:p>
    <w:p>
      <w:pPr>
        <w:spacing w:after="120"/>
      </w:pPr>
      <w:r>
        <w:t xml:space="preserve">La présence du Rapprochement bancaire dans cette liste comme cas conforme élimine l'hypothèse d'une limitation générale : chaque écran non traduit l'est parce que son développement n'a pas suivi la convention </w:t>
      </w:r>
      <w:r>
        <w:rPr>
          <w:rFonts w:ascii="Consolas" w:cs="Consolas" w:eastAsia="Consolas" w:hAnsi="Consolas"/>
          <w:sz w:val="20"/>
          <w:szCs w:val="20"/>
          <w:shd w:fill="EEEEEE" w:val="clear"/>
        </w:rPr>
        <w:t xml:space="preserve">tr(StringKey.X)</w:t>
      </w:r>
      <w:r>
        <w:t xml:space="preserve">, écran par écran, pas parce que l'internationalisation serait impossible à y ajouter.</w:t>
      </w:r>
    </w:p>
    <w:p>
      <w:pPr>
        <w:spacing w:after="120"/>
      </w:pPr>
      <w:r>
        <w:rPr>
          <w:b/>
          <w:bCs/>
        </w:rPr>
        <w:t xml:space="preserve">Impact recette :</w:t>
      </w:r>
      <w:r>
        <w:t xml:space="preserve"> un testeur qui bascule la langue en EN et observe du français sur ces trois écrans </w:t>
      </w:r>
      <w:r>
        <w:rPr>
          <w:b/>
          <w:bCs/>
        </w:rPr>
        <w:t xml:space="preserve">ne doit pas ouvrir une anomalie par campagne</w:t>
      </w:r>
      <w:r>
        <w:t xml:space="preserve"> — un seul ticket de dette technique suffit, référençant les trois écrans.</w:t>
      </w:r>
    </w:p>
    <w:p>
      <w:pPr>
        <w:pStyle w:val="Heading2"/>
        <w:spacing w:after="140" w:before="260"/>
      </w:pPr>
      <w:r>
        <w:t xml:space="preserve">3. Deux implémentations parallèles de l'écran de détail de facture</w:t>
      </w:r>
    </w:p>
    <w:p>
      <w:pPr>
        <w:spacing w:after="120"/>
      </w:pPr>
      <w:r>
        <w:rPr>
          <w:rFonts w:ascii="Consolas" w:cs="Consolas" w:eastAsia="Consolas" w:hAnsi="Consolas"/>
          <w:sz w:val="20"/>
          <w:szCs w:val="20"/>
          <w:shd w:fill="EEEEEE" w:val="clear"/>
        </w:rPr>
        <w:t xml:space="preserve">presentation/invoices/InvoiceDetailScreen.kt</w:t>
      </w:r>
      <w:r>
        <w:t xml:space="preserve"> (</w:t>
      </w:r>
      <w:r>
        <w:rPr>
          <w:rFonts w:ascii="Consolas" w:cs="Consolas" w:eastAsia="Consolas" w:hAnsi="Consolas"/>
          <w:sz w:val="20"/>
          <w:szCs w:val="20"/>
          <w:shd w:fill="EEEEEE" w:val="clear"/>
        </w:rPr>
        <w:t xml:space="preserve">InvoiceDetailScreenTags</w:t>
      </w:r>
      <w:r>
        <w:t xml:space="preserve">, largement testée — c'est elle que ce plan cible dans le module 4.5) coexiste avec </w:t>
      </w:r>
      <w:r>
        <w:rPr>
          <w:rFonts w:ascii="Consolas" w:cs="Consolas" w:eastAsia="Consolas" w:hAnsi="Consolas"/>
          <w:sz w:val="20"/>
          <w:szCs w:val="20"/>
          <w:shd w:fill="EEEEEE" w:val="clear"/>
        </w:rPr>
        <w:t xml:space="preserve">presentation/invoicedetail/InvoiceDetailScreen.kt</w:t>
      </w:r>
      <w:r>
        <w:t xml:space="preserve"> (</w:t>
      </w:r>
      <w:r>
        <w:rPr>
          <w:rFonts w:ascii="Consolas" w:cs="Consolas" w:eastAsia="Consolas" w:hAnsi="Consolas"/>
          <w:sz w:val="20"/>
          <w:szCs w:val="20"/>
          <w:shd w:fill="EEEEEE" w:val="clear"/>
        </w:rPr>
        <w:t xml:space="preserve">InvoiceDetailTags</w:t>
      </w:r>
      <w:r>
        <w:t xml:space="preserve">, plus réduite). Un testeur qui inspecterait le code sans connaître cette convention pourrait tester la mauvaise implémentation. </w:t>
      </w:r>
      <w:r>
        <w:rPr>
          <w:b/>
          <w:bCs/>
        </w:rPr>
        <w:t xml:space="preserve">Toujours viser le paquet `presentation.invoices`</w:t>
      </w:r>
      <w:r>
        <w:t xml:space="preserve">, jamais </w:t>
      </w:r>
      <w:r>
        <w:rPr>
          <w:rFonts w:ascii="Consolas" w:cs="Consolas" w:eastAsia="Consolas" w:hAnsi="Consolas"/>
          <w:sz w:val="20"/>
          <w:szCs w:val="20"/>
          <w:shd w:fill="EEEEEE" w:val="clear"/>
        </w:rPr>
        <w:t xml:space="preserve">presentation.invoicedetail</w:t>
      </w:r>
      <w:r>
        <w:t xml:space="preserve">.</w:t>
      </w:r>
    </w:p>
    <w:p>
      <w:pPr>
        <w:pStyle w:val="Heading2"/>
        <w:spacing w:after="140" w:before="260"/>
      </w:pPr>
      <w:r>
        <w:t xml:space="preserve">4. Divergences mineures de convention de tag, sans impact fonctionnel</w:t>
      </w:r>
    </w:p>
    <w:p>
      <w:pPr>
        <w:pStyle w:val="ListParagraph"/>
        <w:numPr>
          <w:ilvl w:val="0"/>
          <w:numId w:val="1"/>
        </w:numPr>
        <w:spacing w:after="80"/>
      </w:pPr>
      <w:r>
        <w:t xml:space="preserve">Les tags de </w:t>
      </w:r>
      <w:r>
        <w:rPr>
          <w:rFonts w:ascii="Consolas" w:cs="Consolas" w:eastAsia="Consolas" w:hAnsi="Consolas"/>
          <w:sz w:val="20"/>
          <w:szCs w:val="20"/>
          <w:shd w:fill="EEEEEE" w:val="clear"/>
        </w:rPr>
        <w:t xml:space="preserve">ClientPicker</w:t>
      </w:r>
      <w:r>
        <w:t xml:space="preserve"> (</w:t>
      </w:r>
      <w:r>
        <w:rPr>
          <w:rFonts w:ascii="Consolas" w:cs="Consolas" w:eastAsia="Consolas" w:hAnsi="Consolas"/>
          <w:sz w:val="20"/>
          <w:szCs w:val="20"/>
          <w:shd w:fill="EEEEEE" w:val="clear"/>
        </w:rPr>
        <w:t xml:space="preserve">CLIENT_SEARCH_INPUT</w:t>
      </w:r>
      <w:r>
        <w:t xml:space="preserve">, </w:t>
      </w:r>
      <w:r>
        <w:rPr>
          <w:rFonts w:ascii="Consolas" w:cs="Consolas" w:eastAsia="Consolas" w:hAnsi="Consolas"/>
          <w:sz w:val="20"/>
          <w:szCs w:val="20"/>
          <w:shd w:fill="EEEEEE" w:val="clear"/>
        </w:rPr>
        <w:t xml:space="preserve">ADD_NEW_CLIENT_BTN</w:t>
      </w:r>
      <w:r>
        <w:t xml:space="preserve">…) sont en </w:t>
      </w:r>
      <w:r>
        <w:rPr>
          <w:rFonts w:ascii="Consolas" w:cs="Consolas" w:eastAsia="Consolas" w:hAnsi="Consolas"/>
          <w:sz w:val="20"/>
          <w:szCs w:val="20"/>
          <w:shd w:fill="EEEEEE" w:val="clear"/>
        </w:rPr>
        <w:t xml:space="preserve">UPPER_SNAKE_CASE</w:t>
      </w:r>
      <w:r>
        <w:t xml:space="preserve">, alors que tout le reste de l'application utilise du </w:t>
      </w:r>
      <w:r>
        <w:rPr>
          <w:rFonts w:ascii="Consolas" w:cs="Consolas" w:eastAsia="Consolas" w:hAnsi="Consolas"/>
          <w:sz w:val="20"/>
          <w:szCs w:val="20"/>
          <w:shd w:fill="EEEEEE" w:val="clear"/>
        </w:rPr>
        <w:t xml:space="preserve">snake_case</w:t>
      </w:r>
      <w:r>
        <w:t xml:space="preserve"> (</w:t>
      </w:r>
      <w:r>
        <w:rPr>
          <w:rFonts w:ascii="Consolas" w:cs="Consolas" w:eastAsia="Consolas" w:hAnsi="Consolas"/>
          <w:sz w:val="20"/>
          <w:szCs w:val="20"/>
          <w:shd w:fill="EEEEEE" w:val="clear"/>
        </w:rPr>
        <w:t xml:space="preserve">theme_toggle_btn</w:t>
      </w:r>
      <w:r>
        <w:t xml:space="preserve">, </w:t>
      </w:r>
      <w:r>
        <w:rPr>
          <w:rFonts w:ascii="Consolas" w:cs="Consolas" w:eastAsia="Consolas" w:hAnsi="Consolas"/>
          <w:sz w:val="20"/>
          <w:szCs w:val="20"/>
          <w:shd w:fill="EEEEEE" w:val="clear"/>
        </w:rPr>
        <w:t xml:space="preserve">dashboard_screen</w:t>
      </w:r>
      <w:r>
        <w:t xml:space="preserve">…). Sans conséquence pour un testeur manuel — mentionné pour qui utiliserait ces tags dans un outil d'automatisation.</w:t>
      </w:r>
    </w:p>
    <w:p>
      <w:pPr>
        <w:pStyle w:val="ListParagraph"/>
        <w:numPr>
          <w:ilvl w:val="0"/>
          <w:numId w:val="1"/>
        </w:numPr>
        <w:spacing w:after="80"/>
      </w:pPr>
      <w:r>
        <w:rPr>
          <w:rFonts w:ascii="Consolas" w:cs="Consolas" w:eastAsia="Consolas" w:hAnsi="Consolas"/>
          <w:sz w:val="20"/>
          <w:szCs w:val="20"/>
          <w:shd w:fill="EEEEEE" w:val="clear"/>
        </w:rPr>
        <w:t xml:space="preserve">InvoiceCanvasTags</w:t>
      </w:r>
      <w:r>
        <w:t xml:space="preserve"> (US-23) et </w:t>
      </w:r>
      <w:r>
        <w:rPr>
          <w:rFonts w:ascii="Consolas" w:cs="Consolas" w:eastAsia="Consolas" w:hAnsi="Consolas"/>
          <w:sz w:val="20"/>
          <w:szCs w:val="20"/>
          <w:shd w:fill="EEEEEE" w:val="clear"/>
        </w:rPr>
        <w:t xml:space="preserve">InvoicePaperCanvasTags</w:t>
      </w:r>
      <w:r>
        <w:t xml:space="preserve"> (US-15) exposent parfois des noms de constantes différents pour le </w:t>
      </w:r>
      <w:r>
        <w:rPr>
          <w:b/>
          <w:bCs/>
        </w:rPr>
        <w:t xml:space="preserve">même</w:t>
      </w:r>
      <w:r>
        <w:t xml:space="preserve"> nœud Compose (un nœud ne porte qu'un seul </w:t>
      </w:r>
      <w:r>
        <w:rPr>
          <w:rFonts w:ascii="Consolas" w:cs="Consolas" w:eastAsia="Consolas" w:hAnsi="Consolas"/>
          <w:sz w:val="20"/>
          <w:szCs w:val="20"/>
          <w:shd w:fill="EEEEEE" w:val="clear"/>
        </w:rPr>
        <w:t xml:space="preserve">testTag</w:t>
      </w:r>
      <w:r>
        <w:t xml:space="preserve">) — pure question de nommage, pas deux éléments distincts à l'écran.</w:t>
      </w:r>
    </w:p>
    <w:p>
      <w:pPr>
        <w:pBdr>
          <w:bottom w:val="single" w:color="AAAAAA" w:sz="6" w:space="1"/>
        </w:pBdr>
        <w:spacing w:after="240" w:before="120"/>
      </w:pPr>
    </w:p>
    <w:p>
      <w:pPr>
        <w:pStyle w:val="Heading1"/>
        <w:pageBreakBefore/>
        <w:spacing w:after="140" w:before="400"/>
      </w:pPr>
      <w:r>
        <w:t xml:space="preserve">Annexe — Récapitulatif de couverture par User Story</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3120"/>
        <w:gridCol w:w="3120"/>
        <w:gridCol w:w="3120"/>
      </w:tblGrid>
      <w:tr>
        <w:trPr>
          <w:tblHeader/>
        </w:trPr>
        <w:tc>
          <w:tcPr>
            <w:tcW w:type="dxa" w:w="3120"/>
            <w:shd w:fill="1F2937" w:val="clear"/>
            <w:tcMar>
              <w:top w:type="dxa" w:w="60"/>
              <w:left w:type="dxa" w:w="100"/>
              <w:bottom w:type="dxa" w:w="60"/>
              <w:right w:type="dxa" w:w="100"/>
            </w:tcMar>
          </w:tcPr>
          <w:p>
            <w:r>
              <w:rPr>
                <w:color w:val="FFFFFF"/>
                <w:sz w:val="18"/>
                <w:szCs w:val="18"/>
              </w:rPr>
              <w:t xml:space="preserve">US</w:t>
            </w:r>
          </w:p>
        </w:tc>
        <w:tc>
          <w:tcPr>
            <w:tcW w:type="dxa" w:w="3120"/>
            <w:shd w:fill="1F2937" w:val="clear"/>
            <w:tcMar>
              <w:top w:type="dxa" w:w="60"/>
              <w:left w:type="dxa" w:w="100"/>
              <w:bottom w:type="dxa" w:w="60"/>
              <w:right w:type="dxa" w:w="100"/>
            </w:tcMar>
          </w:tcPr>
          <w:p>
            <w:r>
              <w:rPr>
                <w:color w:val="FFFFFF"/>
                <w:sz w:val="18"/>
                <w:szCs w:val="18"/>
              </w:rPr>
              <w:t xml:space="preserve">Intitulé</w:t>
            </w:r>
          </w:p>
        </w:tc>
        <w:tc>
          <w:tcPr>
            <w:tcW w:type="dxa" w:w="3120"/>
            <w:shd w:fill="1F2937" w:val="clear"/>
            <w:tcMar>
              <w:top w:type="dxa" w:w="60"/>
              <w:left w:type="dxa" w:w="100"/>
              <w:bottom w:type="dxa" w:w="60"/>
              <w:right w:type="dxa" w:w="100"/>
            </w:tcMar>
          </w:tcPr>
          <w:p>
            <w:r>
              <w:rPr>
                <w:color w:val="FFFFFF"/>
                <w:sz w:val="18"/>
                <w:szCs w:val="18"/>
              </w:rPr>
              <w:t xml:space="preserve">Module(s) de ce plan</w:t>
            </w:r>
          </w:p>
        </w:tc>
      </w:tr>
      <w:tr>
        <w:tc>
          <w:tcPr>
            <w:tcW w:type="dxa" w:w="3120"/>
            <w:tcMar>
              <w:top w:type="dxa" w:w="60"/>
              <w:left w:type="dxa" w:w="100"/>
              <w:bottom w:type="dxa" w:w="60"/>
              <w:right w:type="dxa" w:w="100"/>
            </w:tcMar>
          </w:tcPr>
          <w:p>
            <w:r>
              <w:rPr>
                <w:sz w:val="18"/>
                <w:szCs w:val="18"/>
              </w:rPr>
              <w:t xml:space="preserve">US-01</w:t>
            </w:r>
          </w:p>
        </w:tc>
        <w:tc>
          <w:tcPr>
            <w:tcW w:type="dxa" w:w="3120"/>
            <w:tcMar>
              <w:top w:type="dxa" w:w="60"/>
              <w:left w:type="dxa" w:w="100"/>
              <w:bottom w:type="dxa" w:w="60"/>
              <w:right w:type="dxa" w:w="100"/>
            </w:tcMar>
          </w:tcPr>
          <w:p>
            <w:r>
              <w:rPr>
                <w:sz w:val="18"/>
                <w:szCs w:val="18"/>
              </w:rPr>
              <w:t xml:space="preserve">Socle réseau Ktor &amp; modèles Factur-X</w:t>
            </w:r>
          </w:p>
        </w:tc>
        <w:tc>
          <w:tcPr>
            <w:tcW w:type="dxa" w:w="3120"/>
            <w:tcMar>
              <w:top w:type="dxa" w:w="60"/>
              <w:left w:type="dxa" w:w="100"/>
              <w:bottom w:type="dxa" w:w="60"/>
              <w:right w:type="dxa" w:w="100"/>
            </w:tcMar>
          </w:tcPr>
          <w:p>
            <w:r>
              <w:rPr>
                <w:sz w:val="18"/>
                <w:szCs w:val="18"/>
              </w:rPr>
              <w:t xml:space="preserve">Transversal (aucun scénario UI dédié — infrastructure)</w:t>
            </w:r>
          </w:p>
        </w:tc>
      </w:tr>
      <w:tr>
        <w:tc>
          <w:tcPr>
            <w:tcW w:type="dxa" w:w="3120"/>
            <w:tcMar>
              <w:top w:type="dxa" w:w="60"/>
              <w:left w:type="dxa" w:w="100"/>
              <w:bottom w:type="dxa" w:w="60"/>
              <w:right w:type="dxa" w:w="100"/>
            </w:tcMar>
          </w:tcPr>
          <w:p>
            <w:r>
              <w:rPr>
                <w:sz w:val="18"/>
                <w:szCs w:val="18"/>
              </w:rPr>
              <w:t xml:space="preserve">US-02</w:t>
            </w:r>
          </w:p>
        </w:tc>
        <w:tc>
          <w:tcPr>
            <w:tcW w:type="dxa" w:w="3120"/>
            <w:tcMar>
              <w:top w:type="dxa" w:w="60"/>
              <w:left w:type="dxa" w:w="100"/>
              <w:bottom w:type="dxa" w:w="60"/>
              <w:right w:type="dxa" w:w="100"/>
            </w:tcMar>
          </w:tcPr>
          <w:p>
            <w:r>
              <w:rPr>
                <w:sz w:val="18"/>
                <w:szCs w:val="18"/>
              </w:rPr>
              <w:t xml:space="preserve">ViewModel, gestion d'état, écrans Factur-X</w:t>
            </w:r>
          </w:p>
        </w:tc>
        <w:tc>
          <w:tcPr>
            <w:tcW w:type="dxa" w:w="3120"/>
            <w:tcMar>
              <w:top w:type="dxa" w:w="60"/>
              <w:left w:type="dxa" w:w="100"/>
              <w:bottom w:type="dxa" w:w="60"/>
              <w:right w:type="dxa" w:w="100"/>
            </w:tcMar>
          </w:tcPr>
          <w:p>
            <w:r>
              <w:rPr>
                <w:sz w:val="18"/>
                <w:szCs w:val="18"/>
              </w:rPr>
              <w:t xml:space="preserve">2, 4.4, 4.5</w:t>
            </w:r>
          </w:p>
        </w:tc>
      </w:tr>
      <w:tr>
        <w:tc>
          <w:tcPr>
            <w:tcW w:type="dxa" w:w="3120"/>
            <w:tcMar>
              <w:top w:type="dxa" w:w="60"/>
              <w:left w:type="dxa" w:w="100"/>
              <w:bottom w:type="dxa" w:w="60"/>
              <w:right w:type="dxa" w:w="100"/>
            </w:tcMar>
          </w:tcPr>
          <w:p>
            <w:r>
              <w:rPr>
                <w:sz w:val="18"/>
                <w:szCs w:val="18"/>
              </w:rPr>
              <w:t xml:space="preserve">US-02 (Sprint 2)</w:t>
            </w:r>
          </w:p>
        </w:tc>
        <w:tc>
          <w:tcPr>
            <w:tcW w:type="dxa" w:w="3120"/>
            <w:tcMar>
              <w:top w:type="dxa" w:w="60"/>
              <w:left w:type="dxa" w:w="100"/>
              <w:bottom w:type="dxa" w:w="60"/>
              <w:right w:type="dxa" w:w="100"/>
            </w:tcMar>
          </w:tcPr>
          <w:p>
            <w:r>
              <w:rPr>
                <w:sz w:val="18"/>
                <w:szCs w:val="18"/>
              </w:rPr>
              <w:t xml:space="preserve">Support multilingue FR/EN</w:t>
            </w:r>
          </w:p>
        </w:tc>
        <w:tc>
          <w:tcPr>
            <w:tcW w:type="dxa" w:w="3120"/>
            <w:tcMar>
              <w:top w:type="dxa" w:w="60"/>
              <w:left w:type="dxa" w:w="100"/>
              <w:bottom w:type="dxa" w:w="60"/>
              <w:right w:type="dxa" w:w="100"/>
            </w:tcMar>
          </w:tcPr>
          <w:p>
            <w:r>
              <w:rPr>
                <w:sz w:val="18"/>
                <w:szCs w:val="18"/>
              </w:rPr>
              <w:t xml:space="preserve">9.2</w:t>
            </w:r>
          </w:p>
        </w:tc>
      </w:tr>
      <w:tr>
        <w:tc>
          <w:tcPr>
            <w:tcW w:type="dxa" w:w="3120"/>
            <w:tcMar>
              <w:top w:type="dxa" w:w="60"/>
              <w:left w:type="dxa" w:w="100"/>
              <w:bottom w:type="dxa" w:w="60"/>
              <w:right w:type="dxa" w:w="100"/>
            </w:tcMar>
          </w:tcPr>
          <w:p>
            <w:r>
              <w:rPr>
                <w:sz w:val="18"/>
                <w:szCs w:val="18"/>
              </w:rPr>
              <w:t xml:space="preserve">US-03</w:t>
            </w:r>
          </w:p>
        </w:tc>
        <w:tc>
          <w:tcPr>
            <w:tcW w:type="dxa" w:w="3120"/>
            <w:tcMar>
              <w:top w:type="dxa" w:w="60"/>
              <w:left w:type="dxa" w:w="100"/>
              <w:bottom w:type="dxa" w:w="60"/>
              <w:right w:type="dxa" w:w="100"/>
            </w:tcMar>
          </w:tcPr>
          <w:p>
            <w:r>
              <w:rPr>
                <w:sz w:val="18"/>
                <w:szCs w:val="18"/>
              </w:rPr>
              <w:t xml:space="preserve">Thème sombre premium, shell responsive</w:t>
            </w:r>
          </w:p>
        </w:tc>
        <w:tc>
          <w:tcPr>
            <w:tcW w:type="dxa" w:w="3120"/>
            <w:tcMar>
              <w:top w:type="dxa" w:w="60"/>
              <w:left w:type="dxa" w:w="100"/>
              <w:bottom w:type="dxa" w:w="60"/>
              <w:right w:type="dxa" w:w="100"/>
            </w:tcMar>
          </w:tcPr>
          <w:p>
            <w:r>
              <w:rPr>
                <w:sz w:val="18"/>
                <w:szCs w:val="18"/>
              </w:rPr>
              <w:t xml:space="preserve">9.1</w:t>
            </w:r>
          </w:p>
        </w:tc>
      </w:tr>
      <w:tr>
        <w:tc>
          <w:tcPr>
            <w:tcW w:type="dxa" w:w="3120"/>
            <w:tcMar>
              <w:top w:type="dxa" w:w="60"/>
              <w:left w:type="dxa" w:w="100"/>
              <w:bottom w:type="dxa" w:w="60"/>
              <w:right w:type="dxa" w:w="100"/>
            </w:tcMar>
          </w:tcPr>
          <w:p>
            <w:r>
              <w:rPr>
                <w:sz w:val="18"/>
                <w:szCs w:val="18"/>
              </w:rPr>
              <w:t xml:space="preserve">US-04</w:t>
            </w:r>
          </w:p>
        </w:tc>
        <w:tc>
          <w:tcPr>
            <w:tcW w:type="dxa" w:w="3120"/>
            <w:tcMar>
              <w:top w:type="dxa" w:w="60"/>
              <w:left w:type="dxa" w:w="100"/>
              <w:bottom w:type="dxa" w:w="60"/>
              <w:right w:type="dxa" w:w="100"/>
            </w:tcMar>
          </w:tcPr>
          <w:p>
            <w:r>
              <w:rPr>
                <w:sz w:val="18"/>
                <w:szCs w:val="18"/>
              </w:rPr>
              <w:t xml:space="preserve">CRUD Clients &amp; Paramètres fiscaux</w:t>
            </w:r>
          </w:p>
        </w:tc>
        <w:tc>
          <w:tcPr>
            <w:tcW w:type="dxa" w:w="3120"/>
            <w:tcMar>
              <w:top w:type="dxa" w:w="60"/>
              <w:left w:type="dxa" w:w="100"/>
              <w:bottom w:type="dxa" w:w="60"/>
              <w:right w:type="dxa" w:w="100"/>
            </w:tcMar>
          </w:tcPr>
          <w:p>
            <w:r>
              <w:rPr>
                <w:sz w:val="18"/>
                <w:szCs w:val="18"/>
              </w:rPr>
              <w:t xml:space="preserve">3.1, 7</w:t>
            </w:r>
          </w:p>
        </w:tc>
      </w:tr>
      <w:tr>
        <w:tc>
          <w:tcPr>
            <w:tcW w:type="dxa" w:w="3120"/>
            <w:tcMar>
              <w:top w:type="dxa" w:w="60"/>
              <w:left w:type="dxa" w:w="100"/>
              <w:bottom w:type="dxa" w:w="60"/>
              <w:right w:type="dxa" w:w="100"/>
            </w:tcMar>
          </w:tcPr>
          <w:p>
            <w:r>
              <w:rPr>
                <w:sz w:val="18"/>
                <w:szCs w:val="18"/>
              </w:rPr>
              <w:t xml:space="preserve">US-05</w:t>
            </w:r>
          </w:p>
        </w:tc>
        <w:tc>
          <w:tcPr>
            <w:tcW w:type="dxa" w:w="3120"/>
            <w:tcMar>
              <w:top w:type="dxa" w:w="60"/>
              <w:left w:type="dxa" w:w="100"/>
              <w:bottom w:type="dxa" w:w="60"/>
              <w:right w:type="dxa" w:w="100"/>
            </w:tcMar>
          </w:tcPr>
          <w:p>
            <w:r>
              <w:rPr>
                <w:sz w:val="18"/>
                <w:szCs w:val="18"/>
              </w:rPr>
              <w:t xml:space="preserve">Cycle d'annulation comptable (avoirs)</w:t>
            </w:r>
          </w:p>
        </w:tc>
        <w:tc>
          <w:tcPr>
            <w:tcW w:type="dxa" w:w="3120"/>
            <w:tcMar>
              <w:top w:type="dxa" w:w="60"/>
              <w:left w:type="dxa" w:w="100"/>
              <w:bottom w:type="dxa" w:w="60"/>
              <w:right w:type="dxa" w:w="100"/>
            </w:tcMar>
          </w:tcPr>
          <w:p>
            <w:r>
              <w:rPr>
                <w:sz w:val="18"/>
                <w:szCs w:val="18"/>
              </w:rPr>
              <w:t xml:space="preserve">4.6</w:t>
            </w:r>
          </w:p>
        </w:tc>
      </w:tr>
      <w:tr>
        <w:tc>
          <w:tcPr>
            <w:tcW w:type="dxa" w:w="3120"/>
            <w:tcMar>
              <w:top w:type="dxa" w:w="60"/>
              <w:left w:type="dxa" w:w="100"/>
              <w:bottom w:type="dxa" w:w="60"/>
              <w:right w:type="dxa" w:w="100"/>
            </w:tcMar>
          </w:tcPr>
          <w:p>
            <w:r>
              <w:rPr>
                <w:sz w:val="18"/>
                <w:szCs w:val="18"/>
              </w:rPr>
              <w:t xml:space="preserve">US-06</w:t>
            </w:r>
          </w:p>
        </w:tc>
        <w:tc>
          <w:tcPr>
            <w:tcW w:type="dxa" w:w="3120"/>
            <w:tcMar>
              <w:top w:type="dxa" w:w="60"/>
              <w:left w:type="dxa" w:w="100"/>
              <w:bottom w:type="dxa" w:w="60"/>
              <w:right w:type="dxa" w:w="100"/>
            </w:tcMar>
          </w:tcPr>
          <w:p>
            <w:r>
              <w:rPr>
                <w:sz w:val="18"/>
                <w:szCs w:val="18"/>
              </w:rPr>
              <w:t xml:space="preserve">Export Factur-X (CII/BASIC)</w:t>
            </w:r>
          </w:p>
        </w:tc>
        <w:tc>
          <w:tcPr>
            <w:tcW w:type="dxa" w:w="3120"/>
            <w:tcMar>
              <w:top w:type="dxa" w:w="60"/>
              <w:left w:type="dxa" w:w="100"/>
              <w:bottom w:type="dxa" w:w="60"/>
              <w:right w:type="dxa" w:w="100"/>
            </w:tcMar>
          </w:tcPr>
          <w:p>
            <w:r>
              <w:rPr>
                <w:sz w:val="18"/>
                <w:szCs w:val="18"/>
              </w:rPr>
              <w:t xml:space="preserve">4.1 (bascule Factur-X), 6</w:t>
            </w:r>
          </w:p>
        </w:tc>
      </w:tr>
      <w:tr>
        <w:tc>
          <w:tcPr>
            <w:tcW w:type="dxa" w:w="3120"/>
            <w:tcMar>
              <w:top w:type="dxa" w:w="60"/>
              <w:left w:type="dxa" w:w="100"/>
              <w:bottom w:type="dxa" w:w="60"/>
              <w:right w:type="dxa" w:w="100"/>
            </w:tcMar>
          </w:tcPr>
          <w:p>
            <w:r>
              <w:rPr>
                <w:sz w:val="18"/>
                <w:szCs w:val="18"/>
              </w:rPr>
              <w:t xml:space="preserve">US-07</w:t>
            </w:r>
          </w:p>
        </w:tc>
        <w:tc>
          <w:tcPr>
            <w:tcW w:type="dxa" w:w="3120"/>
            <w:tcMar>
              <w:top w:type="dxa" w:w="60"/>
              <w:left w:type="dxa" w:w="100"/>
              <w:bottom w:type="dxa" w:w="60"/>
              <w:right w:type="dxa" w:w="100"/>
            </w:tcMar>
          </w:tcPr>
          <w:p>
            <w:r>
              <w:rPr>
                <w:sz w:val="18"/>
                <w:szCs w:val="18"/>
              </w:rPr>
              <w:t xml:space="preserve">Cycle de vie DGFIP &amp; piste d'audit fiable</w:t>
            </w:r>
          </w:p>
        </w:tc>
        <w:tc>
          <w:tcPr>
            <w:tcW w:type="dxa" w:w="3120"/>
            <w:tcMar>
              <w:top w:type="dxa" w:w="60"/>
              <w:left w:type="dxa" w:w="100"/>
              <w:bottom w:type="dxa" w:w="60"/>
              <w:right w:type="dxa" w:w="100"/>
            </w:tcMar>
          </w:tcPr>
          <w:p>
            <w:r>
              <w:rPr>
                <w:sz w:val="18"/>
                <w:szCs w:val="18"/>
              </w:rPr>
              <w:t xml:space="preserve">4.5, 4.7</w:t>
            </w:r>
          </w:p>
        </w:tc>
      </w:tr>
      <w:tr>
        <w:tc>
          <w:tcPr>
            <w:tcW w:type="dxa" w:w="3120"/>
            <w:tcMar>
              <w:top w:type="dxa" w:w="60"/>
              <w:left w:type="dxa" w:w="100"/>
              <w:bottom w:type="dxa" w:w="60"/>
              <w:right w:type="dxa" w:w="100"/>
            </w:tcMar>
          </w:tcPr>
          <w:p>
            <w:r>
              <w:rPr>
                <w:sz w:val="18"/>
                <w:szCs w:val="18"/>
              </w:rPr>
              <w:t xml:space="preserve">US-08</w:t>
            </w:r>
          </w:p>
        </w:tc>
        <w:tc>
          <w:tcPr>
            <w:tcW w:type="dxa" w:w="3120"/>
            <w:tcMar>
              <w:top w:type="dxa" w:w="60"/>
              <w:left w:type="dxa" w:w="100"/>
              <w:bottom w:type="dxa" w:w="60"/>
              <w:right w:type="dxa" w:w="100"/>
            </w:tcMar>
          </w:tcPr>
          <w:p>
            <w:r>
              <w:rPr>
                <w:sz w:val="18"/>
                <w:szCs w:val="18"/>
              </w:rPr>
              <w:t xml:space="preserve">e-Reporting mobile</w:t>
            </w:r>
          </w:p>
        </w:tc>
        <w:tc>
          <w:tcPr>
            <w:tcW w:type="dxa" w:w="3120"/>
            <w:tcMar>
              <w:top w:type="dxa" w:w="60"/>
              <w:left w:type="dxa" w:w="100"/>
              <w:bottom w:type="dxa" w:w="60"/>
              <w:right w:type="dxa" w:w="100"/>
            </w:tcMar>
          </w:tcPr>
          <w:p>
            <w:r>
              <w:rPr>
                <w:sz w:val="18"/>
                <w:szCs w:val="18"/>
              </w:rPr>
              <w:t xml:space="preserve">11 (⚠️ écran non câblé dans la navigation — voir Dette Technique)</w:t>
            </w:r>
          </w:p>
        </w:tc>
      </w:tr>
      <w:tr>
        <w:tc>
          <w:tcPr>
            <w:tcW w:type="dxa" w:w="3120"/>
            <w:tcMar>
              <w:top w:type="dxa" w:w="60"/>
              <w:left w:type="dxa" w:w="100"/>
              <w:bottom w:type="dxa" w:w="60"/>
              <w:right w:type="dxa" w:w="100"/>
            </w:tcMar>
          </w:tcPr>
          <w:p>
            <w:r>
              <w:rPr>
                <w:sz w:val="18"/>
                <w:szCs w:val="18"/>
              </w:rPr>
              <w:t xml:space="preserve">US-09</w:t>
            </w:r>
          </w:p>
        </w:tc>
        <w:tc>
          <w:tcPr>
            <w:tcW w:type="dxa" w:w="3120"/>
            <w:tcMar>
              <w:top w:type="dxa" w:w="60"/>
              <w:left w:type="dxa" w:w="100"/>
              <w:bottom w:type="dxa" w:w="60"/>
              <w:right w:type="dxa" w:w="100"/>
            </w:tcMar>
          </w:tcPr>
          <w:p>
            <w:r>
              <w:rPr>
                <w:sz w:val="18"/>
                <w:szCs w:val="18"/>
              </w:rPr>
              <w:t xml:space="preserve">Annuaire DGFIP (PPF/PDP)</w:t>
            </w:r>
          </w:p>
        </w:tc>
        <w:tc>
          <w:tcPr>
            <w:tcW w:type="dxa" w:w="3120"/>
            <w:tcMar>
              <w:top w:type="dxa" w:w="60"/>
              <w:left w:type="dxa" w:w="100"/>
              <w:bottom w:type="dxa" w:w="60"/>
              <w:right w:type="dxa" w:w="100"/>
            </w:tcMar>
          </w:tcPr>
          <w:p>
            <w:r>
              <w:rPr>
                <w:sz w:val="18"/>
                <w:szCs w:val="18"/>
              </w:rPr>
              <w:t xml:space="preserve">3.2</w:t>
            </w:r>
          </w:p>
        </w:tc>
      </w:tr>
      <w:tr>
        <w:tc>
          <w:tcPr>
            <w:tcW w:type="dxa" w:w="3120"/>
            <w:tcMar>
              <w:top w:type="dxa" w:w="60"/>
              <w:left w:type="dxa" w:w="100"/>
              <w:bottom w:type="dxa" w:w="60"/>
              <w:right w:type="dxa" w:w="100"/>
            </w:tcMar>
          </w:tcPr>
          <w:p>
            <w:r>
              <w:rPr>
                <w:sz w:val="18"/>
                <w:szCs w:val="18"/>
              </w:rPr>
              <w:t xml:space="preserve">US-10</w:t>
            </w:r>
          </w:p>
        </w:tc>
        <w:tc>
          <w:tcPr>
            <w:tcW w:type="dxa" w:w="3120"/>
            <w:tcMar>
              <w:top w:type="dxa" w:w="60"/>
              <w:left w:type="dxa" w:w="100"/>
              <w:bottom w:type="dxa" w:w="60"/>
              <w:right w:type="dxa" w:w="100"/>
            </w:tcMar>
          </w:tcPr>
          <w:p>
            <w:r>
              <w:rPr>
                <w:sz w:val="18"/>
                <w:szCs w:val="18"/>
              </w:rPr>
              <w:t xml:space="preserve">Avoir (formulaire dédié)</w:t>
            </w:r>
          </w:p>
        </w:tc>
        <w:tc>
          <w:tcPr>
            <w:tcW w:type="dxa" w:w="3120"/>
            <w:tcMar>
              <w:top w:type="dxa" w:w="60"/>
              <w:left w:type="dxa" w:w="100"/>
              <w:bottom w:type="dxa" w:w="60"/>
              <w:right w:type="dxa" w:w="100"/>
            </w:tcMar>
          </w:tcPr>
          <w:p>
            <w:r>
              <w:rPr>
                <w:sz w:val="18"/>
                <w:szCs w:val="18"/>
              </w:rPr>
              <w:t xml:space="preserve">4.6</w:t>
            </w:r>
          </w:p>
        </w:tc>
      </w:tr>
      <w:tr>
        <w:tc>
          <w:tcPr>
            <w:tcW w:type="dxa" w:w="3120"/>
            <w:tcMar>
              <w:top w:type="dxa" w:w="60"/>
              <w:left w:type="dxa" w:w="100"/>
              <w:bottom w:type="dxa" w:w="60"/>
              <w:right w:type="dxa" w:w="100"/>
            </w:tcMar>
          </w:tcPr>
          <w:p>
            <w:r>
              <w:rPr>
                <w:sz w:val="18"/>
                <w:szCs w:val="18"/>
              </w:rPr>
              <w:t xml:space="preserve">US-11</w:t>
            </w:r>
          </w:p>
        </w:tc>
        <w:tc>
          <w:tcPr>
            <w:tcW w:type="dxa" w:w="3120"/>
            <w:tcMar>
              <w:top w:type="dxa" w:w="60"/>
              <w:left w:type="dxa" w:w="100"/>
              <w:bottom w:type="dxa" w:w="60"/>
              <w:right w:type="dxa" w:w="100"/>
            </w:tcMar>
          </w:tcPr>
          <w:p>
            <w:r>
              <w:rPr>
                <w:sz w:val="18"/>
                <w:szCs w:val="18"/>
              </w:rPr>
              <w:t xml:space="preserve">Sélecteur de client (ClientPicker)</w:t>
            </w:r>
          </w:p>
        </w:tc>
        <w:tc>
          <w:tcPr>
            <w:tcW w:type="dxa" w:w="3120"/>
            <w:tcMar>
              <w:top w:type="dxa" w:w="60"/>
              <w:left w:type="dxa" w:w="100"/>
              <w:bottom w:type="dxa" w:w="60"/>
              <w:right w:type="dxa" w:w="100"/>
            </w:tcMar>
          </w:tcPr>
          <w:p>
            <w:r>
              <w:rPr>
                <w:sz w:val="18"/>
                <w:szCs w:val="18"/>
              </w:rPr>
              <w:t xml:space="preserve">3.3</w:t>
            </w:r>
          </w:p>
        </w:tc>
      </w:tr>
      <w:tr>
        <w:tc>
          <w:tcPr>
            <w:tcW w:type="dxa" w:w="3120"/>
            <w:tcMar>
              <w:top w:type="dxa" w:w="60"/>
              <w:left w:type="dxa" w:w="100"/>
              <w:bottom w:type="dxa" w:w="60"/>
              <w:right w:type="dxa" w:w="100"/>
            </w:tcMar>
          </w:tcPr>
          <w:p>
            <w:r>
              <w:rPr>
                <w:sz w:val="18"/>
                <w:szCs w:val="18"/>
              </w:rPr>
              <w:t xml:space="preserve">US-12</w:t>
            </w:r>
          </w:p>
        </w:tc>
        <w:tc>
          <w:tcPr>
            <w:tcW w:type="dxa" w:w="3120"/>
            <w:tcMar>
              <w:top w:type="dxa" w:w="60"/>
              <w:left w:type="dxa" w:w="100"/>
              <w:bottom w:type="dxa" w:w="60"/>
              <w:right w:type="dxa" w:w="100"/>
            </w:tcMar>
          </w:tcPr>
          <w:p>
            <w:r>
              <w:rPr>
                <w:sz w:val="18"/>
                <w:szCs w:val="18"/>
              </w:rPr>
              <w:t xml:space="preserve">Activité commerciale des devis (dashboard)</w:t>
            </w:r>
          </w:p>
        </w:tc>
        <w:tc>
          <w:tcPr>
            <w:tcW w:type="dxa" w:w="3120"/>
            <w:tcMar>
              <w:top w:type="dxa" w:w="60"/>
              <w:left w:type="dxa" w:w="100"/>
              <w:bottom w:type="dxa" w:w="60"/>
              <w:right w:type="dxa" w:w="100"/>
            </w:tcMar>
          </w:tcPr>
          <w:p>
            <w:r>
              <w:rPr>
                <w:sz w:val="18"/>
                <w:szCs w:val="18"/>
              </w:rPr>
              <w:t xml:space="preserve">2 (MOB-DASH-05/06)</w:t>
            </w:r>
          </w:p>
        </w:tc>
      </w:tr>
      <w:tr>
        <w:tc>
          <w:tcPr>
            <w:tcW w:type="dxa" w:w="3120"/>
            <w:tcMar>
              <w:top w:type="dxa" w:w="60"/>
              <w:left w:type="dxa" w:w="100"/>
              <w:bottom w:type="dxa" w:w="60"/>
              <w:right w:type="dxa" w:w="100"/>
            </w:tcMar>
          </w:tcPr>
          <w:p>
            <w:r>
              <w:rPr>
                <w:sz w:val="18"/>
                <w:szCs w:val="18"/>
              </w:rPr>
              <w:t xml:space="preserve">US-13</w:t>
            </w:r>
          </w:p>
        </w:tc>
        <w:tc>
          <w:tcPr>
            <w:tcW w:type="dxa" w:w="3120"/>
            <w:tcMar>
              <w:top w:type="dxa" w:w="60"/>
              <w:left w:type="dxa" w:w="100"/>
              <w:bottom w:type="dxa" w:w="60"/>
              <w:right w:type="dxa" w:w="100"/>
            </w:tcMar>
          </w:tcPr>
          <w:p>
            <w:r>
              <w:rPr>
                <w:sz w:val="18"/>
                <w:szCs w:val="18"/>
              </w:rPr>
              <w:t xml:space="preserve">Statuts réglementaires PPF</w:t>
            </w:r>
          </w:p>
        </w:tc>
        <w:tc>
          <w:tcPr>
            <w:tcW w:type="dxa" w:w="3120"/>
            <w:tcMar>
              <w:top w:type="dxa" w:w="60"/>
              <w:left w:type="dxa" w:w="100"/>
              <w:bottom w:type="dxa" w:w="60"/>
              <w:right w:type="dxa" w:w="100"/>
            </w:tcMar>
          </w:tcPr>
          <w:p>
            <w:r>
              <w:rPr>
                <w:sz w:val="18"/>
                <w:szCs w:val="18"/>
              </w:rPr>
              <w:t xml:space="preserve">4.4, 4.5</w:t>
            </w:r>
          </w:p>
        </w:tc>
      </w:tr>
      <w:tr>
        <w:tc>
          <w:tcPr>
            <w:tcW w:type="dxa" w:w="3120"/>
            <w:tcMar>
              <w:top w:type="dxa" w:w="60"/>
              <w:left w:type="dxa" w:w="100"/>
              <w:bottom w:type="dxa" w:w="60"/>
              <w:right w:type="dxa" w:w="100"/>
            </w:tcMar>
          </w:tcPr>
          <w:p>
            <w:r>
              <w:rPr>
                <w:sz w:val="18"/>
                <w:szCs w:val="18"/>
              </w:rPr>
              <w:t xml:space="preserve">US-14</w:t>
            </w:r>
          </w:p>
        </w:tc>
        <w:tc>
          <w:tcPr>
            <w:tcW w:type="dxa" w:w="3120"/>
            <w:tcMar>
              <w:top w:type="dxa" w:w="60"/>
              <w:left w:type="dxa" w:w="100"/>
              <w:bottom w:type="dxa" w:w="60"/>
              <w:right w:type="dxa" w:w="100"/>
            </w:tcMar>
          </w:tcPr>
          <w:p>
            <w:r>
              <w:rPr>
                <w:sz w:val="18"/>
                <w:szCs w:val="18"/>
              </w:rPr>
              <w:t xml:space="preserve">Aperçu PDF de facture</w:t>
            </w:r>
          </w:p>
        </w:tc>
        <w:tc>
          <w:tcPr>
            <w:tcW w:type="dxa" w:w="3120"/>
            <w:tcMar>
              <w:top w:type="dxa" w:w="60"/>
              <w:left w:type="dxa" w:w="100"/>
              <w:bottom w:type="dxa" w:w="60"/>
              <w:right w:type="dxa" w:w="100"/>
            </w:tcMar>
          </w:tcPr>
          <w:p>
            <w:r>
              <w:rPr>
                <w:sz w:val="18"/>
                <w:szCs w:val="18"/>
              </w:rPr>
              <w:t xml:space="preserve">*(non couvert explicitement — hors du périmètre des 9 modules demandés)*</w:t>
            </w:r>
          </w:p>
        </w:tc>
      </w:tr>
      <w:tr>
        <w:tc>
          <w:tcPr>
            <w:tcW w:type="dxa" w:w="3120"/>
            <w:tcMar>
              <w:top w:type="dxa" w:w="60"/>
              <w:left w:type="dxa" w:w="100"/>
              <w:bottom w:type="dxa" w:w="60"/>
              <w:right w:type="dxa" w:w="100"/>
            </w:tcMar>
          </w:tcPr>
          <w:p>
            <w:r>
              <w:rPr>
                <w:sz w:val="18"/>
                <w:szCs w:val="18"/>
              </w:rPr>
              <w:t xml:space="preserve">US-15</w:t>
            </w:r>
          </w:p>
        </w:tc>
        <w:tc>
          <w:tcPr>
            <w:tcW w:type="dxa" w:w="3120"/>
            <w:tcMar>
              <w:top w:type="dxa" w:w="60"/>
              <w:left w:type="dxa" w:w="100"/>
              <w:bottom w:type="dxa" w:w="60"/>
              <w:right w:type="dxa" w:w="100"/>
            </w:tcMar>
          </w:tcPr>
          <w:p>
            <w:r>
              <w:rPr>
                <w:sz w:val="18"/>
                <w:szCs w:val="18"/>
              </w:rPr>
              <w:t xml:space="preserve">Mode page Notion / saisie alternative</w:t>
            </w:r>
          </w:p>
        </w:tc>
        <w:tc>
          <w:tcPr>
            <w:tcW w:type="dxa" w:w="3120"/>
            <w:tcMar>
              <w:top w:type="dxa" w:w="60"/>
              <w:left w:type="dxa" w:w="100"/>
              <w:bottom w:type="dxa" w:w="60"/>
              <w:right w:type="dxa" w:w="100"/>
            </w:tcMar>
          </w:tcPr>
          <w:p>
            <w:r>
              <w:rPr>
                <w:sz w:val="18"/>
                <w:szCs w:val="18"/>
              </w:rPr>
              <w:t xml:space="preserve">4.1, 4.2</w:t>
            </w:r>
          </w:p>
        </w:tc>
      </w:tr>
      <w:tr>
        <w:tc>
          <w:tcPr>
            <w:tcW w:type="dxa" w:w="3120"/>
            <w:tcMar>
              <w:top w:type="dxa" w:w="60"/>
              <w:left w:type="dxa" w:w="100"/>
              <w:bottom w:type="dxa" w:w="60"/>
              <w:right w:type="dxa" w:w="100"/>
            </w:tcMar>
          </w:tcPr>
          <w:p>
            <w:r>
              <w:rPr>
                <w:sz w:val="18"/>
                <w:szCs w:val="18"/>
              </w:rPr>
              <w:t xml:space="preserve">US-16</w:t>
            </w:r>
          </w:p>
        </w:tc>
        <w:tc>
          <w:tcPr>
            <w:tcW w:type="dxa" w:w="3120"/>
            <w:tcMar>
              <w:top w:type="dxa" w:w="60"/>
              <w:left w:type="dxa" w:w="100"/>
              <w:bottom w:type="dxa" w:w="60"/>
              <w:right w:type="dxa" w:w="100"/>
            </w:tcMar>
          </w:tcPr>
          <w:p>
            <w:r>
              <w:rPr>
                <w:sz w:val="18"/>
                <w:szCs w:val="18"/>
              </w:rPr>
              <w:t xml:space="preserve">Pénalités légales B2B</w:t>
            </w:r>
          </w:p>
        </w:tc>
        <w:tc>
          <w:tcPr>
            <w:tcW w:type="dxa" w:w="3120"/>
            <w:tcMar>
              <w:top w:type="dxa" w:w="60"/>
              <w:left w:type="dxa" w:w="100"/>
              <w:bottom w:type="dxa" w:w="60"/>
              <w:right w:type="dxa" w:w="100"/>
            </w:tcMar>
          </w:tcPr>
          <w:p>
            <w:r>
              <w:rPr>
                <w:sz w:val="18"/>
                <w:szCs w:val="18"/>
              </w:rPr>
              <w:t xml:space="preserve">4.1 (MOB-INV-09)</w:t>
            </w:r>
          </w:p>
        </w:tc>
      </w:tr>
      <w:tr>
        <w:tc>
          <w:tcPr>
            <w:tcW w:type="dxa" w:w="3120"/>
            <w:tcMar>
              <w:top w:type="dxa" w:w="60"/>
              <w:left w:type="dxa" w:w="100"/>
              <w:bottom w:type="dxa" w:w="60"/>
              <w:right w:type="dxa" w:w="100"/>
            </w:tcMar>
          </w:tcPr>
          <w:p>
            <w:r>
              <w:rPr>
                <w:sz w:val="18"/>
                <w:szCs w:val="18"/>
              </w:rPr>
              <w:t xml:space="preserve">US-17</w:t>
            </w:r>
          </w:p>
        </w:tc>
        <w:tc>
          <w:tcPr>
            <w:tcW w:type="dxa" w:w="3120"/>
            <w:tcMar>
              <w:top w:type="dxa" w:w="60"/>
              <w:left w:type="dxa" w:w="100"/>
              <w:bottom w:type="dxa" w:w="60"/>
              <w:right w:type="dxa" w:w="100"/>
            </w:tcMar>
          </w:tcPr>
          <w:p>
            <w:r>
              <w:rPr>
                <w:sz w:val="18"/>
                <w:szCs w:val="18"/>
              </w:rPr>
              <w:t xml:space="preserve">Piste d'audit fiable (timeline)</w:t>
            </w:r>
          </w:p>
        </w:tc>
        <w:tc>
          <w:tcPr>
            <w:tcW w:type="dxa" w:w="3120"/>
            <w:tcMar>
              <w:top w:type="dxa" w:w="60"/>
              <w:left w:type="dxa" w:w="100"/>
              <w:bottom w:type="dxa" w:w="60"/>
              <w:right w:type="dxa" w:w="100"/>
            </w:tcMar>
          </w:tcPr>
          <w:p>
            <w:r>
              <w:rPr>
                <w:sz w:val="18"/>
                <w:szCs w:val="18"/>
              </w:rPr>
              <w:t xml:space="preserve">4.7</w:t>
            </w:r>
          </w:p>
        </w:tc>
      </w:tr>
      <w:tr>
        <w:tc>
          <w:tcPr>
            <w:tcW w:type="dxa" w:w="3120"/>
            <w:tcMar>
              <w:top w:type="dxa" w:w="60"/>
              <w:left w:type="dxa" w:w="100"/>
              <w:bottom w:type="dxa" w:w="60"/>
              <w:right w:type="dxa" w:w="100"/>
            </w:tcMar>
          </w:tcPr>
          <w:p>
            <w:r>
              <w:rPr>
                <w:sz w:val="18"/>
                <w:szCs w:val="18"/>
              </w:rPr>
              <w:t xml:space="preserve">US-18</w:t>
            </w:r>
          </w:p>
        </w:tc>
        <w:tc>
          <w:tcPr>
            <w:tcW w:type="dxa" w:w="3120"/>
            <w:tcMar>
              <w:top w:type="dxa" w:w="60"/>
              <w:left w:type="dxa" w:w="100"/>
              <w:bottom w:type="dxa" w:w="60"/>
              <w:right w:type="dxa" w:w="100"/>
            </w:tcMar>
          </w:tcPr>
          <w:p>
            <w:r>
              <w:rPr>
                <w:sz w:val="18"/>
                <w:szCs w:val="18"/>
              </w:rPr>
              <w:t xml:space="preserve">Rapprochement bancaire</w:t>
            </w:r>
          </w:p>
        </w:tc>
        <w:tc>
          <w:tcPr>
            <w:tcW w:type="dxa" w:w="3120"/>
            <w:tcMar>
              <w:top w:type="dxa" w:w="60"/>
              <w:left w:type="dxa" w:w="100"/>
              <w:bottom w:type="dxa" w:w="60"/>
              <w:right w:type="dxa" w:w="100"/>
            </w:tcMar>
          </w:tcPr>
          <w:p>
            <w:r>
              <w:rPr>
                <w:sz w:val="18"/>
                <w:szCs w:val="18"/>
              </w:rPr>
              <w:t xml:space="preserve">10</w:t>
            </w:r>
          </w:p>
        </w:tc>
      </w:tr>
      <w:tr>
        <w:tc>
          <w:tcPr>
            <w:tcW w:type="dxa" w:w="3120"/>
            <w:tcMar>
              <w:top w:type="dxa" w:w="60"/>
              <w:left w:type="dxa" w:w="100"/>
              <w:bottom w:type="dxa" w:w="60"/>
              <w:right w:type="dxa" w:w="100"/>
            </w:tcMar>
          </w:tcPr>
          <w:p>
            <w:r>
              <w:rPr>
                <w:sz w:val="18"/>
                <w:szCs w:val="18"/>
              </w:rPr>
              <w:t xml:space="preserve">US-19</w:t>
            </w:r>
          </w:p>
        </w:tc>
        <w:tc>
          <w:tcPr>
            <w:tcW w:type="dxa" w:w="3120"/>
            <w:tcMar>
              <w:top w:type="dxa" w:w="60"/>
              <w:left w:type="dxa" w:w="100"/>
              <w:bottom w:type="dxa" w:w="60"/>
              <w:right w:type="dxa" w:w="100"/>
            </w:tcMar>
          </w:tcPr>
          <w:p>
            <w:r>
              <w:rPr>
                <w:sz w:val="18"/>
                <w:szCs w:val="18"/>
              </w:rPr>
              <w:t xml:space="preserve">Palette de commandes</w:t>
            </w:r>
          </w:p>
        </w:tc>
        <w:tc>
          <w:tcPr>
            <w:tcW w:type="dxa" w:w="3120"/>
            <w:tcMar>
              <w:top w:type="dxa" w:w="60"/>
              <w:left w:type="dxa" w:w="100"/>
              <w:bottom w:type="dxa" w:w="60"/>
              <w:right w:type="dxa" w:w="100"/>
            </w:tcMar>
          </w:tcPr>
          <w:p>
            <w:r>
              <w:rPr>
                <w:sz w:val="18"/>
                <w:szCs w:val="18"/>
              </w:rPr>
              <w:t xml:space="preserve">9.1 (MOB-NAV-04)</w:t>
            </w:r>
          </w:p>
        </w:tc>
      </w:tr>
      <w:tr>
        <w:tc>
          <w:tcPr>
            <w:tcW w:type="dxa" w:w="3120"/>
            <w:tcMar>
              <w:top w:type="dxa" w:w="60"/>
              <w:left w:type="dxa" w:w="100"/>
              <w:bottom w:type="dxa" w:w="60"/>
              <w:right w:type="dxa" w:w="100"/>
            </w:tcMar>
          </w:tcPr>
          <w:p>
            <w:r>
              <w:rPr>
                <w:sz w:val="18"/>
                <w:szCs w:val="18"/>
              </w:rPr>
              <w:t xml:space="preserve">US-20</w:t>
            </w:r>
          </w:p>
        </w:tc>
        <w:tc>
          <w:tcPr>
            <w:tcW w:type="dxa" w:w="3120"/>
            <w:tcMar>
              <w:top w:type="dxa" w:w="60"/>
              <w:left w:type="dxa" w:w="100"/>
              <w:bottom w:type="dxa" w:w="60"/>
              <w:right w:type="dxa" w:w="100"/>
            </w:tcMar>
          </w:tcPr>
          <w:p>
            <w:r>
              <w:rPr>
                <w:sz w:val="18"/>
                <w:szCs w:val="18"/>
              </w:rPr>
              <w:t xml:space="preserve">Hub d'intégrations</w:t>
            </w:r>
          </w:p>
        </w:tc>
        <w:tc>
          <w:tcPr>
            <w:tcW w:type="dxa" w:w="3120"/>
            <w:tcMar>
              <w:top w:type="dxa" w:w="60"/>
              <w:left w:type="dxa" w:w="100"/>
              <w:bottom w:type="dxa" w:w="60"/>
              <w:right w:type="dxa" w:w="100"/>
            </w:tcMar>
          </w:tcPr>
          <w:p>
            <w:r>
              <w:rPr>
                <w:sz w:val="18"/>
                <w:szCs w:val="18"/>
              </w:rPr>
              <w:t xml:space="preserve">8</w:t>
            </w:r>
          </w:p>
        </w:tc>
      </w:tr>
      <w:tr>
        <w:tc>
          <w:tcPr>
            <w:tcW w:type="dxa" w:w="3120"/>
            <w:tcMar>
              <w:top w:type="dxa" w:w="60"/>
              <w:left w:type="dxa" w:w="100"/>
              <w:bottom w:type="dxa" w:w="60"/>
              <w:right w:type="dxa" w:w="100"/>
            </w:tcMar>
          </w:tcPr>
          <w:p>
            <w:r>
              <w:rPr>
                <w:sz w:val="18"/>
                <w:szCs w:val="18"/>
              </w:rPr>
              <w:t xml:space="preserve">US-21</w:t>
            </w:r>
          </w:p>
        </w:tc>
        <w:tc>
          <w:tcPr>
            <w:tcW w:type="dxa" w:w="3120"/>
            <w:tcMar>
              <w:top w:type="dxa" w:w="60"/>
              <w:left w:type="dxa" w:w="100"/>
              <w:bottom w:type="dxa" w:w="60"/>
              <w:right w:type="dxa" w:w="100"/>
            </w:tcMar>
          </w:tcPr>
          <w:p>
            <w:r>
              <w:rPr>
                <w:sz w:val="18"/>
                <w:szCs w:val="18"/>
              </w:rPr>
              <w:t xml:space="preserve">Inscription intelligente par SIRET</w:t>
            </w:r>
          </w:p>
        </w:tc>
        <w:tc>
          <w:tcPr>
            <w:tcW w:type="dxa" w:w="3120"/>
            <w:tcMar>
              <w:top w:type="dxa" w:w="60"/>
              <w:left w:type="dxa" w:w="100"/>
              <w:bottom w:type="dxa" w:w="60"/>
              <w:right w:type="dxa" w:w="100"/>
            </w:tcMar>
          </w:tcPr>
          <w:p>
            <w:r>
              <w:rPr>
                <w:sz w:val="18"/>
                <w:szCs w:val="18"/>
              </w:rPr>
              <w:t xml:space="preserve">1</w:t>
            </w:r>
          </w:p>
        </w:tc>
      </w:tr>
      <w:tr>
        <w:tc>
          <w:tcPr>
            <w:tcW w:type="dxa" w:w="3120"/>
            <w:tcMar>
              <w:top w:type="dxa" w:w="60"/>
              <w:left w:type="dxa" w:w="100"/>
              <w:bottom w:type="dxa" w:w="60"/>
              <w:right w:type="dxa" w:w="100"/>
            </w:tcMar>
          </w:tcPr>
          <w:p>
            <w:r>
              <w:rPr>
                <w:sz w:val="18"/>
                <w:szCs w:val="18"/>
              </w:rPr>
              <w:t xml:space="preserve">US-22</w:t>
            </w:r>
          </w:p>
        </w:tc>
        <w:tc>
          <w:tcPr>
            <w:tcW w:type="dxa" w:w="3120"/>
            <w:tcMar>
              <w:top w:type="dxa" w:w="60"/>
              <w:left w:type="dxa" w:w="100"/>
              <w:bottom w:type="dxa" w:w="60"/>
              <w:right w:type="dxa" w:w="100"/>
            </w:tcMar>
          </w:tcPr>
          <w:p>
            <w:r>
              <w:rPr>
                <w:sz w:val="18"/>
                <w:szCs w:val="18"/>
              </w:rPr>
              <w:t xml:space="preserve">Modale d'export comptable</w:t>
            </w:r>
          </w:p>
        </w:tc>
        <w:tc>
          <w:tcPr>
            <w:tcW w:type="dxa" w:w="3120"/>
            <w:tcMar>
              <w:top w:type="dxa" w:w="60"/>
              <w:left w:type="dxa" w:w="100"/>
              <w:bottom w:type="dxa" w:w="60"/>
              <w:right w:type="dxa" w:w="100"/>
            </w:tcMar>
          </w:tcPr>
          <w:p>
            <w:r>
              <w:rPr>
                <w:sz w:val="18"/>
                <w:szCs w:val="18"/>
              </w:rPr>
              <w:t xml:space="preserve">6</w:t>
            </w:r>
          </w:p>
        </w:tc>
      </w:tr>
      <w:tr>
        <w:tc>
          <w:tcPr>
            <w:tcW w:type="dxa" w:w="3120"/>
            <w:tcMar>
              <w:top w:type="dxa" w:w="60"/>
              <w:left w:type="dxa" w:w="100"/>
              <w:bottom w:type="dxa" w:w="60"/>
              <w:right w:type="dxa" w:w="100"/>
            </w:tcMar>
          </w:tcPr>
          <w:p>
            <w:r>
              <w:rPr>
                <w:sz w:val="18"/>
                <w:szCs w:val="18"/>
              </w:rPr>
              <w:t xml:space="preserve">US-23</w:t>
            </w:r>
          </w:p>
        </w:tc>
        <w:tc>
          <w:tcPr>
            <w:tcW w:type="dxa" w:w="3120"/>
            <w:tcMar>
              <w:top w:type="dxa" w:w="60"/>
              <w:left w:type="dxa" w:w="100"/>
              <w:bottom w:type="dxa" w:w="60"/>
              <w:right w:type="dxa" w:w="100"/>
            </w:tcMar>
          </w:tcPr>
          <w:p>
            <w:r>
              <w:rPr>
                <w:sz w:val="18"/>
                <w:szCs w:val="18"/>
              </w:rPr>
              <w:t xml:space="preserve">Mode Canvas A4</w:t>
            </w:r>
          </w:p>
        </w:tc>
        <w:tc>
          <w:tcPr>
            <w:tcW w:type="dxa" w:w="3120"/>
            <w:tcMar>
              <w:top w:type="dxa" w:w="60"/>
              <w:left w:type="dxa" w:w="100"/>
              <w:bottom w:type="dxa" w:w="60"/>
              <w:right w:type="dxa" w:w="100"/>
            </w:tcMar>
          </w:tcPr>
          <w:p>
            <w:r>
              <w:rPr>
                <w:sz w:val="18"/>
                <w:szCs w:val="18"/>
              </w:rPr>
              <w:t xml:space="preserve">4.2</w:t>
            </w:r>
          </w:p>
        </w:tc>
      </w:tr>
      <w:tr>
        <w:tc>
          <w:tcPr>
            <w:tcW w:type="dxa" w:w="3120"/>
            <w:tcMar>
              <w:top w:type="dxa" w:w="60"/>
              <w:left w:type="dxa" w:w="100"/>
              <w:bottom w:type="dxa" w:w="60"/>
              <w:right w:type="dxa" w:w="100"/>
            </w:tcMar>
          </w:tcPr>
          <w:p>
            <w:r>
              <w:rPr>
                <w:sz w:val="18"/>
                <w:szCs w:val="18"/>
              </w:rPr>
              <w:t xml:space="preserve">US-24</w:t>
            </w:r>
          </w:p>
        </w:tc>
        <w:tc>
          <w:tcPr>
            <w:tcW w:type="dxa" w:w="3120"/>
            <w:tcMar>
              <w:top w:type="dxa" w:w="60"/>
              <w:left w:type="dxa" w:w="100"/>
              <w:bottom w:type="dxa" w:w="60"/>
              <w:right w:type="dxa" w:w="100"/>
            </w:tcMar>
          </w:tcPr>
          <w:p>
            <w:r>
              <w:rPr>
                <w:sz w:val="18"/>
                <w:szCs w:val="18"/>
              </w:rPr>
              <w:t xml:space="preserve">Panneau d'audit de conformité</w:t>
            </w:r>
          </w:p>
        </w:tc>
        <w:tc>
          <w:tcPr>
            <w:tcW w:type="dxa" w:w="3120"/>
            <w:tcMar>
              <w:top w:type="dxa" w:w="60"/>
              <w:left w:type="dxa" w:w="100"/>
              <w:bottom w:type="dxa" w:w="60"/>
              <w:right w:type="dxa" w:w="100"/>
            </w:tcMar>
          </w:tcPr>
          <w:p>
            <w:r>
              <w:rPr>
                <w:sz w:val="18"/>
                <w:szCs w:val="18"/>
              </w:rPr>
              <w:t xml:space="preserve">5</w:t>
            </w:r>
          </w:p>
        </w:tc>
      </w:tr>
      <w:tr>
        <w:tc>
          <w:tcPr>
            <w:tcW w:type="dxa" w:w="3120"/>
            <w:tcMar>
              <w:top w:type="dxa" w:w="60"/>
              <w:left w:type="dxa" w:w="100"/>
              <w:bottom w:type="dxa" w:w="60"/>
              <w:right w:type="dxa" w:w="100"/>
            </w:tcMar>
          </w:tcPr>
          <w:p>
            <w:r>
              <w:rPr>
                <w:sz w:val="18"/>
                <w:szCs w:val="18"/>
              </w:rPr>
              <w:t xml:space="preserve">US-25</w:t>
            </w:r>
          </w:p>
        </w:tc>
        <w:tc>
          <w:tcPr>
            <w:tcW w:type="dxa" w:w="3120"/>
            <w:tcMar>
              <w:top w:type="dxa" w:w="60"/>
              <w:left w:type="dxa" w:w="100"/>
              <w:bottom w:type="dxa" w:w="60"/>
              <w:right w:type="dxa" w:w="100"/>
            </w:tcMar>
          </w:tcPr>
          <w:p>
            <w:r>
              <w:rPr>
                <w:sz w:val="18"/>
                <w:szCs w:val="18"/>
              </w:rPr>
              <w:t xml:space="preserve">Bascule Thème Sombre/Clair</w:t>
            </w:r>
          </w:p>
        </w:tc>
        <w:tc>
          <w:tcPr>
            <w:tcW w:type="dxa" w:w="3120"/>
            <w:tcMar>
              <w:top w:type="dxa" w:w="60"/>
              <w:left w:type="dxa" w:w="100"/>
              <w:bottom w:type="dxa" w:w="60"/>
              <w:right w:type="dxa" w:w="100"/>
            </w:tcMar>
          </w:tcPr>
          <w:p>
            <w:r>
              <w:rPr>
                <w:sz w:val="18"/>
                <w:szCs w:val="18"/>
              </w:rPr>
              <w:t xml:space="preserve">9.3</w:t>
            </w:r>
          </w:p>
        </w:tc>
      </w:tr>
    </w:tbl>
    <w:p>
      <w:pPr>
        <w:spacing w:after="160"/>
      </w:pPr>
    </w:p>
    <w:p>
      <w:pPr>
        <w:spacing w:after="120"/>
      </w:pPr>
      <w:r>
        <w:rPr>
          <w:b/>
          <w:bCs/>
        </w:rPr>
        <w:t xml:space="preserve">Note sur le périmètre :</w:t>
      </w:r>
      <w:r>
        <w:t xml:space="preserve"> ce plan couvre désormais 11 modules — les 9 initialement demandés, complétés par Rapprochement bancaire (US-18, module 10) et e-Reporting (US-08, module 11). Seule l'US-14 (aperçu PDF de facture) reste hors périmètre, n'ayant été demandée dans aucune des deux passes de rédaction.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2026-09-03T21:12:11.578Z</dcterms:created>
  <dcterms:modified xsi:type="dcterms:W3CDTF">2026-09-03T21:12:11.579Z</dcterms:modified>
</cp:coreProperties>
</file>

<file path=docProps/custom.xml><?xml version="1.0" encoding="utf-8"?>
<Properties xmlns="http://schemas.openxmlformats.org/officeDocument/2006/custom-properties" xmlns:vt="http://schemas.openxmlformats.org/officeDocument/2006/docPropsVTypes"/>
</file>