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pic="http://schemas.openxmlformats.org/drawingml/2006/pictur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100000" w14:textId="00100001">
      <w:pPr>
        <w:jc w:val="center"/>
      </w:pPr>
      <w:r>
        <w:rPr>
          <w:rFonts w:ascii="Arial" w:hAnsi="Arial"/>
          <w:b/>
          <w:color w:val="1F4E79"/>
          <w:sz w:val="48"/>
        </w:rPr>
        <w:t>Business Requirements Document</w:t>
      </w:r>
    </w:p>
    <w:p w14:paraId="00100002" w14:textId="00100003">
      <w:pPr>
        <w:jc w:val="center"/>
      </w:pPr>
      <w:r>
        <w:t>Project: Issue and Defect Tracking System in SAP</w:t>
      </w:r>
    </w:p>
    <w:p w14:paraId="00100004" w14:textId="00100005">
      <w:pPr>
        <w:jc w:val="center"/>
      </w:pPr>
      <w:r>
        <w:t>Document type: Business Requirements Document (BRD)</w:t>
      </w:r>
    </w:p>
    <w:p w14:paraId="00100006" w14:textId="00100007">
      <w:pPr>
        <w:jc w:val="center"/>
      </w:pPr>
      <w:r>
        <w:t>Language: English</w:t>
      </w:r>
    </w:p>
    <w:p w14:paraId="00100008" w14:textId="00100009">
      <w:pPr>
        <w:jc w:val="center"/>
      </w:pPr>
      <w:r>
        <w:t>Status: Draft v1.4</w:t>
      </w:r>
    </w:p>
    <w:p w14:paraId="0010000A" w14:textId="0010000B">
      <w:pPr>
        <w:jc w:val="center"/>
      </w:pPr>
      <w:r>
        <w:t>Last updated: 2026-07-11</w:t>
      </w:r>
    </w:p>
    <w:p w14:paraId="0010000C" w14:textId="0010000D">
      <w:pPr>
        <w:jc w:val="center"/>
      </w:pPr>
      <w:r>
        <w:t>Prepared for: SAP490 project delivery and mentor review</w:t>
      </w:r>
    </w:p>
    <w:p w14:paraId="0010000E" w14:textId="0010000F">
      <w:r>
        <w:br w:type="page"/>
      </w:r>
    </w:p>
    <w:p w14:paraId="00100010" w14:textId="00100011">
      <w:r>
        <w:t>Document style: SAP490 hybrid, business-first with light SAP implementation context</w:t>
      </w:r>
    </w:p>
    <w:p w14:paraId="00100012" w14:textId="00100013">
      <w:pPr>
        <w:pStyle w:val="Heading2"/>
      </w:pPr>
      <w:r>
        <w:t>1. Document Control</w:t>
      </w:r>
    </w:p>
    <w:p w14:paraId="00100014" w14:textId="00100015">
      <w:pPr>
        <w:pStyle w:val="Heading3"/>
      </w:pPr>
      <w:r>
        <w:t>1.1 Version History</w:t>
      </w:r>
    </w:p>
    <w:tbl>
      <w:tblPr>
        <w:tblStyle w:val="TableGrid"/>
        <w:tblW w:w="0" w:type="auto"/>
        <w:tblLayout w:type="autofit"/>
        <w:tblLook w:val="04A0" w:firstRow="1" w:lastRow="0" w:firstColumn="1" w:lastColumn="0" w:noHBand="0" w:noVBand="1"/>
      </w:tblPr>
      <w:tblGrid>
        <w:gridCol w:w="1662"/>
        <w:gridCol w:w="1662"/>
        <w:gridCol w:w="1662"/>
        <w:gridCol w:w="1662"/>
        <w:gridCol w:w="1662"/>
        <w:gridCol w:w="1662"/>
      </w:tblGrid>
      <w:tr>
        <w:tc>
          <w:tcPr>
            <w:tcW w:w="1662" w:type="dxa"/>
            <w:shd w:val="clear" w:fill="D9E2F3"/>
            <w:vAlign w:val="center"/>
          </w:tcPr>
          <w:p w14:paraId="00100016" w14:textId="00100017">
            <w:r/>
            <w:r>
              <w:rPr>
                <w:rFonts w:ascii="Arial" w:hAnsi="Arial"/>
                <w:b/>
                <w:sz w:val="18"/>
              </w:rPr>
              <w:t>Version</w:t>
            </w:r>
          </w:p>
        </w:tc>
        <w:tc>
          <w:tcPr>
            <w:tcW w:w="1662" w:type="dxa"/>
            <w:shd w:val="clear" w:fill="D9E2F3"/>
            <w:vAlign w:val="center"/>
          </w:tcPr>
          <w:p w14:paraId="00100018" w14:textId="00100019">
            <w:r/>
            <w:r>
              <w:rPr>
                <w:rFonts w:ascii="Arial" w:hAnsi="Arial"/>
                <w:b/>
                <w:sz w:val="18"/>
              </w:rPr>
              <w:t>Date</w:t>
            </w:r>
          </w:p>
        </w:tc>
        <w:tc>
          <w:tcPr>
            <w:tcW w:w="1662" w:type="dxa"/>
            <w:shd w:val="clear" w:fill="D9E2F3"/>
            <w:vAlign w:val="center"/>
          </w:tcPr>
          <w:p w14:paraId="0010001A" w14:textId="0010001B">
            <w:r/>
            <w:r>
              <w:rPr>
                <w:rFonts w:ascii="Arial" w:hAnsi="Arial"/>
                <w:b/>
                <w:sz w:val="18"/>
              </w:rPr>
              <w:t>Author</w:t>
            </w:r>
          </w:p>
        </w:tc>
        <w:tc>
          <w:tcPr>
            <w:tcW w:w="1662" w:type="dxa"/>
            <w:shd w:val="clear" w:fill="D9E2F3"/>
            <w:vAlign w:val="center"/>
          </w:tcPr>
          <w:p w14:paraId="0010001C" w14:textId="0010001D">
            <w:r/>
            <w:r>
              <w:rPr>
                <w:rFonts w:ascii="Arial" w:hAnsi="Arial"/>
                <w:b/>
                <w:sz w:val="18"/>
              </w:rPr>
              <w:t>Reviewer</w:t>
            </w:r>
          </w:p>
        </w:tc>
        <w:tc>
          <w:tcPr>
            <w:tcW w:w="1662" w:type="dxa"/>
            <w:shd w:val="clear" w:fill="D9E2F3"/>
            <w:vAlign w:val="center"/>
          </w:tcPr>
          <w:p w14:paraId="0010001E" w14:textId="0010001F">
            <w:r/>
            <w:r>
              <w:rPr>
                <w:rFonts w:ascii="Arial" w:hAnsi="Arial"/>
                <w:b/>
                <w:sz w:val="18"/>
              </w:rPr>
              <w:t>Change Summary</w:t>
            </w:r>
          </w:p>
        </w:tc>
        <w:tc>
          <w:tcPr>
            <w:tcW w:w="1662" w:type="dxa"/>
            <w:shd w:val="clear" w:fill="D9E2F3"/>
            <w:vAlign w:val="center"/>
          </w:tcPr>
          <w:p w14:paraId="00100020" w14:textId="00100021">
            <w:r/>
            <w:r>
              <w:rPr>
                <w:rFonts w:ascii="Arial" w:hAnsi="Arial"/>
                <w:b/>
                <w:sz w:val="18"/>
              </w:rPr>
              <w:t>Approval Status</w:t>
            </w:r>
          </w:p>
        </w:tc>
      </w:tr>
      <w:tr>
        <w:tc>
          <w:tcPr>
            <w:tcW w:w="1662" w:type="dxa"/>
            <w:vAlign w:val="center"/>
          </w:tcPr>
          <w:p w14:paraId="00100022" w14:textId="00100023">
            <w:r/>
            <w:r>
              <w:rPr>
                <w:rFonts w:ascii="Arial" w:hAnsi="Arial"/>
                <w:b w:val="0"/>
                <w:sz w:val="18"/>
              </w:rPr>
              <w:t>v1.0</w:t>
            </w:r>
          </w:p>
        </w:tc>
        <w:tc>
          <w:tcPr>
            <w:tcW w:w="1662" w:type="dxa"/>
            <w:vAlign w:val="center"/>
          </w:tcPr>
          <w:p w14:paraId="00100024" w14:textId="00100025">
            <w:r/>
            <w:r>
              <w:rPr>
                <w:rFonts w:ascii="Arial" w:hAnsi="Arial"/>
                <w:b w:val="0"/>
                <w:sz w:val="18"/>
              </w:rPr>
              <w:t>2026-06-01</w:t>
            </w:r>
          </w:p>
        </w:tc>
        <w:tc>
          <w:tcPr>
            <w:tcW w:w="1662" w:type="dxa"/>
            <w:vAlign w:val="center"/>
          </w:tcPr>
          <w:p w14:paraId="00100026" w14:textId="00100027">
            <w:r/>
            <w:r>
              <w:rPr>
                <w:rFonts w:ascii="Arial" w:hAnsi="Arial"/>
                <w:b w:val="0"/>
                <w:sz w:val="18"/>
              </w:rPr>
              <w:t>IDTS Project Team</w:t>
            </w:r>
          </w:p>
        </w:tc>
        <w:tc>
          <w:tcPr>
            <w:tcW w:w="1662" w:type="dxa"/>
            <w:vAlign w:val="center"/>
          </w:tcPr>
          <w:p w14:paraId="00100028" w14:textId="00100029">
            <w:r/>
            <w:r>
              <w:rPr>
                <w:rFonts w:ascii="Arial" w:hAnsi="Arial"/>
                <w:b w:val="0"/>
                <w:sz w:val="18"/>
              </w:rPr>
              <w:t>Mentor / Supervisor</w:t>
            </w:r>
          </w:p>
        </w:tc>
        <w:tc>
          <w:tcPr>
            <w:tcW w:w="1662" w:type="dxa"/>
            <w:vAlign w:val="center"/>
          </w:tcPr>
          <w:p w14:paraId="0010002A" w14:textId="0010002B">
            <w:r/>
            <w:r>
              <w:rPr>
                <w:rFonts w:ascii="Arial" w:hAnsi="Arial"/>
                <w:b w:val="0"/>
                <w:sz w:val="18"/>
              </w:rPr>
              <w:t>Initial BRD draft based on IDTS business baseline, BA pack, PM pack, and SAP490 guidance.</w:t>
            </w:r>
          </w:p>
        </w:tc>
        <w:tc>
          <w:tcPr>
            <w:tcW w:w="1662" w:type="dxa"/>
            <w:vAlign w:val="center"/>
          </w:tcPr>
          <w:p w14:paraId="0010002C" w14:textId="0010002D">
            <w:r/>
            <w:r>
              <w:rPr>
                <w:rFonts w:ascii="Arial" w:hAnsi="Arial"/>
                <w:b w:val="0"/>
                <w:sz w:val="18"/>
              </w:rPr>
              <w:t>Draft</w:t>
            </w:r>
          </w:p>
        </w:tc>
      </w:tr>
      <w:tr>
        <w:tc>
          <w:tcPr>
            <w:tcW w:w="1662" w:type="dxa"/>
            <w:vAlign w:val="center"/>
          </w:tcPr>
          <w:p w14:paraId="0010002E" w14:textId="0010002F">
            <w:r/>
            <w:r>
              <w:rPr>
                <w:rFonts w:ascii="Arial" w:hAnsi="Arial"/>
                <w:b w:val="0"/>
                <w:sz w:val="18"/>
              </w:rPr>
              <w:t>v1.1</w:t>
            </w:r>
          </w:p>
        </w:tc>
        <w:tc>
          <w:tcPr>
            <w:tcW w:w="1662" w:type="dxa"/>
            <w:vAlign w:val="center"/>
          </w:tcPr>
          <w:p w14:paraId="00100030" w14:textId="00100031">
            <w:r/>
            <w:r>
              <w:rPr>
                <w:rFonts w:ascii="Arial" w:hAnsi="Arial"/>
                <w:b w:val="0"/>
                <w:sz w:val="18"/>
              </w:rPr>
              <w:t>2026-06-01</w:t>
            </w:r>
          </w:p>
        </w:tc>
        <w:tc>
          <w:tcPr>
            <w:tcW w:w="1662" w:type="dxa"/>
            <w:vAlign w:val="center"/>
          </w:tcPr>
          <w:p w14:paraId="00100032" w14:textId="00100033">
            <w:r/>
            <w:r>
              <w:rPr>
                <w:rFonts w:ascii="Arial" w:hAnsi="Arial"/>
                <w:b w:val="0"/>
                <w:sz w:val="18"/>
              </w:rPr>
              <w:t>IDTS Project Team</w:t>
            </w:r>
          </w:p>
        </w:tc>
        <w:tc>
          <w:tcPr>
            <w:tcW w:w="1662" w:type="dxa"/>
            <w:vAlign w:val="center"/>
          </w:tcPr>
          <w:p w14:paraId="00100034" w14:textId="00100035">
            <w:r/>
            <w:r>
              <w:rPr>
                <w:rFonts w:ascii="Arial" w:hAnsi="Arial"/>
                <w:b w:val="0"/>
                <w:sz w:val="18"/>
              </w:rPr>
              <w:t>Mentor / Supervisor</w:t>
            </w:r>
          </w:p>
        </w:tc>
        <w:tc>
          <w:tcPr>
            <w:tcW w:w="1662" w:type="dxa"/>
            <w:vAlign w:val="center"/>
          </w:tcPr>
          <w:p w14:paraId="00100036" w14:textId="00100037">
            <w:r/>
            <w:r>
              <w:rPr>
                <w:rFonts w:ascii="Arial" w:hAnsi="Arial"/>
                <w:b w:val="0"/>
                <w:sz w:val="18"/>
              </w:rPr>
              <w:t>Revised into SAP490 hybrid BRD: reduced technical detail, added stakeholder needs, KPIs, RACI, NFRs, glossary, approval, and requirement traceability.</w:t>
            </w:r>
          </w:p>
        </w:tc>
        <w:tc>
          <w:tcPr>
            <w:tcW w:w="1662" w:type="dxa"/>
            <w:vAlign w:val="center"/>
          </w:tcPr>
          <w:p w14:paraId="00100038" w14:textId="00100039">
            <w:r/>
            <w:r>
              <w:rPr>
                <w:rFonts w:ascii="Arial" w:hAnsi="Arial"/>
                <w:b w:val="0"/>
                <w:sz w:val="18"/>
              </w:rPr>
              <w:t>Draft</w:t>
            </w:r>
          </w:p>
        </w:tc>
      </w:tr>
      <w:tr>
        <w:tc>
          <w:tcPr>
            <w:tcW w:w="1662" w:type="dxa"/>
            <w:vAlign w:val="center"/>
          </w:tcPr>
          <w:p w14:paraId="0010003A" w14:textId="0010003B">
            <w:r/>
            <w:r>
              <w:rPr>
                <w:rFonts w:ascii="Arial" w:hAnsi="Arial"/>
                <w:b w:val="0"/>
                <w:sz w:val="18"/>
              </w:rPr>
              <w:t>v1.2</w:t>
            </w:r>
          </w:p>
        </w:tc>
        <w:tc>
          <w:tcPr>
            <w:tcW w:w="1662" w:type="dxa"/>
            <w:vAlign w:val="center"/>
          </w:tcPr>
          <w:p w14:paraId="0010003C" w14:textId="0010003D">
            <w:r/>
            <w:r>
              <w:rPr>
                <w:rFonts w:ascii="Arial" w:hAnsi="Arial"/>
                <w:b w:val="0"/>
                <w:sz w:val="18"/>
              </w:rPr>
              <w:t>2026-06-03</w:t>
            </w:r>
          </w:p>
        </w:tc>
        <w:tc>
          <w:tcPr>
            <w:tcW w:w="1662" w:type="dxa"/>
            <w:vAlign w:val="center"/>
          </w:tcPr>
          <w:p w14:paraId="0010003E" w14:textId="0010003F">
            <w:r/>
            <w:r>
              <w:rPr>
                <w:rFonts w:ascii="Arial" w:hAnsi="Arial"/>
                <w:b w:val="0"/>
                <w:sz w:val="18"/>
              </w:rPr>
              <w:t>IDTS Project Team</w:t>
            </w:r>
          </w:p>
        </w:tc>
        <w:tc>
          <w:tcPr>
            <w:tcW w:w="1662" w:type="dxa"/>
            <w:vAlign w:val="center"/>
          </w:tcPr>
          <w:p w14:paraId="00100040" w14:textId="00100041">
            <w:r/>
            <w:r>
              <w:rPr>
                <w:rFonts w:ascii="Arial" w:hAnsi="Arial"/>
                <w:b w:val="0"/>
                <w:sz w:val="18"/>
              </w:rPr>
              <w:t>Mentor / Supervisor</w:t>
            </w:r>
          </w:p>
        </w:tc>
        <w:tc>
          <w:tcPr>
            <w:tcW w:w="1662" w:type="dxa"/>
            <w:vAlign w:val="center"/>
          </w:tcPr>
          <w:p w14:paraId="00100042" w14:textId="00100043">
            <w:r/>
            <w:r>
              <w:rPr>
                <w:rFonts w:ascii="Arial" w:hAnsi="Arial"/>
                <w:b w:val="0"/>
                <w:sz w:val="18"/>
              </w:rPr>
              <w:t>Updated MVP role baseline to three active roles: Tester, Developer, and PM. Reporter and Admin are deferred as separate roles and no longer appear as active MVP RACI columns.</w:t>
            </w:r>
          </w:p>
        </w:tc>
        <w:tc>
          <w:tcPr>
            <w:tcW w:w="1662" w:type="dxa"/>
            <w:vAlign w:val="center"/>
          </w:tcPr>
          <w:p w14:paraId="00100044" w14:textId="00100045">
            <w:r/>
            <w:r>
              <w:rPr>
                <w:rFonts w:ascii="Arial" w:hAnsi="Arial"/>
                <w:b w:val="0"/>
                <w:sz w:val="18"/>
              </w:rPr>
              <w:t>Draft</w:t>
            </w:r>
          </w:p>
        </w:tc>
      </w:tr>
      <w:tr>
        <w:tc>
          <w:tcPr>
            <w:tcW w:w="1662" w:type="dxa"/>
            <w:vAlign w:val="center"/>
          </w:tcPr>
          <w:p w14:paraId="00100046" w14:textId="00100047">
            <w:r/>
            <w:r>
              <w:rPr>
                <w:rFonts w:ascii="Arial" w:hAnsi="Arial"/>
                <w:b w:val="0"/>
                <w:sz w:val="18"/>
              </w:rPr>
              <w:t>v1.3</w:t>
            </w:r>
          </w:p>
        </w:tc>
        <w:tc>
          <w:tcPr>
            <w:tcW w:w="1662" w:type="dxa"/>
            <w:vAlign w:val="center"/>
          </w:tcPr>
          <w:p w14:paraId="00100048" w14:textId="00100049">
            <w:r/>
            <w:r>
              <w:rPr>
                <w:rFonts w:ascii="Arial" w:hAnsi="Arial"/>
                <w:b w:val="0"/>
                <w:sz w:val="18"/>
              </w:rPr>
              <w:t>2026-07-10</w:t>
            </w:r>
          </w:p>
        </w:tc>
        <w:tc>
          <w:tcPr>
            <w:tcW w:w="1662" w:type="dxa"/>
            <w:vAlign w:val="center"/>
          </w:tcPr>
          <w:p w14:paraId="0010004A" w14:textId="0010004B">
            <w:r/>
            <w:r>
              <w:rPr>
                <w:rFonts w:ascii="Arial" w:hAnsi="Arial"/>
                <w:b w:val="0"/>
                <w:sz w:val="18"/>
              </w:rPr>
              <w:t>IDTS Project Team</w:t>
            </w:r>
          </w:p>
        </w:tc>
        <w:tc>
          <w:tcPr>
            <w:tcW w:w="1662" w:type="dxa"/>
            <w:vAlign w:val="center"/>
          </w:tcPr>
          <w:p w14:paraId="0010004C" w14:textId="0010004D">
            <w:r/>
            <w:r>
              <w:rPr>
                <w:rFonts w:ascii="Arial" w:hAnsi="Arial"/>
                <w:b w:val="0"/>
                <w:sz w:val="18"/>
              </w:rPr>
              <w:t>Mentor / Supervisor</w:t>
            </w:r>
          </w:p>
        </w:tc>
        <w:tc>
          <w:tcPr>
            <w:tcW w:w="1662" w:type="dxa"/>
            <w:vAlign w:val="center"/>
          </w:tcPr>
          <w:p w14:paraId="0010004E" w14:textId="0010004F">
            <w:r/>
            <w:r>
              <w:rPr>
                <w:rFonts w:ascii="Arial" w:hAnsi="Arial"/>
                <w:b w:val="0"/>
                <w:sz w:val="18"/>
              </w:rPr>
              <w:t>Synced current implementation and review baseline: CAP/Fiori MVP workflow, audit/notification/attachment flows, PM monitoring, and optional human-review AI assistance.</w:t>
            </w:r>
          </w:p>
        </w:tc>
        <w:tc>
          <w:tcPr>
            <w:tcW w:w="1662" w:type="dxa"/>
            <w:vAlign w:val="center"/>
          </w:tcPr>
          <w:p w14:paraId="00100050" w14:textId="00100051">
            <w:r/>
            <w:r>
              <w:rPr>
                <w:rFonts w:ascii="Arial" w:hAnsi="Arial"/>
                <w:b w:val="0"/>
                <w:sz w:val="18"/>
              </w:rPr>
              <w:t>Draft</w:t>
            </w:r>
          </w:p>
        </w:tc>
      </w:tr>
      <w:tr>
        <w:tc>
          <w:tcPr>
            <w:tcW w:w="1662" w:type="dxa"/>
            <w:vAlign w:val="center"/>
          </w:tcPr>
          <w:p w14:paraId="00100052" w14:textId="00100053">
            <w:r/>
            <w:r>
              <w:rPr>
                <w:rFonts w:ascii="Arial" w:hAnsi="Arial"/>
                <w:b w:val="0"/>
                <w:sz w:val="18"/>
              </w:rPr>
              <w:t>v1.4</w:t>
            </w:r>
          </w:p>
        </w:tc>
        <w:tc>
          <w:tcPr>
            <w:tcW w:w="1662" w:type="dxa"/>
            <w:vAlign w:val="center"/>
          </w:tcPr>
          <w:p w14:paraId="00100054" w14:textId="00100055">
            <w:r/>
            <w:r>
              <w:rPr>
                <w:rFonts w:ascii="Arial" w:hAnsi="Arial"/>
                <w:b w:val="0"/>
                <w:sz w:val="18"/>
              </w:rPr>
              <w:t>2026-07-11</w:t>
            </w:r>
          </w:p>
        </w:tc>
        <w:tc>
          <w:tcPr>
            <w:tcW w:w="1662" w:type="dxa"/>
            <w:vAlign w:val="center"/>
          </w:tcPr>
          <w:p w14:paraId="00100056" w14:textId="00100057">
            <w:r/>
            <w:r>
              <w:rPr>
                <w:rFonts w:ascii="Arial" w:hAnsi="Arial"/>
                <w:b w:val="0"/>
                <w:sz w:val="18"/>
              </w:rPr>
              <w:t>IDTS Project Team</w:t>
            </w:r>
          </w:p>
        </w:tc>
        <w:tc>
          <w:tcPr>
            <w:tcW w:w="1662" w:type="dxa"/>
            <w:vAlign w:val="center"/>
          </w:tcPr>
          <w:p w14:paraId="00100058" w14:textId="00100059">
            <w:r/>
            <w:r>
              <w:rPr>
                <w:rFonts w:ascii="Arial" w:hAnsi="Arial"/>
                <w:b w:val="0"/>
                <w:sz w:val="18"/>
              </w:rPr>
              <w:t>Mentor / Supervisor</w:t>
            </w:r>
          </w:p>
        </w:tc>
        <w:tc>
          <w:tcPr>
            <w:tcW w:w="1662" w:type="dxa"/>
            <w:vAlign w:val="center"/>
          </w:tcPr>
          <w:p w14:paraId="0010005A" w14:textId="0010005B">
            <w:r/>
            <w:r>
              <w:rPr>
                <w:rFonts w:ascii="Arial" w:hAnsi="Arial"/>
                <w:b w:val="0"/>
                <w:sz w:val="18"/>
              </w:rPr>
              <w:t>Added rendered business-review figures and Diagram Pack traceability; canonical diagram source remains version controlled.</w:t>
            </w:r>
          </w:p>
        </w:tc>
        <w:tc>
          <w:tcPr>
            <w:tcW w:w="1662" w:type="dxa"/>
            <w:vAlign w:val="center"/>
          </w:tcPr>
          <w:p w14:paraId="0010005C" w14:textId="0010005D">
            <w:r/>
            <w:r>
              <w:rPr>
                <w:rFonts w:ascii="Arial" w:hAnsi="Arial"/>
                <w:b w:val="0"/>
                <w:sz w:val="18"/>
              </w:rPr>
              <w:t>Draft</w:t>
            </w:r>
          </w:p>
        </w:tc>
      </w:tr>
    </w:tbl>
    <w:p w14:paraId="0010005E" w14:textId="0010005F">
      <w:pPr>
        <w:pStyle w:val="Heading3"/>
      </w:pPr>
      <w:r>
        <w:t>1.2 Review and Sign-Off</w:t>
      </w:r>
    </w:p>
    <w:tbl>
      <w:tblPr>
        <w:tblStyle w:val="TableGrid"/>
        <w:tblW w:w="0" w:type="auto"/>
        <w:tblLayout w:type="autofit"/>
        <w:tblLook w:val="04A0" w:firstRow="1" w:lastRow="0" w:firstColumn="1" w:lastColumn="0" w:noHBand="0" w:noVBand="1"/>
      </w:tblPr>
      <w:tblGrid>
        <w:gridCol w:w="1994"/>
        <w:gridCol w:w="1994"/>
        <w:gridCol w:w="1994"/>
        <w:gridCol w:w="1994"/>
        <w:gridCol w:w="1994"/>
      </w:tblGrid>
      <w:tr>
        <w:tc>
          <w:tcPr>
            <w:tcW w:w="1994" w:type="dxa"/>
            <w:shd w:val="clear" w:fill="D9E2F3"/>
            <w:vAlign w:val="center"/>
          </w:tcPr>
          <w:p w14:paraId="00100060" w14:textId="00100061">
            <w:r/>
            <w:r>
              <w:rPr>
                <w:rFonts w:ascii="Arial" w:hAnsi="Arial"/>
                <w:b/>
                <w:sz w:val="18"/>
              </w:rPr>
              <w:t>Role</w:t>
            </w:r>
          </w:p>
        </w:tc>
        <w:tc>
          <w:tcPr>
            <w:tcW w:w="1994" w:type="dxa"/>
            <w:shd w:val="clear" w:fill="D9E2F3"/>
            <w:vAlign w:val="center"/>
          </w:tcPr>
          <w:p w14:paraId="00100062" w14:textId="00100063">
            <w:r/>
            <w:r>
              <w:rPr>
                <w:rFonts w:ascii="Arial" w:hAnsi="Arial"/>
                <w:b/>
                <w:sz w:val="18"/>
              </w:rPr>
              <w:t>Name</w:t>
            </w:r>
          </w:p>
        </w:tc>
        <w:tc>
          <w:tcPr>
            <w:tcW w:w="1994" w:type="dxa"/>
            <w:shd w:val="clear" w:fill="D9E2F3"/>
            <w:vAlign w:val="center"/>
          </w:tcPr>
          <w:p w14:paraId="00100064" w14:textId="00100065">
            <w:r/>
            <w:r>
              <w:rPr>
                <w:rFonts w:ascii="Arial" w:hAnsi="Arial"/>
                <w:b/>
                <w:sz w:val="18"/>
              </w:rPr>
              <w:t>Responsibility</w:t>
            </w:r>
          </w:p>
        </w:tc>
        <w:tc>
          <w:tcPr>
            <w:tcW w:w="1994" w:type="dxa"/>
            <w:shd w:val="clear" w:fill="D9E2F3"/>
            <w:vAlign w:val="center"/>
          </w:tcPr>
          <w:p w14:paraId="00100066" w14:textId="00100067">
            <w:r/>
            <w:r>
              <w:rPr>
                <w:rFonts w:ascii="Arial" w:hAnsi="Arial"/>
                <w:b/>
                <w:sz w:val="18"/>
              </w:rPr>
              <w:t>Status</w:t>
            </w:r>
          </w:p>
        </w:tc>
        <w:tc>
          <w:tcPr>
            <w:tcW w:w="1994" w:type="dxa"/>
            <w:shd w:val="clear" w:fill="D9E2F3"/>
            <w:vAlign w:val="center"/>
          </w:tcPr>
          <w:p w14:paraId="00100068" w14:textId="00100069">
            <w:r/>
            <w:r>
              <w:rPr>
                <w:rFonts w:ascii="Arial" w:hAnsi="Arial"/>
                <w:b/>
                <w:sz w:val="18"/>
              </w:rPr>
              <w:t>Date</w:t>
            </w:r>
          </w:p>
        </w:tc>
      </w:tr>
      <w:tr>
        <w:tc>
          <w:tcPr>
            <w:tcW w:w="1994" w:type="dxa"/>
            <w:vAlign w:val="center"/>
          </w:tcPr>
          <w:p w14:paraId="0010006A" w14:textId="0010006B">
            <w:r/>
            <w:r>
              <w:rPr>
                <w:rFonts w:ascii="Arial" w:hAnsi="Arial"/>
                <w:b w:val="0"/>
                <w:sz w:val="18"/>
              </w:rPr>
              <w:t>Prepared by</w:t>
            </w:r>
          </w:p>
        </w:tc>
        <w:tc>
          <w:tcPr>
            <w:tcW w:w="1994" w:type="dxa"/>
            <w:vAlign w:val="center"/>
          </w:tcPr>
          <w:p w14:paraId="0010006C" w14:textId="0010006D">
            <w:r/>
            <w:r>
              <w:rPr>
                <w:rFonts w:ascii="Arial" w:hAnsi="Arial"/>
                <w:b w:val="0"/>
                <w:sz w:val="18"/>
              </w:rPr>
              <w:t>IDTS Project Team</w:t>
            </w:r>
          </w:p>
        </w:tc>
        <w:tc>
          <w:tcPr>
            <w:tcW w:w="1994" w:type="dxa"/>
            <w:vAlign w:val="center"/>
          </w:tcPr>
          <w:p w14:paraId="0010006E" w14:textId="0010006F">
            <w:r/>
            <w:r>
              <w:rPr>
                <w:rFonts w:ascii="Arial" w:hAnsi="Arial"/>
                <w:b w:val="0"/>
                <w:sz w:val="18"/>
              </w:rPr>
              <w:t>Prepare and maintain BRD</w:t>
            </w:r>
          </w:p>
        </w:tc>
        <w:tc>
          <w:tcPr>
            <w:tcW w:w="1994" w:type="dxa"/>
            <w:vAlign w:val="center"/>
          </w:tcPr>
          <w:p w14:paraId="00100070" w14:textId="00100071">
            <w:r/>
            <w:r>
              <w:rPr>
                <w:rFonts w:ascii="Arial" w:hAnsi="Arial"/>
                <w:b w:val="0"/>
                <w:sz w:val="18"/>
              </w:rPr>
              <w:t>Drafted</w:t>
            </w:r>
          </w:p>
        </w:tc>
        <w:tc>
          <w:tcPr>
            <w:tcW w:w="1994" w:type="dxa"/>
            <w:vAlign w:val="center"/>
          </w:tcPr>
          <w:p w14:paraId="00100072" w14:textId="00100073">
            <w:r/>
            <w:r>
              <w:rPr>
                <w:rFonts w:ascii="Arial" w:hAnsi="Arial"/>
                <w:b w:val="0"/>
                <w:sz w:val="18"/>
              </w:rPr>
              <w:t>2026-06-01</w:t>
            </w:r>
          </w:p>
        </w:tc>
      </w:tr>
      <w:tr>
        <w:tc>
          <w:tcPr>
            <w:tcW w:w="1994" w:type="dxa"/>
            <w:vAlign w:val="center"/>
          </w:tcPr>
          <w:p w14:paraId="00100074" w14:textId="00100075">
            <w:r/>
            <w:r>
              <w:rPr>
                <w:rFonts w:ascii="Arial" w:hAnsi="Arial"/>
                <w:b w:val="0"/>
                <w:sz w:val="18"/>
              </w:rPr>
              <w:t>Reviewed by</w:t>
            </w:r>
          </w:p>
        </w:tc>
        <w:tc>
          <w:tcPr>
            <w:tcW w:w="1994" w:type="dxa"/>
            <w:vAlign w:val="center"/>
          </w:tcPr>
          <w:p w14:paraId="00100076" w14:textId="00100077">
            <w:r/>
            <w:r>
              <w:rPr>
                <w:rFonts w:ascii="Arial" w:hAnsi="Arial"/>
                <w:b w:val="0"/>
                <w:sz w:val="18"/>
              </w:rPr>
              <w:t>Mentor / Supervisor</w:t>
            </w:r>
          </w:p>
        </w:tc>
        <w:tc>
          <w:tcPr>
            <w:tcW w:w="1994" w:type="dxa"/>
            <w:vAlign w:val="center"/>
          </w:tcPr>
          <w:p w14:paraId="00100078" w14:textId="00100079">
            <w:r/>
            <w:r>
              <w:rPr>
                <w:rFonts w:ascii="Arial" w:hAnsi="Arial"/>
                <w:b w:val="0"/>
                <w:sz w:val="18"/>
              </w:rPr>
              <w:t>Review business scope and SAP490 fit</w:t>
            </w:r>
          </w:p>
        </w:tc>
        <w:tc>
          <w:tcPr>
            <w:tcW w:w="1994" w:type="dxa"/>
            <w:vAlign w:val="center"/>
          </w:tcPr>
          <w:p w14:paraId="0010007A" w14:textId="0010007B">
            <w:r/>
            <w:r>
              <w:rPr>
                <w:rFonts w:ascii="Arial" w:hAnsi="Arial"/>
                <w:b w:val="0"/>
                <w:sz w:val="18"/>
              </w:rPr>
              <w:t>Pending</w:t>
            </w:r>
          </w:p>
        </w:tc>
        <w:tc>
          <w:tcPr>
            <w:tcW w:w="1994" w:type="dxa"/>
            <w:vAlign w:val="center"/>
          </w:tcPr>
          <w:p w14:paraId="0010007C" w14:textId="0010007D">
            <w:r/>
            <w:r>
              <w:rPr>
                <w:rFonts w:ascii="Arial" w:hAnsi="Arial"/>
                <w:b w:val="0"/>
                <w:sz w:val="18"/>
              </w:rPr>
              <w:t>TBD</w:t>
            </w:r>
          </w:p>
        </w:tc>
      </w:tr>
      <w:tr>
        <w:tc>
          <w:tcPr>
            <w:tcW w:w="1994" w:type="dxa"/>
            <w:vAlign w:val="center"/>
          </w:tcPr>
          <w:p w14:paraId="0010007E" w14:textId="0010007F">
            <w:r/>
            <w:r>
              <w:rPr>
                <w:rFonts w:ascii="Arial" w:hAnsi="Arial"/>
                <w:b w:val="0"/>
                <w:sz w:val="18"/>
              </w:rPr>
              <w:t>Approved by</w:t>
            </w:r>
          </w:p>
        </w:tc>
        <w:tc>
          <w:tcPr>
            <w:tcW w:w="1994" w:type="dxa"/>
            <w:vAlign w:val="center"/>
          </w:tcPr>
          <w:p w14:paraId="00100080" w14:textId="00100081">
            <w:r/>
            <w:r>
              <w:rPr>
                <w:rFonts w:ascii="Arial" w:hAnsi="Arial"/>
                <w:b w:val="0"/>
                <w:sz w:val="18"/>
              </w:rPr>
              <w:t>Mentor / Supervisor</w:t>
            </w:r>
          </w:p>
        </w:tc>
        <w:tc>
          <w:tcPr>
            <w:tcW w:w="1994" w:type="dxa"/>
            <w:vAlign w:val="center"/>
          </w:tcPr>
          <w:p w14:paraId="00100082" w14:textId="00100083">
            <w:r/>
            <w:r>
              <w:rPr>
                <w:rFonts w:ascii="Arial" w:hAnsi="Arial"/>
                <w:b w:val="0"/>
                <w:sz w:val="18"/>
              </w:rPr>
              <w:t>Approve BRD baseline for SRS/FRS</w:t>
            </w:r>
          </w:p>
        </w:tc>
        <w:tc>
          <w:tcPr>
            <w:tcW w:w="1994" w:type="dxa"/>
            <w:vAlign w:val="center"/>
          </w:tcPr>
          <w:p w14:paraId="00100084" w14:textId="00100085">
            <w:r/>
            <w:r>
              <w:rPr>
                <w:rFonts w:ascii="Arial" w:hAnsi="Arial"/>
                <w:b w:val="0"/>
                <w:sz w:val="18"/>
              </w:rPr>
              <w:t>Pending</w:t>
            </w:r>
          </w:p>
        </w:tc>
        <w:tc>
          <w:tcPr>
            <w:tcW w:w="1994" w:type="dxa"/>
            <w:vAlign w:val="center"/>
          </w:tcPr>
          <w:p w14:paraId="00100086" w14:textId="00100087">
            <w:r/>
            <w:r>
              <w:rPr>
                <w:rFonts w:ascii="Arial" w:hAnsi="Arial"/>
                <w:b w:val="0"/>
                <w:sz w:val="18"/>
              </w:rPr>
              <w:t>TBD</w:t>
            </w:r>
          </w:p>
        </w:tc>
      </w:tr>
      <w:tr>
        <w:tc>
          <w:tcPr>
            <w:tcW w:w="1994" w:type="dxa"/>
            <w:vAlign w:val="center"/>
          </w:tcPr>
          <w:p w14:paraId="00100088" w14:textId="00100089">
            <w:r/>
            <w:r>
              <w:rPr>
                <w:rFonts w:ascii="Arial" w:hAnsi="Arial"/>
                <w:b w:val="0"/>
                <w:sz w:val="18"/>
              </w:rPr>
              <w:t>Project owner</w:t>
            </w:r>
          </w:p>
        </w:tc>
        <w:tc>
          <w:tcPr>
            <w:tcW w:w="1994" w:type="dxa"/>
            <w:vAlign w:val="center"/>
          </w:tcPr>
          <w:p w14:paraId="0010008A" w14:textId="0010008B">
            <w:r/>
            <w:r>
              <w:rPr>
                <w:rFonts w:ascii="Arial" w:hAnsi="Arial"/>
                <w:b w:val="0"/>
                <w:sz w:val="18"/>
              </w:rPr>
              <w:t>Team / PM</w:t>
            </w:r>
          </w:p>
        </w:tc>
        <w:tc>
          <w:tcPr>
            <w:tcW w:w="1994" w:type="dxa"/>
            <w:vAlign w:val="center"/>
          </w:tcPr>
          <w:p w14:paraId="0010008C" w14:textId="0010008D">
            <w:r/>
            <w:r>
              <w:rPr>
                <w:rFonts w:ascii="Arial" w:hAnsi="Arial"/>
                <w:b w:val="0"/>
                <w:sz w:val="18"/>
              </w:rPr>
              <w:t>Confirm MVP scope and delivery priority</w:t>
            </w:r>
          </w:p>
        </w:tc>
        <w:tc>
          <w:tcPr>
            <w:tcW w:w="1994" w:type="dxa"/>
            <w:vAlign w:val="center"/>
          </w:tcPr>
          <w:p w14:paraId="0010008E" w14:textId="0010008F">
            <w:r/>
            <w:r>
              <w:rPr>
                <w:rFonts w:ascii="Arial" w:hAnsi="Arial"/>
                <w:b w:val="0"/>
                <w:sz w:val="18"/>
              </w:rPr>
              <w:t>Pending</w:t>
            </w:r>
          </w:p>
        </w:tc>
        <w:tc>
          <w:tcPr>
            <w:tcW w:w="1994" w:type="dxa"/>
            <w:vAlign w:val="center"/>
          </w:tcPr>
          <w:p w14:paraId="00100090" w14:textId="00100091">
            <w:r/>
            <w:r>
              <w:rPr>
                <w:rFonts w:ascii="Arial" w:hAnsi="Arial"/>
                <w:b w:val="0"/>
                <w:sz w:val="18"/>
              </w:rPr>
              <w:t>TBD</w:t>
            </w:r>
          </w:p>
        </w:tc>
      </w:tr>
    </w:tbl>
    <w:p w14:paraId="00100092" w14:textId="00100093">
      <w:pPr>
        <w:pStyle w:val="Heading3"/>
      </w:pPr>
      <w:r>
        <w:t>1.3 Document Purpose</w:t>
      </w:r>
    </w:p>
    <w:p w14:paraId="00100094" w14:textId="00100095">
      <w:r>
        <w:t>This BRD defines the business need, objectives, stakeholders, scope, high-level business requirements, business rules, risks, and success criteria for the Issue and Defect Tracking System in SAP (IDTS). It is intended to align the project team and mentor before detailed SRS, FRS, technical design, and SAP CAP/Fiori implementation work.</w:t>
      </w:r>
    </w:p>
    <w:p w14:paraId="00100096" w14:textId="00100097">
      <w:r>
        <w:t>This is a SAP490 hybrid BRD. It keeps the document business-first, while briefly recording that the expected implementation direction is SAP CAP Node.js, OData V4, SAP Fiori Elements/SAPUI5, and local SQLite for development. Detailed technical design belongs in later SRS, FRS, architecture, and implementation documents.</w:t>
      </w:r>
    </w:p>
    <w:p w14:paraId="00100098" w14:textId="00100099">
      <w:pPr>
        <w:pStyle w:val="Heading2"/>
      </w:pPr>
      <w:r>
        <w:t>2. Executive Summary</w:t>
      </w:r>
    </w:p>
    <w:p w14:paraId="0010009A" w14:textId="0010009B">
      <w:r>
        <w:t>IDTS is a focused defect tracking system for SAP software testing. Its business purpose is to help the team record, classify, assign, review, track, retest, close, audit, and monitor bugs or defects found during SAP-related testing.</w:t>
      </w:r>
    </w:p>
    <w:p w14:paraId="0010009C" w14:textId="0010009D">
      <w:r>
        <w:t>The key business problem is that defects can be duplicated, assigned to the wrong person, forgotten after rejection, closed without proper verification, or monitored manually without a clear owner. IDTS addresses this by defining a controlled workflow for Tester, Developer, and PM responsibilities.</w:t>
      </w:r>
    </w:p>
    <w:p w14:paraId="0010009E" w14:textId="0010009F">
      <w:r>
        <w:t>IDTS is intentionally limited in scope. It is not a full Jira replacement, not SAP Cloud ALM, not SAP Solution Manager, not ServiceNow, not a source-code management tool, and not a CI/CD or code review workflow. Developers use IDTS to review assigned bugs, request more information, reject unsuitable assignments or classifications with reason, add notes, and update processing status. They do not fix source code inside IDTS.</w:t>
      </w:r>
    </w:p>
    <w:p w14:paraId="001000A0" w14:textId="001000A1">
      <w:pPr>
        <w:pStyle w:val="Heading2"/>
      </w:pPr>
      <w:r>
        <w:t>3. Business Context and Drivers</w:t>
      </w:r>
    </w:p>
    <w:p w14:paraId="001000A2" w14:textId="001000A3">
      <w:r>
        <w:t>In SAP software projects, defects may appear in business module behavior, custom Fiori applications, CAP backend services, authorization, database behavior, integration, reporting, or notifications. If these defects are tracked through scattered notes, manual messages, or informal spreadsheets, the team can lose traceability and PM visibility.</w:t>
      </w:r>
    </w:p>
    <w:p w14:paraId="001000A4" w14:textId="001000A5">
      <w:r>
        <w:t>The project needs a structured defect workflow that is small enough for SAP490 delivery but strong enough to demonstrate business analysis, SAP-oriented application design, role-based processing, auditability, and Fiori-ready user experience.</w:t>
      </w:r>
    </w:p>
    <w:tbl>
      <w:tblPr>
        <w:tblStyle w:val="TableGrid"/>
        <w:tblW w:w="0" w:type="auto"/>
        <w:tblLayout w:type="autofit"/>
        <w:tblLook w:val="04A0" w:firstRow="1" w:lastRow="0" w:firstColumn="1" w:lastColumn="0" w:noHBand="0" w:noVBand="1"/>
      </w:tblPr>
      <w:tblGrid>
        <w:gridCol w:w="3324"/>
        <w:gridCol w:w="3324"/>
        <w:gridCol w:w="3324"/>
      </w:tblGrid>
      <w:tr>
        <w:tc>
          <w:tcPr>
            <w:tcW w:w="3324" w:type="dxa"/>
            <w:shd w:val="clear" w:fill="D9E2F3"/>
            <w:vAlign w:val="center"/>
          </w:tcPr>
          <w:p w14:paraId="001000A6" w14:textId="001000A7">
            <w:r/>
            <w:r>
              <w:rPr>
                <w:rFonts w:ascii="Arial" w:hAnsi="Arial"/>
                <w:b/>
                <w:sz w:val="18"/>
              </w:rPr>
              <w:t>Business Driver</w:t>
            </w:r>
          </w:p>
        </w:tc>
        <w:tc>
          <w:tcPr>
            <w:tcW w:w="3324" w:type="dxa"/>
            <w:shd w:val="clear" w:fill="D9E2F3"/>
            <w:vAlign w:val="center"/>
          </w:tcPr>
          <w:p w14:paraId="001000A8" w14:textId="001000A9">
            <w:r/>
            <w:r>
              <w:rPr>
                <w:rFonts w:ascii="Arial" w:hAnsi="Arial"/>
                <w:b/>
                <w:sz w:val="18"/>
              </w:rPr>
              <w:t>Description</w:t>
            </w:r>
          </w:p>
        </w:tc>
        <w:tc>
          <w:tcPr>
            <w:tcW w:w="3324" w:type="dxa"/>
            <w:shd w:val="clear" w:fill="D9E2F3"/>
            <w:vAlign w:val="center"/>
          </w:tcPr>
          <w:p w14:paraId="001000AA" w14:textId="001000AB">
            <w:r/>
            <w:r>
              <w:rPr>
                <w:rFonts w:ascii="Arial" w:hAnsi="Arial"/>
                <w:b/>
                <w:sz w:val="18"/>
              </w:rPr>
              <w:t>Impact if not addressed</w:t>
            </w:r>
          </w:p>
        </w:tc>
      </w:tr>
      <w:tr>
        <w:tc>
          <w:tcPr>
            <w:tcW w:w="3324" w:type="dxa"/>
            <w:vAlign w:val="center"/>
          </w:tcPr>
          <w:p w14:paraId="001000AC" w14:textId="001000AD">
            <w:r/>
            <w:r>
              <w:rPr>
                <w:rFonts w:ascii="Arial" w:hAnsi="Arial"/>
                <w:b w:val="0"/>
                <w:sz w:val="18"/>
              </w:rPr>
              <w:t>Reduce duplicate reports</w:t>
            </w:r>
          </w:p>
        </w:tc>
        <w:tc>
          <w:tcPr>
            <w:tcW w:w="3324" w:type="dxa"/>
            <w:vAlign w:val="center"/>
          </w:tcPr>
          <w:p w14:paraId="001000AE" w14:textId="001000AF">
            <w:r/>
            <w:r>
              <w:rPr>
                <w:rFonts w:ascii="Arial" w:hAnsi="Arial"/>
                <w:b w:val="0"/>
                <w:sz w:val="18"/>
              </w:rPr>
              <w:t>Testers should check existing bugs before creating new ones.</w:t>
            </w:r>
          </w:p>
        </w:tc>
        <w:tc>
          <w:tcPr>
            <w:tcW w:w="3324" w:type="dxa"/>
            <w:vAlign w:val="center"/>
          </w:tcPr>
          <w:p w14:paraId="001000B0" w14:textId="001000B1">
            <w:r/>
            <w:r>
              <w:rPr>
                <w:rFonts w:ascii="Arial" w:hAnsi="Arial"/>
                <w:b w:val="0"/>
                <w:sz w:val="18"/>
              </w:rPr>
              <w:t>Duplicate effort and unclear defect ownership.</w:t>
            </w:r>
          </w:p>
        </w:tc>
      </w:tr>
      <w:tr>
        <w:tc>
          <w:tcPr>
            <w:tcW w:w="3324" w:type="dxa"/>
            <w:vAlign w:val="center"/>
          </w:tcPr>
          <w:p w14:paraId="001000B2" w14:textId="001000B3">
            <w:r/>
            <w:r>
              <w:rPr>
                <w:rFonts w:ascii="Arial" w:hAnsi="Arial"/>
                <w:b w:val="0"/>
                <w:sz w:val="18"/>
              </w:rPr>
              <w:t>Improve assignment quality</w:t>
            </w:r>
          </w:p>
        </w:tc>
        <w:tc>
          <w:tcPr>
            <w:tcW w:w="3324" w:type="dxa"/>
            <w:vAlign w:val="center"/>
          </w:tcPr>
          <w:p w14:paraId="001000B4" w14:textId="001000B5">
            <w:r/>
            <w:r>
              <w:rPr>
                <w:rFonts w:ascii="Arial" w:hAnsi="Arial"/>
                <w:b w:val="0"/>
                <w:sz w:val="18"/>
              </w:rPr>
              <w:t>Developers should be selected by responsibility, not only by manual guess.</w:t>
            </w:r>
          </w:p>
        </w:tc>
        <w:tc>
          <w:tcPr>
            <w:tcW w:w="3324" w:type="dxa"/>
            <w:vAlign w:val="center"/>
          </w:tcPr>
          <w:p w14:paraId="001000B6" w14:textId="001000B7">
            <w:r/>
            <w:r>
              <w:rPr>
                <w:rFonts w:ascii="Arial" w:hAnsi="Arial"/>
                <w:b w:val="0"/>
                <w:sz w:val="18"/>
              </w:rPr>
              <w:t>Wrong assignee, delays, rejection loops.</w:t>
            </w:r>
          </w:p>
        </w:tc>
      </w:tr>
      <w:tr>
        <w:tc>
          <w:tcPr>
            <w:tcW w:w="3324" w:type="dxa"/>
            <w:vAlign w:val="center"/>
          </w:tcPr>
          <w:p w14:paraId="001000B8" w14:textId="001000B9">
            <w:r/>
            <w:r>
              <w:rPr>
                <w:rFonts w:ascii="Arial" w:hAnsi="Arial"/>
                <w:b w:val="0"/>
                <w:sz w:val="18"/>
              </w:rPr>
              <w:t>Preserve traceability</w:t>
            </w:r>
          </w:p>
        </w:tc>
        <w:tc>
          <w:tcPr>
            <w:tcW w:w="3324" w:type="dxa"/>
            <w:vAlign w:val="center"/>
          </w:tcPr>
          <w:p w14:paraId="001000BA" w14:textId="001000BB">
            <w:r/>
            <w:r>
              <w:rPr>
                <w:rFonts w:ascii="Arial" w:hAnsi="Arial"/>
                <w:b w:val="0"/>
                <w:sz w:val="18"/>
              </w:rPr>
              <w:t>Important actions must be visible through history logs.</w:t>
            </w:r>
          </w:p>
        </w:tc>
        <w:tc>
          <w:tcPr>
            <w:tcW w:w="3324" w:type="dxa"/>
            <w:vAlign w:val="center"/>
          </w:tcPr>
          <w:p w14:paraId="001000BC" w14:textId="001000BD">
            <w:r/>
            <w:r>
              <w:rPr>
                <w:rFonts w:ascii="Arial" w:hAnsi="Arial"/>
                <w:b w:val="0"/>
                <w:sz w:val="18"/>
              </w:rPr>
              <w:t>Mentor/team cannot prove what changed, who acted, or why.</w:t>
            </w:r>
          </w:p>
        </w:tc>
      </w:tr>
      <w:tr>
        <w:tc>
          <w:tcPr>
            <w:tcW w:w="3324" w:type="dxa"/>
            <w:vAlign w:val="center"/>
          </w:tcPr>
          <w:p w14:paraId="001000BE" w14:textId="001000BF">
            <w:r/>
            <w:r>
              <w:rPr>
                <w:rFonts w:ascii="Arial" w:hAnsi="Arial"/>
                <w:b w:val="0"/>
                <w:sz w:val="18"/>
              </w:rPr>
              <w:t>Clarify next action ownership</w:t>
            </w:r>
          </w:p>
        </w:tc>
        <w:tc>
          <w:tcPr>
            <w:tcW w:w="3324" w:type="dxa"/>
            <w:vAlign w:val="center"/>
          </w:tcPr>
          <w:p w14:paraId="001000C0" w14:textId="001000C1">
            <w:r/>
            <w:r>
              <w:rPr>
                <w:rFonts w:ascii="Arial" w:hAnsi="Arial"/>
                <w:b w:val="0"/>
                <w:sz w:val="18"/>
              </w:rPr>
              <w:t>Every active bug should show who must act next.</w:t>
            </w:r>
          </w:p>
        </w:tc>
        <w:tc>
          <w:tcPr>
            <w:tcW w:w="3324" w:type="dxa"/>
            <w:vAlign w:val="center"/>
          </w:tcPr>
          <w:p w14:paraId="001000C2" w14:textId="001000C3">
            <w:r/>
            <w:r>
              <w:rPr>
                <w:rFonts w:ascii="Arial" w:hAnsi="Arial"/>
                <w:b w:val="0"/>
                <w:sz w:val="18"/>
              </w:rPr>
              <w:t>Bugs may become stuck after rejection, request for information, or pending assignment.</w:t>
            </w:r>
          </w:p>
        </w:tc>
      </w:tr>
      <w:tr>
        <w:tc>
          <w:tcPr>
            <w:tcW w:w="3324" w:type="dxa"/>
            <w:vAlign w:val="center"/>
          </w:tcPr>
          <w:p w14:paraId="001000C4" w14:textId="001000C5">
            <w:r/>
            <w:r>
              <w:rPr>
                <w:rFonts w:ascii="Arial" w:hAnsi="Arial"/>
                <w:b w:val="0"/>
                <w:sz w:val="18"/>
              </w:rPr>
              <w:t>Improve PM monitoring</w:t>
            </w:r>
          </w:p>
        </w:tc>
        <w:tc>
          <w:tcPr>
            <w:tcW w:w="3324" w:type="dxa"/>
            <w:vAlign w:val="center"/>
          </w:tcPr>
          <w:p w14:paraId="001000C6" w14:textId="001000C7">
            <w:r/>
            <w:r>
              <w:rPr>
                <w:rFonts w:ascii="Arial" w:hAnsi="Arial"/>
                <w:b w:val="0"/>
                <w:sz w:val="18"/>
              </w:rPr>
              <w:t>PM needs visibility into workload, overdue bugs, and bottlenecks.</w:t>
            </w:r>
          </w:p>
        </w:tc>
        <w:tc>
          <w:tcPr>
            <w:tcW w:w="3324" w:type="dxa"/>
            <w:vAlign w:val="center"/>
          </w:tcPr>
          <w:p w14:paraId="001000C8" w14:textId="001000C9">
            <w:r/>
            <w:r>
              <w:rPr>
                <w:rFonts w:ascii="Arial" w:hAnsi="Arial"/>
                <w:b w:val="0"/>
                <w:sz w:val="18"/>
              </w:rPr>
              <w:t>Project risks are discovered late.</w:t>
            </w:r>
          </w:p>
        </w:tc>
      </w:tr>
      <w:tr>
        <w:tc>
          <w:tcPr>
            <w:tcW w:w="3324" w:type="dxa"/>
            <w:vAlign w:val="center"/>
          </w:tcPr>
          <w:p w14:paraId="001000CA" w14:textId="001000CB">
            <w:r/>
            <w:r>
              <w:rPr>
                <w:rFonts w:ascii="Arial" w:hAnsi="Arial"/>
                <w:b w:val="0"/>
                <w:sz w:val="18"/>
              </w:rPr>
              <w:t>Fit SAP490 delivery</w:t>
            </w:r>
          </w:p>
        </w:tc>
        <w:tc>
          <w:tcPr>
            <w:tcW w:w="3324" w:type="dxa"/>
            <w:vAlign w:val="center"/>
          </w:tcPr>
          <w:p w14:paraId="001000CC" w14:textId="001000CD">
            <w:r/>
            <w:r>
              <w:rPr>
                <w:rFonts w:ascii="Arial" w:hAnsi="Arial"/>
                <w:b w:val="0"/>
                <w:sz w:val="18"/>
              </w:rPr>
              <w:t>Deliverables must show clear SAP-oriented scope and implementation feasibility.</w:t>
            </w:r>
          </w:p>
        </w:tc>
        <w:tc>
          <w:tcPr>
            <w:tcW w:w="3324" w:type="dxa"/>
            <w:vAlign w:val="center"/>
          </w:tcPr>
          <w:p w14:paraId="001000CE" w14:textId="001000CF">
            <w:r/>
            <w:r>
              <w:rPr>
                <w:rFonts w:ascii="Arial" w:hAnsi="Arial"/>
                <w:b w:val="0"/>
                <w:sz w:val="18"/>
              </w:rPr>
              <w:t>Final report may not match mentor or school expectations.</w:t>
            </w:r>
          </w:p>
        </w:tc>
      </w:tr>
    </w:tbl>
    <w:p w14:paraId="001000D0" w14:textId="001000D1">
      <w:pPr>
        <w:pStyle w:val="Heading2"/>
      </w:pPr>
      <w:r>
        <w:t>4. Business Problem Statement</w:t>
      </w:r>
    </w:p>
    <w:p w14:paraId="001000D2" w14:textId="001000D3">
      <w:r>
        <w:t>The current project baseline identifies these core business problems:</w:t>
      </w:r>
    </w:p>
    <w:p w14:paraId="001000D4" w14:textId="001000D5">
      <w:pPr>
        <w:pStyle w:val="ListBullet"/>
      </w:pPr>
      <w:r>
        <w:t>Bug reports need a consistent structure before the team can process them.</w:t>
      </w:r>
    </w:p>
    <w:p w14:paraId="001000D6" w14:textId="001000D7">
      <w:pPr>
        <w:pStyle w:val="ListBullet"/>
      </w:pPr>
      <w:r>
        <w:t>Duplicate bug reports may be created when existing bugs are not checked.</w:t>
      </w:r>
    </w:p>
    <w:p w14:paraId="001000D8" w14:textId="001000D9">
      <w:pPr>
        <w:pStyle w:val="ListBullet"/>
      </w:pPr>
      <w:r>
        <w:t>A single vague "module/category" field is not clear enough for SAP defect classification.</w:t>
      </w:r>
    </w:p>
    <w:p w14:paraId="001000DA" w14:textId="001000DB">
      <w:pPr>
        <w:pStyle w:val="ListBullet"/>
      </w:pPr>
      <w:r>
        <w:t>SAP Module, Application Component, and Defect Category can be misunderstood if not separated.</w:t>
      </w:r>
    </w:p>
    <w:p w14:paraId="001000DC" w14:textId="001000DD">
      <w:pPr>
        <w:pStyle w:val="ListBullet"/>
      </w:pPr>
      <w:r>
        <w:t>Developers may receive bugs outside their responsibility area.</w:t>
      </w:r>
    </w:p>
    <w:p w14:paraId="001000DE" w14:textId="001000DF">
      <w:pPr>
        <w:pStyle w:val="ListBullet"/>
      </w:pPr>
      <w:r>
        <w:t>Valid bugs without a suitable Developer need a visible Pending Assignment state.</w:t>
      </w:r>
    </w:p>
    <w:p w14:paraId="001000E0" w14:textId="001000E1">
      <w:pPr>
        <w:pStyle w:val="ListBullet"/>
      </w:pPr>
      <w:r>
        <w:t>Developers need a controlled way to request more information or reject unsuitable assignments.</w:t>
      </w:r>
    </w:p>
    <w:p w14:paraId="001000E2" w14:textId="001000E3">
      <w:pPr>
        <w:pStyle w:val="ListBullet"/>
      </w:pPr>
      <w:r>
        <w:t>Rejected bugs must not become dead ends; they need a reason, follow-up owner, and next action.</w:t>
      </w:r>
    </w:p>
    <w:p w14:paraId="001000E4" w14:textId="001000E5">
      <w:pPr>
        <w:pStyle w:val="ListBullet"/>
      </w:pPr>
      <w:r>
        <w:t>PM needs visibility into workload, overdue bugs, pending assignment, rejected follow-up, and current action ownership.</w:t>
      </w:r>
    </w:p>
    <w:p w14:paraId="001000E6" w14:textId="001000E7">
      <w:pPr>
        <w:pStyle w:val="ListBullet"/>
      </w:pPr>
      <w:r>
        <w:t>Important business actions need audit/history logs and notification records.</w:t>
      </w:r>
    </w:p>
    <w:p w14:paraId="001000E8" w14:textId="001000E9">
      <w:pPr>
        <w:pStyle w:val="Heading2"/>
      </w:pPr>
      <w:r>
        <w:t>5. Business Objectives and Measurements</w:t>
      </w:r>
    </w:p>
    <w:tbl>
      <w:tblPr>
        <w:tblStyle w:val="TableGrid"/>
        <w:tblW w:w="0" w:type="auto"/>
        <w:tblLayout w:type="autofit"/>
        <w:tblLook w:val="04A0" w:firstRow="1" w:lastRow="0" w:firstColumn="1" w:lastColumn="0" w:noHBand="0" w:noVBand="1"/>
      </w:tblPr>
      <w:tblGrid>
        <w:gridCol w:w="2493"/>
        <w:gridCol w:w="2493"/>
        <w:gridCol w:w="2493"/>
        <w:gridCol w:w="2493"/>
      </w:tblGrid>
      <w:tr>
        <w:tc>
          <w:tcPr>
            <w:tcW w:w="2493" w:type="dxa"/>
            <w:shd w:val="clear" w:fill="D9E2F3"/>
            <w:vAlign w:val="center"/>
          </w:tcPr>
          <w:p w14:paraId="001000EA" w14:textId="001000EB">
            <w:r/>
            <w:r>
              <w:rPr>
                <w:rFonts w:ascii="Arial" w:hAnsi="Arial"/>
                <w:b/>
                <w:sz w:val="18"/>
              </w:rPr>
              <w:t>Objective</w:t>
            </w:r>
          </w:p>
        </w:tc>
        <w:tc>
          <w:tcPr>
            <w:tcW w:w="2493" w:type="dxa"/>
            <w:shd w:val="clear" w:fill="D9E2F3"/>
            <w:vAlign w:val="center"/>
          </w:tcPr>
          <w:p w14:paraId="001000EC" w14:textId="001000ED">
            <w:r/>
            <w:r>
              <w:rPr>
                <w:rFonts w:ascii="Arial" w:hAnsi="Arial"/>
                <w:b/>
                <w:sz w:val="18"/>
              </w:rPr>
              <w:t>Business outcome</w:t>
            </w:r>
          </w:p>
        </w:tc>
        <w:tc>
          <w:tcPr>
            <w:tcW w:w="2493" w:type="dxa"/>
            <w:shd w:val="clear" w:fill="D9E2F3"/>
            <w:vAlign w:val="center"/>
          </w:tcPr>
          <w:p w14:paraId="001000EE" w14:textId="001000EF">
            <w:r/>
            <w:r>
              <w:rPr>
                <w:rFonts w:ascii="Arial" w:hAnsi="Arial"/>
                <w:b/>
                <w:sz w:val="18"/>
              </w:rPr>
              <w:t>Measurement / KPI</w:t>
            </w:r>
          </w:p>
        </w:tc>
        <w:tc>
          <w:tcPr>
            <w:tcW w:w="2493" w:type="dxa"/>
            <w:shd w:val="clear" w:fill="D9E2F3"/>
            <w:vAlign w:val="center"/>
          </w:tcPr>
          <w:p w14:paraId="001000F0" w14:textId="001000F1">
            <w:r/>
            <w:r>
              <w:rPr>
                <w:rFonts w:ascii="Arial" w:hAnsi="Arial"/>
                <w:b/>
                <w:sz w:val="18"/>
              </w:rPr>
              <w:t>MVP target</w:t>
            </w:r>
          </w:p>
        </w:tc>
      </w:tr>
      <w:tr>
        <w:tc>
          <w:tcPr>
            <w:tcW w:w="2493" w:type="dxa"/>
            <w:vAlign w:val="center"/>
          </w:tcPr>
          <w:p w14:paraId="001000F2" w14:textId="001000F3">
            <w:r/>
            <w:r>
              <w:rPr>
                <w:rFonts w:ascii="Arial" w:hAnsi="Arial"/>
                <w:b w:val="0"/>
                <w:sz w:val="18"/>
              </w:rPr>
              <w:t>Digitize defect reporting</w:t>
            </w:r>
          </w:p>
        </w:tc>
        <w:tc>
          <w:tcPr>
            <w:tcW w:w="2493" w:type="dxa"/>
            <w:vAlign w:val="center"/>
          </w:tcPr>
          <w:p w14:paraId="001000F4" w14:textId="001000F5">
            <w:r/>
            <w:r>
              <w:rPr>
                <w:rFonts w:ascii="Arial" w:hAnsi="Arial"/>
                <w:b w:val="0"/>
                <w:sz w:val="18"/>
              </w:rPr>
              <w:t>Bug reports are created in a structured format.</w:t>
            </w:r>
          </w:p>
        </w:tc>
        <w:tc>
          <w:tcPr>
            <w:tcW w:w="2493" w:type="dxa"/>
            <w:vAlign w:val="center"/>
          </w:tcPr>
          <w:p w14:paraId="001000F6" w14:textId="001000F7">
            <w:r/>
            <w:r>
              <w:rPr>
                <w:rFonts w:ascii="Arial" w:hAnsi="Arial"/>
                <w:b w:val="0"/>
                <w:sz w:val="18"/>
              </w:rPr>
              <w:t>% submitted bugs with mandatory information.</w:t>
            </w:r>
          </w:p>
        </w:tc>
        <w:tc>
          <w:tcPr>
            <w:tcW w:w="2493" w:type="dxa"/>
            <w:vAlign w:val="center"/>
          </w:tcPr>
          <w:p w14:paraId="001000F8" w14:textId="001000F9">
            <w:r/>
            <w:r>
              <w:rPr>
                <w:rFonts w:ascii="Arial" w:hAnsi="Arial"/>
                <w:b w:val="0"/>
                <w:sz w:val="18"/>
              </w:rPr>
              <w:t>100% of created bugs pass required-field validation.</w:t>
            </w:r>
          </w:p>
        </w:tc>
      </w:tr>
      <w:tr>
        <w:tc>
          <w:tcPr>
            <w:tcW w:w="2493" w:type="dxa"/>
            <w:vAlign w:val="center"/>
          </w:tcPr>
          <w:p w14:paraId="001000FA" w14:textId="001000FB">
            <w:r/>
            <w:r>
              <w:rPr>
                <w:rFonts w:ascii="Arial" w:hAnsi="Arial"/>
                <w:b w:val="0"/>
                <w:sz w:val="18"/>
              </w:rPr>
              <w:t>Reduce duplicate defects</w:t>
            </w:r>
          </w:p>
        </w:tc>
        <w:tc>
          <w:tcPr>
            <w:tcW w:w="2493" w:type="dxa"/>
            <w:vAlign w:val="center"/>
          </w:tcPr>
          <w:p w14:paraId="001000FC" w14:textId="001000FD">
            <w:r/>
            <w:r>
              <w:rPr>
                <w:rFonts w:ascii="Arial" w:hAnsi="Arial"/>
                <w:b w:val="0"/>
                <w:sz w:val="18"/>
              </w:rPr>
              <w:t>Testers search existing bugs before creation.</w:t>
            </w:r>
          </w:p>
        </w:tc>
        <w:tc>
          <w:tcPr>
            <w:tcW w:w="2493" w:type="dxa"/>
            <w:vAlign w:val="center"/>
          </w:tcPr>
          <w:p w14:paraId="001000FE" w14:textId="001000FF">
            <w:r/>
            <w:r>
              <w:rPr>
                <w:rFonts w:ascii="Arial" w:hAnsi="Arial"/>
                <w:b w:val="0"/>
                <w:sz w:val="18"/>
              </w:rPr>
              <w:t>Duplicate search step exists in creation flow.</w:t>
            </w:r>
          </w:p>
        </w:tc>
        <w:tc>
          <w:tcPr>
            <w:tcW w:w="2493" w:type="dxa"/>
            <w:vAlign w:val="center"/>
          </w:tcPr>
          <w:p w14:paraId="00100100" w14:textId="00100101">
            <w:r/>
            <w:r>
              <w:rPr>
                <w:rFonts w:ascii="Arial" w:hAnsi="Arial"/>
                <w:b w:val="0"/>
                <w:sz w:val="18"/>
              </w:rPr>
              <w:t>Creation flow includes duplicate search/filter support.</w:t>
            </w:r>
          </w:p>
        </w:tc>
      </w:tr>
      <w:tr>
        <w:tc>
          <w:tcPr>
            <w:tcW w:w="2493" w:type="dxa"/>
            <w:vAlign w:val="center"/>
          </w:tcPr>
          <w:p w14:paraId="00100102" w14:textId="00100103">
            <w:r/>
            <w:r>
              <w:rPr>
                <w:rFonts w:ascii="Arial" w:hAnsi="Arial"/>
                <w:b w:val="0"/>
                <w:sz w:val="18"/>
              </w:rPr>
              <w:t>Improve classification quality</w:t>
            </w:r>
          </w:p>
        </w:tc>
        <w:tc>
          <w:tcPr>
            <w:tcW w:w="2493" w:type="dxa"/>
            <w:vAlign w:val="center"/>
          </w:tcPr>
          <w:p w14:paraId="00100104" w14:textId="00100105">
            <w:r/>
            <w:r>
              <w:rPr>
                <w:rFonts w:ascii="Arial" w:hAnsi="Arial"/>
                <w:b w:val="0"/>
                <w:sz w:val="18"/>
              </w:rPr>
              <w:t>Bugs use clear classification dimensions.</w:t>
            </w:r>
          </w:p>
        </w:tc>
        <w:tc>
          <w:tcPr>
            <w:tcW w:w="2493" w:type="dxa"/>
            <w:vAlign w:val="center"/>
          </w:tcPr>
          <w:p w14:paraId="00100106" w14:textId="00100107">
            <w:r/>
            <w:r>
              <w:rPr>
                <w:rFonts w:ascii="Arial" w:hAnsi="Arial"/>
                <w:b w:val="0"/>
                <w:sz w:val="18"/>
              </w:rPr>
              <w:t>% bugs with Application Component and Defect Category.</w:t>
            </w:r>
          </w:p>
        </w:tc>
        <w:tc>
          <w:tcPr>
            <w:tcW w:w="2493" w:type="dxa"/>
            <w:vAlign w:val="center"/>
          </w:tcPr>
          <w:p w14:paraId="00100108" w14:textId="00100109">
            <w:r/>
            <w:r>
              <w:rPr>
                <w:rFonts w:ascii="Arial" w:hAnsi="Arial"/>
                <w:b w:val="0"/>
                <w:sz w:val="18"/>
              </w:rPr>
              <w:t>100% for required classification fields.</w:t>
            </w:r>
          </w:p>
        </w:tc>
      </w:tr>
      <w:tr>
        <w:tc>
          <w:tcPr>
            <w:tcW w:w="2493" w:type="dxa"/>
            <w:vAlign w:val="center"/>
          </w:tcPr>
          <w:p w14:paraId="0010010A" w14:textId="0010010B">
            <w:r/>
            <w:r>
              <w:rPr>
                <w:rFonts w:ascii="Arial" w:hAnsi="Arial"/>
                <w:b w:val="0"/>
                <w:sz w:val="18"/>
              </w:rPr>
              <w:t>Improve assignment accuracy</w:t>
            </w:r>
          </w:p>
        </w:tc>
        <w:tc>
          <w:tcPr>
            <w:tcW w:w="2493" w:type="dxa"/>
            <w:vAlign w:val="center"/>
          </w:tcPr>
          <w:p w14:paraId="0010010C" w14:textId="0010010D">
            <w:r/>
            <w:r>
              <w:rPr>
                <w:rFonts w:ascii="Arial" w:hAnsi="Arial"/>
                <w:b w:val="0"/>
                <w:sz w:val="18"/>
              </w:rPr>
              <w:t>Developer list is based on responsibility mapping.</w:t>
            </w:r>
          </w:p>
        </w:tc>
        <w:tc>
          <w:tcPr>
            <w:tcW w:w="2493" w:type="dxa"/>
            <w:vAlign w:val="center"/>
          </w:tcPr>
          <w:p w14:paraId="0010010E" w14:textId="0010010F">
            <w:r/>
            <w:r>
              <w:rPr>
                <w:rFonts w:ascii="Arial" w:hAnsi="Arial"/>
                <w:b w:val="0"/>
                <w:sz w:val="18"/>
              </w:rPr>
              <w:t>Assignee candidates are filtered by Component Category and optional SAP Module.</w:t>
            </w:r>
          </w:p>
        </w:tc>
        <w:tc>
          <w:tcPr>
            <w:tcW w:w="2493" w:type="dxa"/>
            <w:vAlign w:val="center"/>
          </w:tcPr>
          <w:p w14:paraId="00100110" w14:textId="00100111">
            <w:r/>
            <w:r>
              <w:rPr>
                <w:rFonts w:ascii="Arial" w:hAnsi="Arial"/>
                <w:b w:val="0"/>
                <w:sz w:val="18"/>
              </w:rPr>
              <w:t>Filtered developer selection exists.</w:t>
            </w:r>
          </w:p>
        </w:tc>
      </w:tr>
      <w:tr>
        <w:tc>
          <w:tcPr>
            <w:tcW w:w="2493" w:type="dxa"/>
            <w:vAlign w:val="center"/>
          </w:tcPr>
          <w:p w14:paraId="00100112" w14:textId="00100113">
            <w:r/>
            <w:r>
              <w:rPr>
                <w:rFonts w:ascii="Arial" w:hAnsi="Arial"/>
                <w:b w:val="0"/>
                <w:sz w:val="18"/>
              </w:rPr>
              <w:t>Avoid unowned valid bugs</w:t>
            </w:r>
          </w:p>
        </w:tc>
        <w:tc>
          <w:tcPr>
            <w:tcW w:w="2493" w:type="dxa"/>
            <w:vAlign w:val="center"/>
          </w:tcPr>
          <w:p w14:paraId="00100114" w14:textId="00100115">
            <w:r/>
            <w:r>
              <w:rPr>
                <w:rFonts w:ascii="Arial" w:hAnsi="Arial"/>
                <w:b w:val="0"/>
                <w:sz w:val="18"/>
              </w:rPr>
              <w:t>Bugs without suitable Developer remain visible.</w:t>
            </w:r>
          </w:p>
        </w:tc>
        <w:tc>
          <w:tcPr>
            <w:tcW w:w="2493" w:type="dxa"/>
            <w:vAlign w:val="center"/>
          </w:tcPr>
          <w:p w14:paraId="00100116" w14:textId="00100117">
            <w:r/>
            <w:r>
              <w:rPr>
                <w:rFonts w:ascii="Arial" w:hAnsi="Arial"/>
                <w:b w:val="0"/>
                <w:sz w:val="18"/>
              </w:rPr>
              <w:t>Bugs can enter Pending Assignment queue.</w:t>
            </w:r>
          </w:p>
        </w:tc>
        <w:tc>
          <w:tcPr>
            <w:tcW w:w="2493" w:type="dxa"/>
            <w:vAlign w:val="center"/>
          </w:tcPr>
          <w:p w14:paraId="00100118" w14:textId="00100119">
            <w:r/>
            <w:r>
              <w:rPr>
                <w:rFonts w:ascii="Arial" w:hAnsi="Arial"/>
                <w:b w:val="0"/>
                <w:sz w:val="18"/>
              </w:rPr>
              <w:t>Pending Assignment queue exists.</w:t>
            </w:r>
          </w:p>
        </w:tc>
      </w:tr>
      <w:tr>
        <w:tc>
          <w:tcPr>
            <w:tcW w:w="2493" w:type="dxa"/>
            <w:vAlign w:val="center"/>
          </w:tcPr>
          <w:p w14:paraId="0010011A" w14:textId="0010011B">
            <w:r/>
            <w:r>
              <w:rPr>
                <w:rFonts w:ascii="Arial" w:hAnsi="Arial"/>
                <w:b w:val="0"/>
                <w:sz w:val="18"/>
              </w:rPr>
              <w:t>Prevent rejected bug dead ends</w:t>
            </w:r>
          </w:p>
        </w:tc>
        <w:tc>
          <w:tcPr>
            <w:tcW w:w="2493" w:type="dxa"/>
            <w:vAlign w:val="center"/>
          </w:tcPr>
          <w:p w14:paraId="0010011C" w14:textId="0010011D">
            <w:r/>
            <w:r>
              <w:rPr>
                <w:rFonts w:ascii="Arial" w:hAnsi="Arial"/>
                <w:b w:val="0"/>
                <w:sz w:val="18"/>
              </w:rPr>
              <w:t>Rejected bugs have reason, nextProcessor, and next action.</w:t>
            </w:r>
          </w:p>
        </w:tc>
        <w:tc>
          <w:tcPr>
            <w:tcW w:w="2493" w:type="dxa"/>
            <w:vAlign w:val="center"/>
          </w:tcPr>
          <w:p w14:paraId="0010011E" w14:textId="0010011F">
            <w:r/>
            <w:r>
              <w:rPr>
                <w:rFonts w:ascii="Arial" w:hAnsi="Arial"/>
                <w:b w:val="0"/>
                <w:sz w:val="18"/>
              </w:rPr>
              <w:t>% rejected bugs with required follow-up data.</w:t>
            </w:r>
          </w:p>
        </w:tc>
        <w:tc>
          <w:tcPr>
            <w:tcW w:w="2493" w:type="dxa"/>
            <w:vAlign w:val="center"/>
          </w:tcPr>
          <w:p w14:paraId="00100120" w14:textId="00100121">
            <w:r/>
            <w:r>
              <w:rPr>
                <w:rFonts w:ascii="Arial" w:hAnsi="Arial"/>
                <w:b w:val="0"/>
                <w:sz w:val="18"/>
              </w:rPr>
              <w:t>100%.</w:t>
            </w:r>
          </w:p>
        </w:tc>
      </w:tr>
      <w:tr>
        <w:tc>
          <w:tcPr>
            <w:tcW w:w="2493" w:type="dxa"/>
            <w:vAlign w:val="center"/>
          </w:tcPr>
          <w:p w14:paraId="00100122" w14:textId="00100123">
            <w:r/>
            <w:r>
              <w:rPr>
                <w:rFonts w:ascii="Arial" w:hAnsi="Arial"/>
                <w:b w:val="0"/>
                <w:sz w:val="18"/>
              </w:rPr>
              <w:t>Improve PM visibility</w:t>
            </w:r>
          </w:p>
        </w:tc>
        <w:tc>
          <w:tcPr>
            <w:tcW w:w="2493" w:type="dxa"/>
            <w:vAlign w:val="center"/>
          </w:tcPr>
          <w:p w14:paraId="00100124" w14:textId="00100125">
            <w:r/>
            <w:r>
              <w:rPr>
                <w:rFonts w:ascii="Arial" w:hAnsi="Arial"/>
                <w:b w:val="0"/>
                <w:sz w:val="18"/>
              </w:rPr>
              <w:t>PM sees workload, overdue, status, and queue views.</w:t>
            </w:r>
          </w:p>
        </w:tc>
        <w:tc>
          <w:tcPr>
            <w:tcW w:w="2493" w:type="dxa"/>
            <w:vAlign w:val="center"/>
          </w:tcPr>
          <w:p w14:paraId="00100126" w14:textId="00100127">
            <w:r/>
            <w:r>
              <w:rPr>
                <w:rFonts w:ascii="Arial" w:hAnsi="Arial"/>
                <w:b w:val="0"/>
                <w:sz w:val="18"/>
              </w:rPr>
              <w:t>PM monitoring views/filters available.</w:t>
            </w:r>
          </w:p>
        </w:tc>
        <w:tc>
          <w:tcPr>
            <w:tcW w:w="2493" w:type="dxa"/>
            <w:vAlign w:val="center"/>
          </w:tcPr>
          <w:p w14:paraId="00100128" w14:textId="00100129">
            <w:r/>
            <w:r>
              <w:rPr>
                <w:rFonts w:ascii="Arial" w:hAnsi="Arial"/>
                <w:b w:val="0"/>
                <w:sz w:val="18"/>
              </w:rPr>
              <w:t>MVP monitoring views defined and implemented.</w:t>
            </w:r>
          </w:p>
        </w:tc>
      </w:tr>
      <w:tr>
        <w:tc>
          <w:tcPr>
            <w:tcW w:w="2493" w:type="dxa"/>
            <w:vAlign w:val="center"/>
          </w:tcPr>
          <w:p w14:paraId="0010012A" w14:textId="0010012B">
            <w:r/>
            <w:r>
              <w:rPr>
                <w:rFonts w:ascii="Arial" w:hAnsi="Arial"/>
                <w:b w:val="0"/>
                <w:sz w:val="18"/>
              </w:rPr>
              <w:t>Preserve auditability</w:t>
            </w:r>
          </w:p>
        </w:tc>
        <w:tc>
          <w:tcPr>
            <w:tcW w:w="2493" w:type="dxa"/>
            <w:vAlign w:val="center"/>
          </w:tcPr>
          <w:p w14:paraId="0010012C" w14:textId="0010012D">
            <w:r/>
            <w:r>
              <w:rPr>
                <w:rFonts w:ascii="Arial" w:hAnsi="Arial"/>
                <w:b w:val="0"/>
                <w:sz w:val="18"/>
              </w:rPr>
              <w:t>Important changes are recorded.</w:t>
            </w:r>
          </w:p>
        </w:tc>
        <w:tc>
          <w:tcPr>
            <w:tcW w:w="2493" w:type="dxa"/>
            <w:vAlign w:val="center"/>
          </w:tcPr>
          <w:p w14:paraId="0010012E" w14:textId="0010012F">
            <w:r/>
            <w:r>
              <w:rPr>
                <w:rFonts w:ascii="Arial" w:hAnsi="Arial"/>
                <w:b w:val="0"/>
                <w:sz w:val="18"/>
              </w:rPr>
              <w:t>History log records actor, timestamp, action, and reason when applicable.</w:t>
            </w:r>
          </w:p>
        </w:tc>
        <w:tc>
          <w:tcPr>
            <w:tcW w:w="2493" w:type="dxa"/>
            <w:vAlign w:val="center"/>
          </w:tcPr>
          <w:p w14:paraId="00100130" w14:textId="00100131">
            <w:r/>
            <w:r>
              <w:rPr>
                <w:rFonts w:ascii="Arial" w:hAnsi="Arial"/>
                <w:b w:val="0"/>
                <w:sz w:val="18"/>
              </w:rPr>
              <w:t>History log exists for key actions.</w:t>
            </w:r>
          </w:p>
        </w:tc>
      </w:tr>
    </w:tbl>
    <w:p w14:paraId="00100132" w14:textId="00100133">
      <w:pPr>
        <w:pStyle w:val="Heading2"/>
      </w:pPr>
      <w:r>
        <w:t>6. Stakeholders and Needs</w:t>
      </w:r>
    </w:p>
    <w:tbl>
      <w:tblPr>
        <w:tblStyle w:val="TableGrid"/>
        <w:tblW w:w="0" w:type="auto"/>
        <w:tblLayout w:type="autofit"/>
        <w:tblLook w:val="04A0" w:firstRow="1" w:lastRow="0" w:firstColumn="1" w:lastColumn="0" w:noHBand="0" w:noVBand="1"/>
      </w:tblPr>
      <w:tblGrid>
        <w:gridCol w:w="2493"/>
        <w:gridCol w:w="2493"/>
        <w:gridCol w:w="2493"/>
        <w:gridCol w:w="2493"/>
      </w:tblGrid>
      <w:tr>
        <w:tc>
          <w:tcPr>
            <w:tcW w:w="2493" w:type="dxa"/>
            <w:shd w:val="clear" w:fill="D9E2F3"/>
            <w:vAlign w:val="center"/>
          </w:tcPr>
          <w:p w14:paraId="00100134" w14:textId="00100135">
            <w:r/>
            <w:r>
              <w:rPr>
                <w:rFonts w:ascii="Arial" w:hAnsi="Arial"/>
                <w:b/>
                <w:sz w:val="18"/>
              </w:rPr>
              <w:t>Stakeholder</w:t>
            </w:r>
          </w:p>
        </w:tc>
        <w:tc>
          <w:tcPr>
            <w:tcW w:w="2493" w:type="dxa"/>
            <w:shd w:val="clear" w:fill="D9E2F3"/>
            <w:vAlign w:val="center"/>
          </w:tcPr>
          <w:p w14:paraId="00100136" w14:textId="00100137">
            <w:r/>
            <w:r>
              <w:rPr>
                <w:rFonts w:ascii="Arial" w:hAnsi="Arial"/>
                <w:b/>
                <w:sz w:val="18"/>
              </w:rPr>
              <w:t>Pain Point</w:t>
            </w:r>
          </w:p>
        </w:tc>
        <w:tc>
          <w:tcPr>
            <w:tcW w:w="2493" w:type="dxa"/>
            <w:shd w:val="clear" w:fill="D9E2F3"/>
            <w:vAlign w:val="center"/>
          </w:tcPr>
          <w:p w14:paraId="00100138" w14:textId="00100139">
            <w:r/>
            <w:r>
              <w:rPr>
                <w:rFonts w:ascii="Arial" w:hAnsi="Arial"/>
                <w:b/>
                <w:sz w:val="18"/>
              </w:rPr>
              <w:t>Business Need</w:t>
            </w:r>
          </w:p>
        </w:tc>
        <w:tc>
          <w:tcPr>
            <w:tcW w:w="2493" w:type="dxa"/>
            <w:shd w:val="clear" w:fill="D9E2F3"/>
            <w:vAlign w:val="center"/>
          </w:tcPr>
          <w:p w14:paraId="0010013A" w14:textId="0010013B">
            <w:r/>
            <w:r>
              <w:rPr>
                <w:rFonts w:ascii="Arial" w:hAnsi="Arial"/>
                <w:b/>
                <w:sz w:val="18"/>
              </w:rPr>
              <w:t>Success Expectation</w:t>
            </w:r>
          </w:p>
        </w:tc>
      </w:tr>
      <w:tr>
        <w:tc>
          <w:tcPr>
            <w:tcW w:w="2493" w:type="dxa"/>
            <w:vAlign w:val="center"/>
          </w:tcPr>
          <w:p w14:paraId="0010013C" w14:textId="0010013D">
            <w:r/>
            <w:r>
              <w:rPr>
                <w:rFonts w:ascii="Arial" w:hAnsi="Arial"/>
                <w:b w:val="0"/>
                <w:sz w:val="18"/>
              </w:rPr>
              <w:t>Tester</w:t>
            </w:r>
          </w:p>
        </w:tc>
        <w:tc>
          <w:tcPr>
            <w:tcW w:w="2493" w:type="dxa"/>
            <w:vAlign w:val="center"/>
          </w:tcPr>
          <w:p w14:paraId="0010013E" w14:textId="0010013F">
            <w:r/>
            <w:r>
              <w:rPr>
                <w:rFonts w:ascii="Arial" w:hAnsi="Arial"/>
                <w:b w:val="0"/>
                <w:sz w:val="18"/>
              </w:rPr>
              <w:t>Bug reports may be incomplete, duplicated, hard to track, or closed before verification.</w:t>
            </w:r>
          </w:p>
        </w:tc>
        <w:tc>
          <w:tcPr>
            <w:tcW w:w="2493" w:type="dxa"/>
            <w:vAlign w:val="center"/>
          </w:tcPr>
          <w:p w14:paraId="00100140" w14:textId="00100141">
            <w:r/>
            <w:r>
              <w:rPr>
                <w:rFonts w:ascii="Arial" w:hAnsi="Arial"/>
                <w:b w:val="0"/>
                <w:sz w:val="18"/>
              </w:rPr>
              <w:t>A structured way to create, follow, retest, close, and reopen bug reports.</w:t>
            </w:r>
          </w:p>
        </w:tc>
        <w:tc>
          <w:tcPr>
            <w:tcW w:w="2493" w:type="dxa"/>
            <w:vAlign w:val="center"/>
          </w:tcPr>
          <w:p w14:paraId="00100142" w14:textId="00100143">
            <w:r/>
            <w:r>
              <w:rPr>
                <w:rFonts w:ascii="Arial" w:hAnsi="Arial"/>
                <w:b w:val="0"/>
                <w:sz w:val="18"/>
              </w:rPr>
              <w:t>Bugs contain enough information for review and assignment, and Tester can verify closure.</w:t>
            </w:r>
          </w:p>
        </w:tc>
      </w:tr>
      <w:tr>
        <w:tc>
          <w:tcPr>
            <w:tcW w:w="2493" w:type="dxa"/>
            <w:vAlign w:val="center"/>
          </w:tcPr>
          <w:p w14:paraId="00100144" w14:textId="00100145">
            <w:r/>
            <w:r>
              <w:rPr>
                <w:rFonts w:ascii="Arial" w:hAnsi="Arial"/>
                <w:b w:val="0"/>
                <w:sz w:val="18"/>
              </w:rPr>
              <w:t>Developer</w:t>
            </w:r>
          </w:p>
        </w:tc>
        <w:tc>
          <w:tcPr>
            <w:tcW w:w="2493" w:type="dxa"/>
            <w:vAlign w:val="center"/>
          </w:tcPr>
          <w:p w14:paraId="00100146" w14:textId="00100147">
            <w:r/>
            <w:r>
              <w:rPr>
                <w:rFonts w:ascii="Arial" w:hAnsi="Arial"/>
                <w:b w:val="0"/>
                <w:sz w:val="18"/>
              </w:rPr>
              <w:t>Bugs may be assigned to the wrong person or wrong area.</w:t>
            </w:r>
          </w:p>
        </w:tc>
        <w:tc>
          <w:tcPr>
            <w:tcW w:w="2493" w:type="dxa"/>
            <w:vAlign w:val="center"/>
          </w:tcPr>
          <w:p w14:paraId="00100148" w14:textId="00100149">
            <w:r/>
            <w:r>
              <w:rPr>
                <w:rFonts w:ascii="Arial" w:hAnsi="Arial"/>
                <w:b w:val="0"/>
                <w:sz w:val="18"/>
              </w:rPr>
              <w:t>Clear bug details, correct classification, and a way to request information or reject unsuitable assignment.</w:t>
            </w:r>
          </w:p>
        </w:tc>
        <w:tc>
          <w:tcPr>
            <w:tcW w:w="2493" w:type="dxa"/>
            <w:vAlign w:val="center"/>
          </w:tcPr>
          <w:p w14:paraId="0010014A" w14:textId="0010014B">
            <w:r/>
            <w:r>
              <w:rPr>
                <w:rFonts w:ascii="Arial" w:hAnsi="Arial"/>
                <w:b w:val="0"/>
                <w:sz w:val="18"/>
              </w:rPr>
              <w:t>Developer can accept work, request information, reject with reason, progress, and resolve.</w:t>
            </w:r>
          </w:p>
        </w:tc>
      </w:tr>
      <w:tr>
        <w:tc>
          <w:tcPr>
            <w:tcW w:w="2493" w:type="dxa"/>
            <w:vAlign w:val="center"/>
          </w:tcPr>
          <w:p w14:paraId="0010014C" w14:textId="0010014D">
            <w:r/>
            <w:r>
              <w:rPr>
                <w:rFonts w:ascii="Arial" w:hAnsi="Arial"/>
                <w:b w:val="0"/>
                <w:sz w:val="18"/>
              </w:rPr>
              <w:t>PM</w:t>
            </w:r>
          </w:p>
        </w:tc>
        <w:tc>
          <w:tcPr>
            <w:tcW w:w="2493" w:type="dxa"/>
            <w:vAlign w:val="center"/>
          </w:tcPr>
          <w:p w14:paraId="0010014E" w14:textId="0010014F">
            <w:r/>
            <w:r>
              <w:rPr>
                <w:rFonts w:ascii="Arial" w:hAnsi="Arial"/>
                <w:b w:val="0"/>
                <w:sz w:val="18"/>
              </w:rPr>
              <w:t>Workload, overdue bugs, rejected bugs, and bottlenecks may be unclear.</w:t>
            </w:r>
          </w:p>
        </w:tc>
        <w:tc>
          <w:tcPr>
            <w:tcW w:w="2493" w:type="dxa"/>
            <w:vAlign w:val="center"/>
          </w:tcPr>
          <w:p w14:paraId="00100150" w14:textId="00100151">
            <w:r/>
            <w:r>
              <w:rPr>
                <w:rFonts w:ascii="Arial" w:hAnsi="Arial"/>
                <w:b w:val="0"/>
                <w:sz w:val="18"/>
              </w:rPr>
              <w:t>Monitoring views for ownership, queues, workload, and risk.</w:t>
            </w:r>
          </w:p>
        </w:tc>
        <w:tc>
          <w:tcPr>
            <w:tcW w:w="2493" w:type="dxa"/>
            <w:vAlign w:val="center"/>
          </w:tcPr>
          <w:p w14:paraId="00100152" w14:textId="00100153">
            <w:r/>
            <w:r>
              <w:rPr>
                <w:rFonts w:ascii="Arial" w:hAnsi="Arial"/>
                <w:b w:val="0"/>
                <w:sz w:val="18"/>
              </w:rPr>
              <w:t>PM can identify unassigned, overdue, rejected, and blocked items quickly.</w:t>
            </w:r>
          </w:p>
        </w:tc>
      </w:tr>
    </w:tbl>
    <w:p w14:paraId="00100154" w14:textId="00100155">
      <w:r>
        <w:t>Reporter and Admin are not separate MVP stakeholders. Testers perform internal reporting responsibilities, while lightweight administrative responsibilities are handled by Tester or PM where authorized. Dedicated Reporter and Admin roles may be reconsidered after MVP if the project expands to external reporting or formal master-data administration.</w:t>
      </w:r>
    </w:p>
    <w:p w14:paraId="00100156" w14:textId="00100157">
      <w:pPr>
        <w:pStyle w:val="Heading2"/>
      </w:pPr>
      <w:r>
        <w:t>6.1 Diagram Pack and Traceability</w:t>
      </w:r>
    </w:p>
    <w:p w14:paraId="00100158" w14:textId="00100159">
      <w:r>
        <w:t>The following review visuals summarize the approved business context, role coverage, and end-to-end defect flow. Detailed editable source remains under docs/diagrams/.</w:t>
      </w:r>
    </w:p>
    <w:p w14:paraId="0010015A" w14:textId="0010015B">
      <w:pPr>
        <w:jc w:val="center"/>
      </w:pPr>
      <w:r>
        <w:drawing>
          <wp:inline xmlns:a="http://schemas.openxmlformats.org/drawingml/2006/main" xmlns:pic="http://schemas.openxmlformats.org/drawingml/2006/picture">
            <wp:extent cx="5760720" cy="1403441"/>
            <wp:docPr id="1" name="Picture 1"/>
            <wp:cNvGraphicFramePr>
              <a:graphicFrameLocks noChangeAspect="1"/>
            </wp:cNvGraphicFramePr>
            <a:graphic>
              <a:graphicData uri="http://schemas.openxmlformats.org/drawingml/2006/picture">
                <pic:pic>
                  <pic:nvPicPr>
                    <pic:cNvPr id="0" name="01-system-context.png"/>
                    <pic:cNvPicPr/>
                  </pic:nvPicPr>
                  <pic:blipFill>
                    <a:blip r:embed="rId9"/>
                    <a:stretch>
                      <a:fillRect/>
                    </a:stretch>
                  </pic:blipFill>
                  <pic:spPr>
                    <a:xfrm>
                      <a:off x="0" y="0"/>
                      <a:ext cx="5760720" cy="1403441"/>
                    </a:xfrm>
                    <a:prstGeom prst="rect"/>
                  </pic:spPr>
                </pic:pic>
              </a:graphicData>
            </a:graphic>
          </wp:inline>
        </w:drawing>
      </w:r>
    </w:p>
    <w:p w14:paraId="0010015C" w14:textId="0010015D">
      <w:pPr>
        <w:jc w:val="center"/>
      </w:pPr>
      <w:r>
        <w:rPr>
          <w:i/>
          <w:sz w:val="18"/>
        </w:rPr>
        <w:t>Figure. System Context</w:t>
      </w:r>
    </w:p>
    <w:p w14:paraId="0010015E" w14:textId="0010015F">
      <w:pPr>
        <w:jc w:val="center"/>
      </w:pPr>
      <w:r>
        <w:drawing>
          <wp:inline xmlns:a="http://schemas.openxmlformats.org/drawingml/2006/main" xmlns:pic="http://schemas.openxmlformats.org/drawingml/2006/picture">
            <wp:extent cx="5760720" cy="26238530"/>
            <wp:docPr id="2" name="Picture 2"/>
            <wp:cNvGraphicFramePr>
              <a:graphicFrameLocks noChangeAspect="1"/>
            </wp:cNvGraphicFramePr>
            <a:graphic>
              <a:graphicData uri="http://schemas.openxmlformats.org/drawingml/2006/picture">
                <pic:pic>
                  <pic:nvPicPr>
                    <pic:cNvPr id="0" name="03-use-case.png"/>
                    <pic:cNvPicPr/>
                  </pic:nvPicPr>
                  <pic:blipFill>
                    <a:blip r:embed="rId10"/>
                    <a:stretch>
                      <a:fillRect/>
                    </a:stretch>
                  </pic:blipFill>
                  <pic:spPr>
                    <a:xfrm>
                      <a:off x="0" y="0"/>
                      <a:ext cx="5760720" cy="26238530"/>
                    </a:xfrm>
                    <a:prstGeom prst="rect"/>
                  </pic:spPr>
                </pic:pic>
              </a:graphicData>
            </a:graphic>
          </wp:inline>
        </w:drawing>
      </w:r>
    </w:p>
    <w:p w14:paraId="00100160" w14:textId="00100161">
      <w:pPr>
        <w:jc w:val="center"/>
      </w:pPr>
      <w:r>
        <w:rPr>
          <w:i/>
          <w:sz w:val="18"/>
        </w:rPr>
        <w:t>Figure. Use Case Diagram</w:t>
      </w:r>
    </w:p>
    <w:p w14:paraId="00100162" w14:textId="00100163">
      <w:pPr>
        <w:jc w:val="center"/>
      </w:pPr>
      <w:r>
        <w:drawing>
          <wp:inline xmlns:a="http://schemas.openxmlformats.org/drawingml/2006/main" xmlns:pic="http://schemas.openxmlformats.org/drawingml/2006/picture">
            <wp:extent cx="5760720" cy="7127421"/>
            <wp:docPr id="3" name="Picture 3"/>
            <wp:cNvGraphicFramePr>
              <a:graphicFrameLocks noChangeAspect="1"/>
            </wp:cNvGraphicFramePr>
            <a:graphic>
              <a:graphicData uri="http://schemas.openxmlformats.org/drawingml/2006/picture">
                <pic:pic>
                  <pic:nvPicPr>
                    <pic:cNvPr id="0" name="04-end-to-end-defect-flow.png"/>
                    <pic:cNvPicPr/>
                  </pic:nvPicPr>
                  <pic:blipFill>
                    <a:blip r:embed="rId11"/>
                    <a:stretch>
                      <a:fillRect/>
                    </a:stretch>
                  </pic:blipFill>
                  <pic:spPr>
                    <a:xfrm>
                      <a:off x="0" y="0"/>
                      <a:ext cx="5760720" cy="7127421"/>
                    </a:xfrm>
                    <a:prstGeom prst="rect"/>
                  </pic:spPr>
                </pic:pic>
              </a:graphicData>
            </a:graphic>
          </wp:inline>
        </w:drawing>
      </w:r>
    </w:p>
    <w:p w14:paraId="00100164" w14:textId="00100165">
      <w:pPr>
        <w:jc w:val="center"/>
      </w:pPr>
      <w:r>
        <w:rPr>
          <w:i/>
          <w:sz w:val="18"/>
        </w:rPr>
        <w:t>Figure. End-to-End Defect Tracking Flow</w:t>
      </w:r>
    </w:p>
    <w:p w14:paraId="00100166" w14:textId="00100167">
      <w:pPr>
        <w:pStyle w:val="Heading2"/>
      </w:pPr>
      <w:r>
        <w:t>7. Roles and RACI</w:t>
      </w:r>
    </w:p>
    <w:tbl>
      <w:tblPr>
        <w:tblStyle w:val="TableGrid"/>
        <w:tblW w:w="0" w:type="auto"/>
        <w:tblLayout w:type="autofit"/>
        <w:tblLook w:val="04A0" w:firstRow="1" w:lastRow="0" w:firstColumn="1" w:lastColumn="0" w:noHBand="0" w:noVBand="1"/>
      </w:tblPr>
      <w:tblGrid>
        <w:gridCol w:w="1994"/>
        <w:gridCol w:w="1994"/>
        <w:gridCol w:w="1994"/>
        <w:gridCol w:w="1994"/>
        <w:gridCol w:w="1994"/>
      </w:tblGrid>
      <w:tr>
        <w:tc>
          <w:tcPr>
            <w:tcW w:w="1994" w:type="dxa"/>
            <w:shd w:val="clear" w:fill="D9E2F3"/>
            <w:vAlign w:val="center"/>
          </w:tcPr>
          <w:p w14:paraId="00100168" w14:textId="00100169">
            <w:r/>
            <w:r>
              <w:rPr>
                <w:rFonts w:ascii="Arial" w:hAnsi="Arial"/>
                <w:b/>
                <w:sz w:val="18"/>
              </w:rPr>
              <w:t>Activity</w:t>
            </w:r>
          </w:p>
        </w:tc>
        <w:tc>
          <w:tcPr>
            <w:tcW w:w="1994" w:type="dxa"/>
            <w:shd w:val="clear" w:fill="D9E2F3"/>
            <w:vAlign w:val="center"/>
          </w:tcPr>
          <w:p w14:paraId="0010016A" w14:textId="0010016B">
            <w:r/>
            <w:r>
              <w:rPr>
                <w:rFonts w:ascii="Arial" w:hAnsi="Arial"/>
                <w:b/>
                <w:sz w:val="18"/>
              </w:rPr>
              <w:t>Tester</w:t>
            </w:r>
          </w:p>
        </w:tc>
        <w:tc>
          <w:tcPr>
            <w:tcW w:w="1994" w:type="dxa"/>
            <w:shd w:val="clear" w:fill="D9E2F3"/>
            <w:vAlign w:val="center"/>
          </w:tcPr>
          <w:p w14:paraId="0010016C" w14:textId="0010016D">
            <w:r/>
            <w:r>
              <w:rPr>
                <w:rFonts w:ascii="Arial" w:hAnsi="Arial"/>
                <w:b/>
                <w:sz w:val="18"/>
              </w:rPr>
              <w:t>Developer</w:t>
            </w:r>
          </w:p>
        </w:tc>
        <w:tc>
          <w:tcPr>
            <w:tcW w:w="1994" w:type="dxa"/>
            <w:shd w:val="clear" w:fill="D9E2F3"/>
            <w:vAlign w:val="center"/>
          </w:tcPr>
          <w:p w14:paraId="0010016E" w14:textId="0010016F">
            <w:r/>
            <w:r>
              <w:rPr>
                <w:rFonts w:ascii="Arial" w:hAnsi="Arial"/>
                <w:b/>
                <w:sz w:val="18"/>
              </w:rPr>
              <w:t>PM</w:t>
            </w:r>
          </w:p>
        </w:tc>
        <w:tc>
          <w:tcPr>
            <w:tcW w:w="1994" w:type="dxa"/>
            <w:shd w:val="clear" w:fill="D9E2F3"/>
            <w:vAlign w:val="center"/>
          </w:tcPr>
          <w:p w14:paraId="00100170" w14:textId="00100171">
            <w:r/>
            <w:r>
              <w:rPr>
                <w:rFonts w:ascii="Arial" w:hAnsi="Arial"/>
                <w:b/>
                <w:sz w:val="18"/>
              </w:rPr>
              <w:t>Mentor / Supervisor</w:t>
            </w:r>
          </w:p>
        </w:tc>
      </w:tr>
      <w:tr>
        <w:tc>
          <w:tcPr>
            <w:tcW w:w="1994" w:type="dxa"/>
            <w:vAlign w:val="center"/>
          </w:tcPr>
          <w:p w14:paraId="00100172" w14:textId="00100173">
            <w:r/>
            <w:r>
              <w:rPr>
                <w:rFonts w:ascii="Arial" w:hAnsi="Arial"/>
                <w:b w:val="0"/>
                <w:sz w:val="18"/>
              </w:rPr>
              <w:t>Create bug report</w:t>
            </w:r>
          </w:p>
        </w:tc>
        <w:tc>
          <w:tcPr>
            <w:tcW w:w="1994" w:type="dxa"/>
            <w:vAlign w:val="center"/>
          </w:tcPr>
          <w:p w14:paraId="00100174" w14:textId="00100175">
            <w:r/>
            <w:r>
              <w:rPr>
                <w:rFonts w:ascii="Arial" w:hAnsi="Arial"/>
                <w:b w:val="0"/>
                <w:sz w:val="18"/>
              </w:rPr>
              <w:t>R</w:t>
            </w:r>
          </w:p>
        </w:tc>
        <w:tc>
          <w:tcPr>
            <w:tcW w:w="1994" w:type="dxa"/>
            <w:vAlign w:val="center"/>
          </w:tcPr>
          <w:p w14:paraId="00100176" w14:textId="00100177">
            <w:r/>
            <w:r>
              <w:rPr>
                <w:rFonts w:ascii="Arial" w:hAnsi="Arial"/>
                <w:b w:val="0"/>
                <w:sz w:val="18"/>
              </w:rPr>
              <w:t>I</w:t>
            </w:r>
          </w:p>
        </w:tc>
        <w:tc>
          <w:tcPr>
            <w:tcW w:w="1994" w:type="dxa"/>
            <w:vAlign w:val="center"/>
          </w:tcPr>
          <w:p w14:paraId="00100178" w14:textId="00100179">
            <w:r/>
            <w:r>
              <w:rPr>
                <w:rFonts w:ascii="Arial" w:hAnsi="Arial"/>
                <w:b w:val="0"/>
                <w:sz w:val="18"/>
              </w:rPr>
              <w:t>I</w:t>
            </w:r>
          </w:p>
        </w:tc>
        <w:tc>
          <w:tcPr>
            <w:tcW w:w="1994" w:type="dxa"/>
            <w:vAlign w:val="center"/>
          </w:tcPr>
          <w:p w14:paraId="0010017A" w14:textId="0010017B">
            <w:r/>
            <w:r>
              <w:rPr>
                <w:rFonts w:ascii="Arial" w:hAnsi="Arial"/>
                <w:b w:val="0"/>
                <w:sz w:val="18"/>
              </w:rPr>
              <w:t>I</w:t>
            </w:r>
          </w:p>
        </w:tc>
      </w:tr>
      <w:tr>
        <w:tc>
          <w:tcPr>
            <w:tcW w:w="1994" w:type="dxa"/>
            <w:vAlign w:val="center"/>
          </w:tcPr>
          <w:p w14:paraId="0010017C" w14:textId="0010017D">
            <w:r/>
            <w:r>
              <w:rPr>
                <w:rFonts w:ascii="Arial" w:hAnsi="Arial"/>
                <w:b w:val="0"/>
                <w:sz w:val="18"/>
              </w:rPr>
              <w:t>Check duplicate bug</w:t>
            </w:r>
          </w:p>
        </w:tc>
        <w:tc>
          <w:tcPr>
            <w:tcW w:w="1994" w:type="dxa"/>
            <w:vAlign w:val="center"/>
          </w:tcPr>
          <w:p w14:paraId="0010017E" w14:textId="0010017F">
            <w:r/>
            <w:r>
              <w:rPr>
                <w:rFonts w:ascii="Arial" w:hAnsi="Arial"/>
                <w:b w:val="0"/>
                <w:sz w:val="18"/>
              </w:rPr>
              <w:t>R</w:t>
            </w:r>
          </w:p>
        </w:tc>
        <w:tc>
          <w:tcPr>
            <w:tcW w:w="1994" w:type="dxa"/>
            <w:vAlign w:val="center"/>
          </w:tcPr>
          <w:p w14:paraId="00100180" w14:textId="00100181">
            <w:r/>
            <w:r>
              <w:rPr>
                <w:rFonts w:ascii="Arial" w:hAnsi="Arial"/>
                <w:b w:val="0"/>
                <w:sz w:val="18"/>
              </w:rPr>
              <w:t>I</w:t>
            </w:r>
          </w:p>
        </w:tc>
        <w:tc>
          <w:tcPr>
            <w:tcW w:w="1994" w:type="dxa"/>
            <w:vAlign w:val="center"/>
          </w:tcPr>
          <w:p w14:paraId="00100182" w14:textId="00100183">
            <w:r/>
            <w:r>
              <w:rPr>
                <w:rFonts w:ascii="Arial" w:hAnsi="Arial"/>
                <w:b w:val="0"/>
                <w:sz w:val="18"/>
              </w:rPr>
              <w:t>I</w:t>
            </w:r>
          </w:p>
        </w:tc>
        <w:tc>
          <w:tcPr>
            <w:tcW w:w="1994" w:type="dxa"/>
            <w:vAlign w:val="center"/>
          </w:tcPr>
          <w:p w14:paraId="00100184" w14:textId="00100185">
            <w:r/>
            <w:r>
              <w:rPr>
                <w:rFonts w:ascii="Arial" w:hAnsi="Arial"/>
                <w:b w:val="0"/>
                <w:sz w:val="18"/>
              </w:rPr>
              <w:t>I</w:t>
            </w:r>
          </w:p>
        </w:tc>
      </w:tr>
      <w:tr>
        <w:tc>
          <w:tcPr>
            <w:tcW w:w="1994" w:type="dxa"/>
            <w:vAlign w:val="center"/>
          </w:tcPr>
          <w:p w14:paraId="00100186" w14:textId="00100187">
            <w:r/>
            <w:r>
              <w:rPr>
                <w:rFonts w:ascii="Arial" w:hAnsi="Arial"/>
                <w:b w:val="0"/>
                <w:sz w:val="18"/>
              </w:rPr>
              <w:t>Maintain classification master data</w:t>
            </w:r>
          </w:p>
        </w:tc>
        <w:tc>
          <w:tcPr>
            <w:tcW w:w="1994" w:type="dxa"/>
            <w:vAlign w:val="center"/>
          </w:tcPr>
          <w:p w14:paraId="00100188" w14:textId="00100189">
            <w:r/>
            <w:r>
              <w:rPr>
                <w:rFonts w:ascii="Arial" w:hAnsi="Arial"/>
                <w:b w:val="0"/>
                <w:sz w:val="18"/>
              </w:rPr>
              <w:t>R</w:t>
            </w:r>
          </w:p>
        </w:tc>
        <w:tc>
          <w:tcPr>
            <w:tcW w:w="1994" w:type="dxa"/>
            <w:vAlign w:val="center"/>
          </w:tcPr>
          <w:p w14:paraId="0010018A" w14:textId="0010018B">
            <w:r/>
            <w:r>
              <w:rPr>
                <w:rFonts w:ascii="Arial" w:hAnsi="Arial"/>
                <w:b w:val="0"/>
                <w:sz w:val="18"/>
              </w:rPr>
              <w:t>C</w:t>
            </w:r>
          </w:p>
        </w:tc>
        <w:tc>
          <w:tcPr>
            <w:tcW w:w="1994" w:type="dxa"/>
            <w:vAlign w:val="center"/>
          </w:tcPr>
          <w:p w14:paraId="0010018C" w14:textId="0010018D">
            <w:r/>
            <w:r>
              <w:rPr>
                <w:rFonts w:ascii="Arial" w:hAnsi="Arial"/>
                <w:b w:val="0"/>
                <w:sz w:val="18"/>
              </w:rPr>
              <w:t>A</w:t>
            </w:r>
          </w:p>
        </w:tc>
        <w:tc>
          <w:tcPr>
            <w:tcW w:w="1994" w:type="dxa"/>
            <w:vAlign w:val="center"/>
          </w:tcPr>
          <w:p w14:paraId="0010018E" w14:textId="0010018F">
            <w:r/>
            <w:r>
              <w:rPr>
                <w:rFonts w:ascii="Arial" w:hAnsi="Arial"/>
                <w:b w:val="0"/>
                <w:sz w:val="18"/>
              </w:rPr>
              <w:t>I</w:t>
            </w:r>
          </w:p>
        </w:tc>
      </w:tr>
      <w:tr>
        <w:tc>
          <w:tcPr>
            <w:tcW w:w="1994" w:type="dxa"/>
            <w:vAlign w:val="center"/>
          </w:tcPr>
          <w:p w14:paraId="00100190" w14:textId="00100191">
            <w:r/>
            <w:r>
              <w:rPr>
                <w:rFonts w:ascii="Arial" w:hAnsi="Arial"/>
                <w:b w:val="0"/>
                <w:sz w:val="18"/>
              </w:rPr>
              <w:t>Classify bug</w:t>
            </w:r>
          </w:p>
        </w:tc>
        <w:tc>
          <w:tcPr>
            <w:tcW w:w="1994" w:type="dxa"/>
            <w:vAlign w:val="center"/>
          </w:tcPr>
          <w:p w14:paraId="00100192" w14:textId="00100193">
            <w:r/>
            <w:r>
              <w:rPr>
                <w:rFonts w:ascii="Arial" w:hAnsi="Arial"/>
                <w:b w:val="0"/>
                <w:sz w:val="18"/>
              </w:rPr>
              <w:t>R</w:t>
            </w:r>
          </w:p>
        </w:tc>
        <w:tc>
          <w:tcPr>
            <w:tcW w:w="1994" w:type="dxa"/>
            <w:vAlign w:val="center"/>
          </w:tcPr>
          <w:p w14:paraId="00100194" w14:textId="00100195">
            <w:r/>
            <w:r>
              <w:rPr>
                <w:rFonts w:ascii="Arial" w:hAnsi="Arial"/>
                <w:b w:val="0"/>
                <w:sz w:val="18"/>
              </w:rPr>
              <w:t>C</w:t>
            </w:r>
          </w:p>
        </w:tc>
        <w:tc>
          <w:tcPr>
            <w:tcW w:w="1994" w:type="dxa"/>
            <w:vAlign w:val="center"/>
          </w:tcPr>
          <w:p w14:paraId="00100196" w14:textId="00100197">
            <w:r/>
            <w:r>
              <w:rPr>
                <w:rFonts w:ascii="Arial" w:hAnsi="Arial"/>
                <w:b w:val="0"/>
                <w:sz w:val="18"/>
              </w:rPr>
              <w:t>C</w:t>
            </w:r>
          </w:p>
        </w:tc>
        <w:tc>
          <w:tcPr>
            <w:tcW w:w="1994" w:type="dxa"/>
            <w:vAlign w:val="center"/>
          </w:tcPr>
          <w:p w14:paraId="00100198" w14:textId="00100199">
            <w:r/>
            <w:r>
              <w:rPr>
                <w:rFonts w:ascii="Arial" w:hAnsi="Arial"/>
                <w:b w:val="0"/>
                <w:sz w:val="18"/>
              </w:rPr>
              <w:t>I</w:t>
            </w:r>
          </w:p>
        </w:tc>
      </w:tr>
      <w:tr>
        <w:tc>
          <w:tcPr>
            <w:tcW w:w="1994" w:type="dxa"/>
            <w:vAlign w:val="center"/>
          </w:tcPr>
          <w:p w14:paraId="0010019A" w14:textId="0010019B">
            <w:r/>
            <w:r>
              <w:rPr>
                <w:rFonts w:ascii="Arial" w:hAnsi="Arial"/>
                <w:b w:val="0"/>
                <w:sz w:val="18"/>
              </w:rPr>
              <w:t>Assign or reassign Developer</w:t>
            </w:r>
          </w:p>
        </w:tc>
        <w:tc>
          <w:tcPr>
            <w:tcW w:w="1994" w:type="dxa"/>
            <w:vAlign w:val="center"/>
          </w:tcPr>
          <w:p w14:paraId="0010019C" w14:textId="0010019D">
            <w:r/>
            <w:r>
              <w:rPr>
                <w:rFonts w:ascii="Arial" w:hAnsi="Arial"/>
                <w:b w:val="0"/>
                <w:sz w:val="18"/>
              </w:rPr>
              <w:t>R</w:t>
            </w:r>
          </w:p>
        </w:tc>
        <w:tc>
          <w:tcPr>
            <w:tcW w:w="1994" w:type="dxa"/>
            <w:vAlign w:val="center"/>
          </w:tcPr>
          <w:p w14:paraId="0010019E" w14:textId="0010019F">
            <w:r/>
            <w:r>
              <w:rPr>
                <w:rFonts w:ascii="Arial" w:hAnsi="Arial"/>
                <w:b w:val="0"/>
                <w:sz w:val="18"/>
              </w:rPr>
              <w:t>C</w:t>
            </w:r>
          </w:p>
        </w:tc>
        <w:tc>
          <w:tcPr>
            <w:tcW w:w="1994" w:type="dxa"/>
            <w:vAlign w:val="center"/>
          </w:tcPr>
          <w:p w14:paraId="001001A0" w14:textId="001001A1">
            <w:r/>
            <w:r>
              <w:rPr>
                <w:rFonts w:ascii="Arial" w:hAnsi="Arial"/>
                <w:b w:val="0"/>
                <w:sz w:val="18"/>
              </w:rPr>
              <w:t>A</w:t>
            </w:r>
          </w:p>
        </w:tc>
        <w:tc>
          <w:tcPr>
            <w:tcW w:w="1994" w:type="dxa"/>
            <w:vAlign w:val="center"/>
          </w:tcPr>
          <w:p w14:paraId="001001A2" w14:textId="001001A3">
            <w:r/>
            <w:r>
              <w:rPr>
                <w:rFonts w:ascii="Arial" w:hAnsi="Arial"/>
                <w:b w:val="0"/>
                <w:sz w:val="18"/>
              </w:rPr>
              <w:t>I</w:t>
            </w:r>
          </w:p>
        </w:tc>
      </w:tr>
      <w:tr>
        <w:tc>
          <w:tcPr>
            <w:tcW w:w="1994" w:type="dxa"/>
            <w:vAlign w:val="center"/>
          </w:tcPr>
          <w:p w14:paraId="001001A4" w14:textId="001001A5">
            <w:r/>
            <w:r>
              <w:rPr>
                <w:rFonts w:ascii="Arial" w:hAnsi="Arial"/>
                <w:b w:val="0"/>
                <w:sz w:val="18"/>
              </w:rPr>
              <w:t>Review assigned bug</w:t>
            </w:r>
          </w:p>
        </w:tc>
        <w:tc>
          <w:tcPr>
            <w:tcW w:w="1994" w:type="dxa"/>
            <w:vAlign w:val="center"/>
          </w:tcPr>
          <w:p w14:paraId="001001A6" w14:textId="001001A7">
            <w:r/>
            <w:r>
              <w:rPr>
                <w:rFonts w:ascii="Arial" w:hAnsi="Arial"/>
                <w:b w:val="0"/>
                <w:sz w:val="18"/>
              </w:rPr>
              <w:t>I</w:t>
            </w:r>
          </w:p>
        </w:tc>
        <w:tc>
          <w:tcPr>
            <w:tcW w:w="1994" w:type="dxa"/>
            <w:vAlign w:val="center"/>
          </w:tcPr>
          <w:p w14:paraId="001001A8" w14:textId="001001A9">
            <w:r/>
            <w:r>
              <w:rPr>
                <w:rFonts w:ascii="Arial" w:hAnsi="Arial"/>
                <w:b w:val="0"/>
                <w:sz w:val="18"/>
              </w:rPr>
              <w:t>R</w:t>
            </w:r>
          </w:p>
        </w:tc>
        <w:tc>
          <w:tcPr>
            <w:tcW w:w="1994" w:type="dxa"/>
            <w:vAlign w:val="center"/>
          </w:tcPr>
          <w:p w14:paraId="001001AA" w14:textId="001001AB">
            <w:r/>
            <w:r>
              <w:rPr>
                <w:rFonts w:ascii="Arial" w:hAnsi="Arial"/>
                <w:b w:val="0"/>
                <w:sz w:val="18"/>
              </w:rPr>
              <w:t>I</w:t>
            </w:r>
          </w:p>
        </w:tc>
        <w:tc>
          <w:tcPr>
            <w:tcW w:w="1994" w:type="dxa"/>
            <w:vAlign w:val="center"/>
          </w:tcPr>
          <w:p w14:paraId="001001AC" w14:textId="001001AD">
            <w:r/>
            <w:r>
              <w:rPr>
                <w:rFonts w:ascii="Arial" w:hAnsi="Arial"/>
                <w:b w:val="0"/>
                <w:sz w:val="18"/>
              </w:rPr>
              <w:t>I</w:t>
            </w:r>
          </w:p>
        </w:tc>
      </w:tr>
      <w:tr>
        <w:tc>
          <w:tcPr>
            <w:tcW w:w="1994" w:type="dxa"/>
            <w:vAlign w:val="center"/>
          </w:tcPr>
          <w:p w14:paraId="001001AE" w14:textId="001001AF">
            <w:r/>
            <w:r>
              <w:rPr>
                <w:rFonts w:ascii="Arial" w:hAnsi="Arial"/>
                <w:b w:val="0"/>
                <w:sz w:val="18"/>
              </w:rPr>
              <w:t>Request more information</w:t>
            </w:r>
          </w:p>
        </w:tc>
        <w:tc>
          <w:tcPr>
            <w:tcW w:w="1994" w:type="dxa"/>
            <w:vAlign w:val="center"/>
          </w:tcPr>
          <w:p w14:paraId="001001B0" w14:textId="001001B1">
            <w:r/>
            <w:r>
              <w:rPr>
                <w:rFonts w:ascii="Arial" w:hAnsi="Arial"/>
                <w:b w:val="0"/>
                <w:sz w:val="18"/>
              </w:rPr>
              <w:t>I</w:t>
            </w:r>
          </w:p>
        </w:tc>
        <w:tc>
          <w:tcPr>
            <w:tcW w:w="1994" w:type="dxa"/>
            <w:vAlign w:val="center"/>
          </w:tcPr>
          <w:p w14:paraId="001001B2" w14:textId="001001B3">
            <w:r/>
            <w:r>
              <w:rPr>
                <w:rFonts w:ascii="Arial" w:hAnsi="Arial"/>
                <w:b w:val="0"/>
                <w:sz w:val="18"/>
              </w:rPr>
              <w:t>R</w:t>
            </w:r>
          </w:p>
        </w:tc>
        <w:tc>
          <w:tcPr>
            <w:tcW w:w="1994" w:type="dxa"/>
            <w:vAlign w:val="center"/>
          </w:tcPr>
          <w:p w14:paraId="001001B4" w14:textId="001001B5">
            <w:r/>
            <w:r>
              <w:rPr>
                <w:rFonts w:ascii="Arial" w:hAnsi="Arial"/>
                <w:b w:val="0"/>
                <w:sz w:val="18"/>
              </w:rPr>
              <w:t>C</w:t>
            </w:r>
          </w:p>
        </w:tc>
        <w:tc>
          <w:tcPr>
            <w:tcW w:w="1994" w:type="dxa"/>
            <w:vAlign w:val="center"/>
          </w:tcPr>
          <w:p w14:paraId="001001B6" w14:textId="001001B7">
            <w:r/>
            <w:r>
              <w:rPr>
                <w:rFonts w:ascii="Arial" w:hAnsi="Arial"/>
                <w:b w:val="0"/>
                <w:sz w:val="18"/>
              </w:rPr>
              <w:t>I</w:t>
            </w:r>
          </w:p>
        </w:tc>
      </w:tr>
      <w:tr>
        <w:tc>
          <w:tcPr>
            <w:tcW w:w="1994" w:type="dxa"/>
            <w:vAlign w:val="center"/>
          </w:tcPr>
          <w:p w14:paraId="001001B8" w14:textId="001001B9">
            <w:r/>
            <w:r>
              <w:rPr>
                <w:rFonts w:ascii="Arial" w:hAnsi="Arial"/>
                <w:b w:val="0"/>
                <w:sz w:val="18"/>
              </w:rPr>
              <w:t>Respond to information request</w:t>
            </w:r>
          </w:p>
        </w:tc>
        <w:tc>
          <w:tcPr>
            <w:tcW w:w="1994" w:type="dxa"/>
            <w:vAlign w:val="center"/>
          </w:tcPr>
          <w:p w14:paraId="001001BA" w14:textId="001001BB">
            <w:r/>
            <w:r>
              <w:rPr>
                <w:rFonts w:ascii="Arial" w:hAnsi="Arial"/>
                <w:b w:val="0"/>
                <w:sz w:val="18"/>
              </w:rPr>
              <w:t>R</w:t>
            </w:r>
          </w:p>
        </w:tc>
        <w:tc>
          <w:tcPr>
            <w:tcW w:w="1994" w:type="dxa"/>
            <w:vAlign w:val="center"/>
          </w:tcPr>
          <w:p w14:paraId="001001BC" w14:textId="001001BD">
            <w:r/>
            <w:r>
              <w:rPr>
                <w:rFonts w:ascii="Arial" w:hAnsi="Arial"/>
                <w:b w:val="0"/>
                <w:sz w:val="18"/>
              </w:rPr>
              <w:t>I</w:t>
            </w:r>
          </w:p>
        </w:tc>
        <w:tc>
          <w:tcPr>
            <w:tcW w:w="1994" w:type="dxa"/>
            <w:vAlign w:val="center"/>
          </w:tcPr>
          <w:p w14:paraId="001001BE" w14:textId="001001BF">
            <w:r/>
            <w:r>
              <w:rPr>
                <w:rFonts w:ascii="Arial" w:hAnsi="Arial"/>
                <w:b w:val="0"/>
                <w:sz w:val="18"/>
              </w:rPr>
              <w:t>I</w:t>
            </w:r>
          </w:p>
        </w:tc>
        <w:tc>
          <w:tcPr>
            <w:tcW w:w="1994" w:type="dxa"/>
            <w:vAlign w:val="center"/>
          </w:tcPr>
          <w:p w14:paraId="001001C0" w14:textId="001001C1">
            <w:r/>
            <w:r>
              <w:rPr>
                <w:rFonts w:ascii="Arial" w:hAnsi="Arial"/>
                <w:b w:val="0"/>
                <w:sz w:val="18"/>
              </w:rPr>
              <w:t>I</w:t>
            </w:r>
          </w:p>
        </w:tc>
      </w:tr>
      <w:tr>
        <w:tc>
          <w:tcPr>
            <w:tcW w:w="1994" w:type="dxa"/>
            <w:vAlign w:val="center"/>
          </w:tcPr>
          <w:p w14:paraId="001001C2" w14:textId="001001C3">
            <w:r/>
            <w:r>
              <w:rPr>
                <w:rFonts w:ascii="Arial" w:hAnsi="Arial"/>
                <w:b w:val="0"/>
                <w:sz w:val="18"/>
              </w:rPr>
              <w:t>Reject unsuitable assignment/classification</w:t>
            </w:r>
          </w:p>
        </w:tc>
        <w:tc>
          <w:tcPr>
            <w:tcW w:w="1994" w:type="dxa"/>
            <w:vAlign w:val="center"/>
          </w:tcPr>
          <w:p w14:paraId="001001C4" w14:textId="001001C5">
            <w:r/>
            <w:r>
              <w:rPr>
                <w:rFonts w:ascii="Arial" w:hAnsi="Arial"/>
                <w:b w:val="0"/>
                <w:sz w:val="18"/>
              </w:rPr>
              <w:t>I</w:t>
            </w:r>
          </w:p>
        </w:tc>
        <w:tc>
          <w:tcPr>
            <w:tcW w:w="1994" w:type="dxa"/>
            <w:vAlign w:val="center"/>
          </w:tcPr>
          <w:p w14:paraId="001001C6" w14:textId="001001C7">
            <w:r/>
            <w:r>
              <w:rPr>
                <w:rFonts w:ascii="Arial" w:hAnsi="Arial"/>
                <w:b w:val="0"/>
                <w:sz w:val="18"/>
              </w:rPr>
              <w:t>R</w:t>
            </w:r>
          </w:p>
        </w:tc>
        <w:tc>
          <w:tcPr>
            <w:tcW w:w="1994" w:type="dxa"/>
            <w:vAlign w:val="center"/>
          </w:tcPr>
          <w:p w14:paraId="001001C8" w14:textId="001001C9">
            <w:r/>
            <w:r>
              <w:rPr>
                <w:rFonts w:ascii="Arial" w:hAnsi="Arial"/>
                <w:b w:val="0"/>
                <w:sz w:val="18"/>
              </w:rPr>
              <w:t>C</w:t>
            </w:r>
          </w:p>
        </w:tc>
        <w:tc>
          <w:tcPr>
            <w:tcW w:w="1994" w:type="dxa"/>
            <w:vAlign w:val="center"/>
          </w:tcPr>
          <w:p w14:paraId="001001CA" w14:textId="001001CB">
            <w:r/>
            <w:r>
              <w:rPr>
                <w:rFonts w:ascii="Arial" w:hAnsi="Arial"/>
                <w:b w:val="0"/>
                <w:sz w:val="18"/>
              </w:rPr>
              <w:t>I</w:t>
            </w:r>
          </w:p>
        </w:tc>
      </w:tr>
      <w:tr>
        <w:tc>
          <w:tcPr>
            <w:tcW w:w="1994" w:type="dxa"/>
            <w:vAlign w:val="center"/>
          </w:tcPr>
          <w:p w14:paraId="001001CC" w14:textId="001001CD">
            <w:r/>
            <w:r>
              <w:rPr>
                <w:rFonts w:ascii="Arial" w:hAnsi="Arial"/>
                <w:b w:val="0"/>
                <w:sz w:val="18"/>
              </w:rPr>
              <w:t>Handle rejected follow-up</w:t>
            </w:r>
          </w:p>
        </w:tc>
        <w:tc>
          <w:tcPr>
            <w:tcW w:w="1994" w:type="dxa"/>
            <w:vAlign w:val="center"/>
          </w:tcPr>
          <w:p w14:paraId="001001CE" w14:textId="001001CF">
            <w:r/>
            <w:r>
              <w:rPr>
                <w:rFonts w:ascii="Arial" w:hAnsi="Arial"/>
                <w:b w:val="0"/>
                <w:sz w:val="18"/>
              </w:rPr>
              <w:t>R</w:t>
            </w:r>
          </w:p>
        </w:tc>
        <w:tc>
          <w:tcPr>
            <w:tcW w:w="1994" w:type="dxa"/>
            <w:vAlign w:val="center"/>
          </w:tcPr>
          <w:p w14:paraId="001001D0" w14:textId="001001D1">
            <w:r/>
            <w:r>
              <w:rPr>
                <w:rFonts w:ascii="Arial" w:hAnsi="Arial"/>
                <w:b w:val="0"/>
                <w:sz w:val="18"/>
              </w:rPr>
              <w:t>C</w:t>
            </w:r>
          </w:p>
        </w:tc>
        <w:tc>
          <w:tcPr>
            <w:tcW w:w="1994" w:type="dxa"/>
            <w:vAlign w:val="center"/>
          </w:tcPr>
          <w:p w14:paraId="001001D2" w14:textId="001001D3">
            <w:r/>
            <w:r>
              <w:rPr>
                <w:rFonts w:ascii="Arial" w:hAnsi="Arial"/>
                <w:b w:val="0"/>
                <w:sz w:val="18"/>
              </w:rPr>
              <w:t>A</w:t>
            </w:r>
          </w:p>
        </w:tc>
        <w:tc>
          <w:tcPr>
            <w:tcW w:w="1994" w:type="dxa"/>
            <w:vAlign w:val="center"/>
          </w:tcPr>
          <w:p w14:paraId="001001D4" w14:textId="001001D5">
            <w:r/>
            <w:r>
              <w:rPr>
                <w:rFonts w:ascii="Arial" w:hAnsi="Arial"/>
                <w:b w:val="0"/>
                <w:sz w:val="18"/>
              </w:rPr>
              <w:t>I</w:t>
            </w:r>
          </w:p>
        </w:tc>
      </w:tr>
      <w:tr>
        <w:tc>
          <w:tcPr>
            <w:tcW w:w="1994" w:type="dxa"/>
            <w:vAlign w:val="center"/>
          </w:tcPr>
          <w:p w14:paraId="001001D6" w14:textId="001001D7">
            <w:r/>
            <w:r>
              <w:rPr>
                <w:rFonts w:ascii="Arial" w:hAnsi="Arial"/>
                <w:b w:val="0"/>
                <w:sz w:val="18"/>
              </w:rPr>
              <w:t>Resolve bug</w:t>
            </w:r>
          </w:p>
        </w:tc>
        <w:tc>
          <w:tcPr>
            <w:tcW w:w="1994" w:type="dxa"/>
            <w:vAlign w:val="center"/>
          </w:tcPr>
          <w:p w14:paraId="001001D8" w14:textId="001001D9">
            <w:r/>
            <w:r>
              <w:rPr>
                <w:rFonts w:ascii="Arial" w:hAnsi="Arial"/>
                <w:b w:val="0"/>
                <w:sz w:val="18"/>
              </w:rPr>
              <w:t>I</w:t>
            </w:r>
          </w:p>
        </w:tc>
        <w:tc>
          <w:tcPr>
            <w:tcW w:w="1994" w:type="dxa"/>
            <w:vAlign w:val="center"/>
          </w:tcPr>
          <w:p w14:paraId="001001DA" w14:textId="001001DB">
            <w:r/>
            <w:r>
              <w:rPr>
                <w:rFonts w:ascii="Arial" w:hAnsi="Arial"/>
                <w:b w:val="0"/>
                <w:sz w:val="18"/>
              </w:rPr>
              <w:t>R</w:t>
            </w:r>
          </w:p>
        </w:tc>
        <w:tc>
          <w:tcPr>
            <w:tcW w:w="1994" w:type="dxa"/>
            <w:vAlign w:val="center"/>
          </w:tcPr>
          <w:p w14:paraId="001001DC" w14:textId="001001DD">
            <w:r/>
            <w:r>
              <w:rPr>
                <w:rFonts w:ascii="Arial" w:hAnsi="Arial"/>
                <w:b w:val="0"/>
                <w:sz w:val="18"/>
              </w:rPr>
              <w:t>I</w:t>
            </w:r>
          </w:p>
        </w:tc>
        <w:tc>
          <w:tcPr>
            <w:tcW w:w="1994" w:type="dxa"/>
            <w:vAlign w:val="center"/>
          </w:tcPr>
          <w:p w14:paraId="001001DE" w14:textId="001001DF">
            <w:r/>
            <w:r>
              <w:rPr>
                <w:rFonts w:ascii="Arial" w:hAnsi="Arial"/>
                <w:b w:val="0"/>
                <w:sz w:val="18"/>
              </w:rPr>
              <w:t>I</w:t>
            </w:r>
          </w:p>
        </w:tc>
      </w:tr>
      <w:tr>
        <w:tc>
          <w:tcPr>
            <w:tcW w:w="1994" w:type="dxa"/>
            <w:vAlign w:val="center"/>
          </w:tcPr>
          <w:p w14:paraId="001001E0" w14:textId="001001E1">
            <w:r/>
            <w:r>
              <w:rPr>
                <w:rFonts w:ascii="Arial" w:hAnsi="Arial"/>
                <w:b w:val="0"/>
                <w:sz w:val="18"/>
              </w:rPr>
              <w:t>Retest resolved bug</w:t>
            </w:r>
          </w:p>
        </w:tc>
        <w:tc>
          <w:tcPr>
            <w:tcW w:w="1994" w:type="dxa"/>
            <w:vAlign w:val="center"/>
          </w:tcPr>
          <w:p w14:paraId="001001E2" w14:textId="001001E3">
            <w:r/>
            <w:r>
              <w:rPr>
                <w:rFonts w:ascii="Arial" w:hAnsi="Arial"/>
                <w:b w:val="0"/>
                <w:sz w:val="18"/>
              </w:rPr>
              <w:t>R</w:t>
            </w:r>
          </w:p>
        </w:tc>
        <w:tc>
          <w:tcPr>
            <w:tcW w:w="1994" w:type="dxa"/>
            <w:vAlign w:val="center"/>
          </w:tcPr>
          <w:p w14:paraId="001001E4" w14:textId="001001E5">
            <w:r/>
            <w:r>
              <w:rPr>
                <w:rFonts w:ascii="Arial" w:hAnsi="Arial"/>
                <w:b w:val="0"/>
                <w:sz w:val="18"/>
              </w:rPr>
              <w:t>C</w:t>
            </w:r>
          </w:p>
        </w:tc>
        <w:tc>
          <w:tcPr>
            <w:tcW w:w="1994" w:type="dxa"/>
            <w:vAlign w:val="center"/>
          </w:tcPr>
          <w:p w14:paraId="001001E6" w14:textId="001001E7">
            <w:r/>
            <w:r>
              <w:rPr>
                <w:rFonts w:ascii="Arial" w:hAnsi="Arial"/>
                <w:b w:val="0"/>
                <w:sz w:val="18"/>
              </w:rPr>
              <w:t>C</w:t>
            </w:r>
          </w:p>
        </w:tc>
        <w:tc>
          <w:tcPr>
            <w:tcW w:w="1994" w:type="dxa"/>
            <w:vAlign w:val="center"/>
          </w:tcPr>
          <w:p w14:paraId="001001E8" w14:textId="001001E9">
            <w:r/>
            <w:r>
              <w:rPr>
                <w:rFonts w:ascii="Arial" w:hAnsi="Arial"/>
                <w:b w:val="0"/>
                <w:sz w:val="18"/>
              </w:rPr>
              <w:t>I</w:t>
            </w:r>
          </w:p>
        </w:tc>
      </w:tr>
      <w:tr>
        <w:tc>
          <w:tcPr>
            <w:tcW w:w="1994" w:type="dxa"/>
            <w:vAlign w:val="center"/>
          </w:tcPr>
          <w:p w14:paraId="001001EA" w14:textId="001001EB">
            <w:r/>
            <w:r>
              <w:rPr>
                <w:rFonts w:ascii="Arial" w:hAnsi="Arial"/>
                <w:b w:val="0"/>
                <w:sz w:val="18"/>
              </w:rPr>
              <w:t>Close or reopen bug</w:t>
            </w:r>
          </w:p>
        </w:tc>
        <w:tc>
          <w:tcPr>
            <w:tcW w:w="1994" w:type="dxa"/>
            <w:vAlign w:val="center"/>
          </w:tcPr>
          <w:p w14:paraId="001001EC" w14:textId="001001ED">
            <w:r/>
            <w:r>
              <w:rPr>
                <w:rFonts w:ascii="Arial" w:hAnsi="Arial"/>
                <w:b w:val="0"/>
                <w:sz w:val="18"/>
              </w:rPr>
              <w:t>R</w:t>
            </w:r>
          </w:p>
        </w:tc>
        <w:tc>
          <w:tcPr>
            <w:tcW w:w="1994" w:type="dxa"/>
            <w:vAlign w:val="center"/>
          </w:tcPr>
          <w:p w14:paraId="001001EE" w14:textId="001001EF">
            <w:r/>
            <w:r>
              <w:rPr>
                <w:rFonts w:ascii="Arial" w:hAnsi="Arial"/>
                <w:b w:val="0"/>
                <w:sz w:val="18"/>
              </w:rPr>
              <w:t>I</w:t>
            </w:r>
          </w:p>
        </w:tc>
        <w:tc>
          <w:tcPr>
            <w:tcW w:w="1994" w:type="dxa"/>
            <w:vAlign w:val="center"/>
          </w:tcPr>
          <w:p w14:paraId="001001F0" w14:textId="001001F1">
            <w:r/>
            <w:r>
              <w:rPr>
                <w:rFonts w:ascii="Arial" w:hAnsi="Arial"/>
                <w:b w:val="0"/>
                <w:sz w:val="18"/>
              </w:rPr>
              <w:t>C</w:t>
            </w:r>
          </w:p>
        </w:tc>
        <w:tc>
          <w:tcPr>
            <w:tcW w:w="1994" w:type="dxa"/>
            <w:vAlign w:val="center"/>
          </w:tcPr>
          <w:p w14:paraId="001001F2" w14:textId="001001F3">
            <w:r/>
            <w:r>
              <w:rPr>
                <w:rFonts w:ascii="Arial" w:hAnsi="Arial"/>
                <w:b w:val="0"/>
                <w:sz w:val="18"/>
              </w:rPr>
              <w:t>I</w:t>
            </w:r>
          </w:p>
        </w:tc>
      </w:tr>
      <w:tr>
        <w:tc>
          <w:tcPr>
            <w:tcW w:w="1994" w:type="dxa"/>
            <w:vAlign w:val="center"/>
          </w:tcPr>
          <w:p w14:paraId="001001F4" w14:textId="001001F5">
            <w:r/>
            <w:r>
              <w:rPr>
                <w:rFonts w:ascii="Arial" w:hAnsi="Arial"/>
                <w:b w:val="0"/>
                <w:sz w:val="18"/>
              </w:rPr>
              <w:t>Monitor workload and overdue bugs</w:t>
            </w:r>
          </w:p>
        </w:tc>
        <w:tc>
          <w:tcPr>
            <w:tcW w:w="1994" w:type="dxa"/>
            <w:vAlign w:val="center"/>
          </w:tcPr>
          <w:p w14:paraId="001001F6" w14:textId="001001F7">
            <w:r/>
            <w:r>
              <w:rPr>
                <w:rFonts w:ascii="Arial" w:hAnsi="Arial"/>
                <w:b w:val="0"/>
                <w:sz w:val="18"/>
              </w:rPr>
              <w:t>I</w:t>
            </w:r>
          </w:p>
        </w:tc>
        <w:tc>
          <w:tcPr>
            <w:tcW w:w="1994" w:type="dxa"/>
            <w:vAlign w:val="center"/>
          </w:tcPr>
          <w:p w14:paraId="001001F8" w14:textId="001001F9">
            <w:r/>
            <w:r>
              <w:rPr>
                <w:rFonts w:ascii="Arial" w:hAnsi="Arial"/>
                <w:b w:val="0"/>
                <w:sz w:val="18"/>
              </w:rPr>
              <w:t>I</w:t>
            </w:r>
          </w:p>
        </w:tc>
        <w:tc>
          <w:tcPr>
            <w:tcW w:w="1994" w:type="dxa"/>
            <w:vAlign w:val="center"/>
          </w:tcPr>
          <w:p w14:paraId="001001FA" w14:textId="001001FB">
            <w:r/>
            <w:r>
              <w:rPr>
                <w:rFonts w:ascii="Arial" w:hAnsi="Arial"/>
                <w:b w:val="0"/>
                <w:sz w:val="18"/>
              </w:rPr>
              <w:t>R</w:t>
            </w:r>
          </w:p>
        </w:tc>
        <w:tc>
          <w:tcPr>
            <w:tcW w:w="1994" w:type="dxa"/>
            <w:vAlign w:val="center"/>
          </w:tcPr>
          <w:p w14:paraId="001001FC" w14:textId="001001FD">
            <w:r/>
            <w:r>
              <w:rPr>
                <w:rFonts w:ascii="Arial" w:hAnsi="Arial"/>
                <w:b w:val="0"/>
                <w:sz w:val="18"/>
              </w:rPr>
              <w:t>I</w:t>
            </w:r>
          </w:p>
        </w:tc>
      </w:tr>
      <w:tr>
        <w:tc>
          <w:tcPr>
            <w:tcW w:w="1994" w:type="dxa"/>
            <w:vAlign w:val="center"/>
          </w:tcPr>
          <w:p w14:paraId="001001FE" w14:textId="001001FF">
            <w:r/>
            <w:r>
              <w:rPr>
                <w:rFonts w:ascii="Arial" w:hAnsi="Arial"/>
                <w:b w:val="0"/>
                <w:sz w:val="18"/>
              </w:rPr>
              <w:t>Approve project deliverables</w:t>
            </w:r>
          </w:p>
        </w:tc>
        <w:tc>
          <w:tcPr>
            <w:tcW w:w="1994" w:type="dxa"/>
            <w:vAlign w:val="center"/>
          </w:tcPr>
          <w:p w14:paraId="00100200" w14:textId="00100201">
            <w:r/>
            <w:r>
              <w:rPr>
                <w:rFonts w:ascii="Arial" w:hAnsi="Arial"/>
                <w:b w:val="0"/>
                <w:sz w:val="18"/>
              </w:rPr>
              <w:t>I</w:t>
            </w:r>
          </w:p>
        </w:tc>
        <w:tc>
          <w:tcPr>
            <w:tcW w:w="1994" w:type="dxa"/>
            <w:vAlign w:val="center"/>
          </w:tcPr>
          <w:p w14:paraId="00100202" w14:textId="00100203">
            <w:r/>
            <w:r>
              <w:rPr>
                <w:rFonts w:ascii="Arial" w:hAnsi="Arial"/>
                <w:b w:val="0"/>
                <w:sz w:val="18"/>
              </w:rPr>
              <w:t>I</w:t>
            </w:r>
          </w:p>
        </w:tc>
        <w:tc>
          <w:tcPr>
            <w:tcW w:w="1994" w:type="dxa"/>
            <w:vAlign w:val="center"/>
          </w:tcPr>
          <w:p w14:paraId="00100204" w14:textId="00100205">
            <w:r/>
            <w:r>
              <w:rPr>
                <w:rFonts w:ascii="Arial" w:hAnsi="Arial"/>
                <w:b w:val="0"/>
                <w:sz w:val="18"/>
              </w:rPr>
              <w:t>C</w:t>
            </w:r>
          </w:p>
        </w:tc>
        <w:tc>
          <w:tcPr>
            <w:tcW w:w="1994" w:type="dxa"/>
            <w:vAlign w:val="center"/>
          </w:tcPr>
          <w:p w14:paraId="00100206" w14:textId="00100207">
            <w:r/>
            <w:r>
              <w:rPr>
                <w:rFonts w:ascii="Arial" w:hAnsi="Arial"/>
                <w:b w:val="0"/>
                <w:sz w:val="18"/>
              </w:rPr>
              <w:t>A</w:t>
            </w:r>
          </w:p>
        </w:tc>
      </w:tr>
    </w:tbl>
    <w:p w14:paraId="00100208" w14:textId="00100209">
      <w:r>
        <w:t>Legend: R = Responsible, A = Accountable, C = Consulted, I = Informed.</w:t>
      </w:r>
    </w:p>
    <w:p w14:paraId="0010020A" w14:textId="0010020B">
      <w:r>
        <w:t>For MVP, one real user may perform multiple responsibilities, but only Tester, Developer, and PM are active application roles.</w:t>
      </w:r>
    </w:p>
    <w:p w14:paraId="0010020C" w14:textId="0010020D">
      <w:pPr>
        <w:pStyle w:val="Heading2"/>
      </w:pPr>
      <w:r>
        <w:t>8. Current State</w:t>
      </w:r>
    </w:p>
    <w:p w14:paraId="0010020E" w14:textId="0010020F">
      <w:r>
        <w:t>The repository now implements the agreed CAP/Fiori MVP baseline: structured bug creation, classification and responsibility-aware assignment, controlled lifecycle actions, comments, draft attachments, audit/history, notifications, PM monitoring, and optional AI assistance that remains human-review only. The SAP490 review focuses on evidence, traceability, and remaining acceptance rather than a minimal scaffold.</w:t>
      </w:r>
    </w:p>
    <w:p w14:paraId="00100210" w14:textId="00100211">
      <w:r>
        <w:t>The optional real AI provider is disabled by default and does not change business authority, authorization, validation, assignment, or status transitions. Its production use remains dependent on approved private configuration and separate live-provider evidence; this BRD does not treat AI output as a business decision.</w:t>
      </w:r>
    </w:p>
    <w:p w14:paraId="00100212" w14:textId="00100213">
      <w:r>
        <w:t>Without the target system, the team would rely on manual coordination, comments, informal notes, or external files. This creates risk around duplicate reports, wrong assignment, unclear ownership, inconsistent status usage, rejected bugs without follow-up, and missing audit trail.</w:t>
      </w:r>
    </w:p>
    <w:p w14:paraId="00100214" w14:textId="00100215">
      <w:pPr>
        <w:pStyle w:val="Heading2"/>
      </w:pPr>
      <w:r>
        <w:t>9. Future State</w:t>
      </w:r>
    </w:p>
    <w:p w14:paraId="00100216" w14:textId="00100217">
      <w:r>
        <w:t>The target business process should support this end-to-end flow:</w:t>
      </w:r>
    </w:p>
    <w:p w14:paraId="00100218" w14:textId="00100219">
      <w:pPr>
        <w:pStyle w:val="ListNumber"/>
      </w:pPr>
      <w:r>
        <w:t>Tester detects a defect.</w:t>
      </w:r>
    </w:p>
    <w:p w14:paraId="0010021A" w14:textId="0010021B">
      <w:pPr>
        <w:pStyle w:val="ListNumber"/>
      </w:pPr>
      <w:r>
        <w:t>Tester searches existing bugs to reduce duplicates.</w:t>
      </w:r>
    </w:p>
    <w:p w14:paraId="0010021C" w14:textId="0010021D">
      <w:pPr>
        <w:pStyle w:val="ListNumber"/>
      </w:pPr>
      <w:r>
        <w:t>Tester creates or updates a structured bug report.</w:t>
      </w:r>
    </w:p>
    <w:p w14:paraId="0010021E" w14:textId="0010021F">
      <w:pPr>
        <w:pStyle w:val="ListNumber"/>
      </w:pPr>
      <w:r>
        <w:t>Tester selects SAP Module when relevant, Application Component, and Defect Category.</w:t>
      </w:r>
    </w:p>
    <w:p w14:paraId="00100220" w14:textId="00100221">
      <w:pPr>
        <w:pStyle w:val="ListNumber"/>
      </w:pPr>
      <w:r>
        <w:t>System supports Developer candidate filtering using Developer Responsibility.</w:t>
      </w:r>
    </w:p>
    <w:p w14:paraId="00100222" w14:textId="00100223">
      <w:pPr>
        <w:pStyle w:val="ListNumber"/>
      </w:pPr>
      <w:r>
        <w:t>Tester submits the bug as Assigned or Pending Assignment.</w:t>
      </w:r>
    </w:p>
    <w:p w14:paraId="00100224" w14:textId="00100225">
      <w:pPr>
        <w:pStyle w:val="ListNumber"/>
      </w:pPr>
      <w:r>
        <w:t>Developer reviews the assigned bug and starts processing.</w:t>
      </w:r>
    </w:p>
    <w:p w14:paraId="00100226" w14:textId="00100227">
      <w:pPr>
        <w:pStyle w:val="ListNumber"/>
      </w:pPr>
      <w:r>
        <w:t>Developer can request more information, reject with reason, progress the bug, or mark it Resolved.</w:t>
      </w:r>
    </w:p>
    <w:p w14:paraId="00100228" w14:textId="00100229">
      <w:pPr>
        <w:pStyle w:val="ListNumber"/>
      </w:pPr>
      <w:r>
        <w:t>Tester or PM handles rejected follow-up by correcting data, adding information, reassigning, or moving to Pending Assignment.</w:t>
      </w:r>
    </w:p>
    <w:p w14:paraId="0010022A" w14:textId="0010022B">
      <w:r>
        <w:t>10. Tester or PM verifies resolved bugs through Retest Required when needed.</w:t>
      </w:r>
    </w:p>
    <w:p w14:paraId="0010022C" w14:textId="0010022D">
      <w:r>
        <w:t>11. Accepted bugs are Closed; unresolved issues can be Reopened.</w:t>
      </w:r>
    </w:p>
    <w:p w14:paraId="0010022E" w14:textId="0010022F">
      <w:r>
        <w:t>12. PM monitors workload, overdue items, queues, rejected follow-up, nextProcessor, and status progress.</w:t>
      </w:r>
    </w:p>
    <w:p w14:paraId="00100230" w14:textId="00100231">
      <w:r>
        <w:t>13. The system records important changes in history logs and creates notification records for key events.</w:t>
      </w:r>
    </w:p>
    <w:p w14:paraId="00100232" w14:textId="00100233">
      <w:pPr>
        <w:pStyle w:val="Heading2"/>
      </w:pPr>
      <w:r>
        <w:t>10. Scope</w:t>
      </w:r>
    </w:p>
    <w:p w14:paraId="00100234" w14:textId="00100235">
      <w:pPr>
        <w:pStyle w:val="Heading3"/>
      </w:pPr>
      <w:r>
        <w:t>10.1 In Scope</w:t>
      </w:r>
    </w:p>
    <w:p w14:paraId="00100236" w14:textId="00100237">
      <w:pPr>
        <w:pStyle w:val="ListBullet"/>
      </w:pPr>
      <w:r>
        <w:t>Structured bug/defect report creation.</w:t>
      </w:r>
    </w:p>
    <w:p w14:paraId="00100238" w14:textId="00100239">
      <w:pPr>
        <w:pStyle w:val="ListBullet"/>
      </w:pPr>
      <w:r>
        <w:t>Existing bug search before creating a new bug.</w:t>
      </w:r>
    </w:p>
    <w:p w14:paraId="0010023A" w14:textId="0010023B">
      <w:pPr>
        <w:pStyle w:val="ListBullet"/>
      </w:pPr>
      <w:r>
        <w:t>Defect information such as title, description, priority, severity, environment, reproduction steps, actual result, expected result, optional evidence, and optional test references.</w:t>
      </w:r>
    </w:p>
    <w:p w14:paraId="0010023C" w14:textId="0010023D">
      <w:pPr>
        <w:pStyle w:val="ListBullet"/>
      </w:pPr>
      <w:r>
        <w:t>Classification by optional SAP Module, required Application Component, and required Defect Category.</w:t>
      </w:r>
    </w:p>
    <w:p w14:paraId="0010023E" w14:textId="0010023F">
      <w:pPr>
        <w:pStyle w:val="ListBullet"/>
      </w:pPr>
      <w:r>
        <w:t>Component Category as the valid pairing of Application Component and Defect Category.</w:t>
      </w:r>
    </w:p>
    <w:p w14:paraId="00100240" w14:textId="00100241">
      <w:pPr>
        <w:pStyle w:val="ListBullet"/>
      </w:pPr>
      <w:r>
        <w:t>Developer assignment based on Developer Responsibility.</w:t>
      </w:r>
    </w:p>
    <w:p w14:paraId="00100242" w14:textId="00100243">
      <w:pPr>
        <w:pStyle w:val="ListBullet"/>
      </w:pPr>
      <w:r>
        <w:t>Pending Assignment when no suitable Developer is available.</w:t>
      </w:r>
    </w:p>
    <w:p w14:paraId="00100244" w14:textId="00100245">
      <w:pPr>
        <w:pStyle w:val="ListBullet"/>
      </w:pPr>
      <w:r>
        <w:t>Developer review, request more information, rejection with reason, status update, notes, and resolution.</w:t>
      </w:r>
    </w:p>
    <w:p w14:paraId="00100246" w14:textId="00100247">
      <w:pPr>
        <w:pStyle w:val="ListBullet"/>
      </w:pPr>
      <w:r>
        <w:t>Rejected follow-up by Tester or PM.</w:t>
      </w:r>
    </w:p>
    <w:p w14:paraId="00100248" w14:textId="00100249">
      <w:pPr>
        <w:pStyle w:val="ListBullet"/>
      </w:pPr>
      <w:r>
        <w:t>Retest before closure when verification is required.</w:t>
      </w:r>
    </w:p>
    <w:p w14:paraId="0010024A" w14:textId="0010024B">
      <w:pPr>
        <w:pStyle w:val="ListBullet"/>
      </w:pPr>
      <w:r>
        <w:t>Comments attached to bugs.</w:t>
      </w:r>
    </w:p>
    <w:p w14:paraId="0010024C" w14:textId="0010024D">
      <w:pPr>
        <w:pStyle w:val="ListBullet"/>
      </w:pPr>
      <w:r>
        <w:t>Notification records for important events.</w:t>
      </w:r>
    </w:p>
    <w:p w14:paraId="0010024E" w14:textId="0010024F">
      <w:pPr>
        <w:pStyle w:val="ListBullet"/>
      </w:pPr>
      <w:r>
        <w:t>History/audit logs for important changes.</w:t>
      </w:r>
    </w:p>
    <w:p w14:paraId="00100250" w14:textId="00100251">
      <w:pPr>
        <w:pStyle w:val="ListBullet"/>
      </w:pPr>
      <w:r>
        <w:t>PM monitoring for workload, overdue bugs, pending assignment, rejected follow-up, status progress, and nextProcessor.</w:t>
      </w:r>
    </w:p>
    <w:p w14:paraId="00100252" w14:textId="00100253">
      <w:pPr>
        <w:pStyle w:val="Heading3"/>
      </w:pPr>
      <w:r>
        <w:t>10.2 Out of Scope</w:t>
      </w:r>
    </w:p>
    <w:p w14:paraId="00100254" w14:textId="00100255">
      <w:pPr>
        <w:pStyle w:val="ListBullet"/>
      </w:pPr>
      <w:r>
        <w:t>Direct code fixing inside IDTS.</w:t>
      </w:r>
    </w:p>
    <w:p w14:paraId="00100256" w14:textId="00100257">
      <w:pPr>
        <w:pStyle w:val="ListBullet"/>
      </w:pPr>
      <w:r>
        <w:t>Source-code management.</w:t>
      </w:r>
    </w:p>
    <w:p w14:paraId="00100258" w14:textId="00100259">
      <w:pPr>
        <w:pStyle w:val="ListBullet"/>
      </w:pPr>
      <w:r>
        <w:t>CI/CD and deployment pipeline management.</w:t>
      </w:r>
    </w:p>
    <w:p w14:paraId="0010025A" w14:textId="0010025B">
      <w:pPr>
        <w:pStyle w:val="ListBullet"/>
      </w:pPr>
      <w:r>
        <w:t>Code review workflow.</w:t>
      </w:r>
    </w:p>
    <w:p w14:paraId="0010025C" w14:textId="0010025D">
      <w:pPr>
        <w:pStyle w:val="ListBullet"/>
      </w:pPr>
      <w:r>
        <w:t>Sprint planning and full project management.</w:t>
      </w:r>
    </w:p>
    <w:p w14:paraId="0010025E" w14:textId="0010025F">
      <w:pPr>
        <w:pStyle w:val="ListBullet"/>
      </w:pPr>
      <w:r>
        <w:t>Full Jira replacement.</w:t>
      </w:r>
    </w:p>
    <w:p w14:paraId="00100260" w14:textId="00100261">
      <w:pPr>
        <w:pStyle w:val="ListBullet"/>
      </w:pPr>
      <w:r>
        <w:t>Full SAP Cloud ALM or SAP Solution Manager replacement.</w:t>
      </w:r>
    </w:p>
    <w:p w14:paraId="00100262" w14:textId="00100263">
      <w:pPr>
        <w:pStyle w:val="ListBullet"/>
      </w:pPr>
      <w:r>
        <w:t>ServiceNow-style enterprise incident management.</w:t>
      </w:r>
    </w:p>
    <w:p w14:paraId="00100264" w14:textId="00100265">
      <w:pPr>
        <w:pStyle w:val="ListBullet"/>
      </w:pPr>
      <w:r>
        <w:t>Full test management module.</w:t>
      </w:r>
    </w:p>
    <w:p w14:paraId="00100266" w14:textId="00100267">
      <w:pPr>
        <w:pStyle w:val="ListBullet"/>
      </w:pPr>
      <w:r>
        <w:t>SAP transport/release management.</w:t>
      </w:r>
    </w:p>
    <w:p w14:paraId="00100268" w14:textId="00100269">
      <w:pPr>
        <w:pStyle w:val="ListBullet"/>
      </w:pPr>
      <w:r>
        <w:t>Complex multi-level approval workflow.</w:t>
      </w:r>
    </w:p>
    <w:p w14:paraId="0010026A" w14:textId="0010026B">
      <w:pPr>
        <w:pStyle w:val="ListBullet"/>
      </w:pPr>
      <w:r>
        <w:t>Mandatory AI root cause analysis.</w:t>
      </w:r>
    </w:p>
    <w:p w14:paraId="0010026C" w14:textId="0010026D">
      <w:pPr>
        <w:pStyle w:val="ListBullet"/>
      </w:pPr>
      <w:r>
        <w:t>Hardcoded SAP BTP, HANA Cloud, PostgreSQL, email, webhook, or private endpoint configuration.</w:t>
      </w:r>
    </w:p>
    <w:p w14:paraId="0010026E" w14:textId="0010026F">
      <w:pPr>
        <w:pStyle w:val="Heading3"/>
      </w:pPr>
      <w:r>
        <w:t>10.3 Dependencies</w:t>
      </w:r>
    </w:p>
    <w:tbl>
      <w:tblPr>
        <w:tblStyle w:val="TableGrid"/>
        <w:tblW w:w="0" w:type="auto"/>
        <w:tblLayout w:type="autofit"/>
        <w:tblLook w:val="04A0" w:firstRow="1" w:lastRow="0" w:firstColumn="1" w:lastColumn="0" w:noHBand="0" w:noVBand="1"/>
      </w:tblPr>
      <w:tblGrid>
        <w:gridCol w:w="4986"/>
        <w:gridCol w:w="4986"/>
      </w:tblGrid>
      <w:tr>
        <w:tc>
          <w:tcPr>
            <w:tcW w:w="4986" w:type="dxa"/>
            <w:shd w:val="clear" w:fill="D9E2F3"/>
            <w:vAlign w:val="center"/>
          </w:tcPr>
          <w:p w14:paraId="00100270" w14:textId="00100271">
            <w:r/>
            <w:r>
              <w:rPr>
                <w:rFonts w:ascii="Arial" w:hAnsi="Arial"/>
                <w:b/>
                <w:sz w:val="18"/>
              </w:rPr>
              <w:t>Dependency</w:t>
            </w:r>
          </w:p>
        </w:tc>
        <w:tc>
          <w:tcPr>
            <w:tcW w:w="4986" w:type="dxa"/>
            <w:shd w:val="clear" w:fill="D9E2F3"/>
            <w:vAlign w:val="center"/>
          </w:tcPr>
          <w:p w14:paraId="00100272" w14:textId="00100273">
            <w:r/>
            <w:r>
              <w:rPr>
                <w:rFonts w:ascii="Arial" w:hAnsi="Arial"/>
                <w:b/>
                <w:sz w:val="18"/>
              </w:rPr>
              <w:t>Reason</w:t>
            </w:r>
          </w:p>
        </w:tc>
      </w:tr>
      <w:tr>
        <w:tc>
          <w:tcPr>
            <w:tcW w:w="4986" w:type="dxa"/>
            <w:vAlign w:val="center"/>
          </w:tcPr>
          <w:p w14:paraId="00100274" w14:textId="00100275">
            <w:r/>
            <w:r>
              <w:rPr>
                <w:rFonts w:ascii="Arial" w:hAnsi="Arial"/>
                <w:b w:val="0"/>
                <w:sz w:val="18"/>
              </w:rPr>
              <w:t>Confirm SAP490 artifact expectations with mentor</w:t>
            </w:r>
          </w:p>
        </w:tc>
        <w:tc>
          <w:tcPr>
            <w:tcW w:w="4986" w:type="dxa"/>
            <w:vAlign w:val="center"/>
          </w:tcPr>
          <w:p w14:paraId="00100276" w14:textId="00100277">
            <w:r/>
            <w:r>
              <w:rPr>
                <w:rFonts w:ascii="Arial" w:hAnsi="Arial"/>
                <w:b w:val="0"/>
                <w:sz w:val="18"/>
              </w:rPr>
              <w:t>SAP490 templates may be ABAP-centric while this project uses SAP CAP/Fiori.</w:t>
            </w:r>
          </w:p>
        </w:tc>
      </w:tr>
      <w:tr>
        <w:tc>
          <w:tcPr>
            <w:tcW w:w="4986" w:type="dxa"/>
            <w:vAlign w:val="center"/>
          </w:tcPr>
          <w:p w14:paraId="00100278" w14:textId="00100279">
            <w:r/>
            <w:r>
              <w:rPr>
                <w:rFonts w:ascii="Arial" w:hAnsi="Arial"/>
                <w:b w:val="0"/>
                <w:sz w:val="18"/>
              </w:rPr>
              <w:t>Stable data model before Fiori build</w:t>
            </w:r>
          </w:p>
        </w:tc>
        <w:tc>
          <w:tcPr>
            <w:tcW w:w="4986" w:type="dxa"/>
            <w:vAlign w:val="center"/>
          </w:tcPr>
          <w:p w14:paraId="0010027A" w14:textId="0010027B">
            <w:r/>
            <w:r>
              <w:rPr>
                <w:rFonts w:ascii="Arial" w:hAnsi="Arial"/>
                <w:b w:val="0"/>
                <w:sz w:val="18"/>
              </w:rPr>
              <w:t>Fiori List Report/Object Page depends on stable entities, associations, actions, and annotations.</w:t>
            </w:r>
          </w:p>
        </w:tc>
      </w:tr>
      <w:tr>
        <w:tc>
          <w:tcPr>
            <w:tcW w:w="4986" w:type="dxa"/>
            <w:vAlign w:val="center"/>
          </w:tcPr>
          <w:p w14:paraId="0010027C" w14:textId="0010027D">
            <w:r/>
            <w:r>
              <w:rPr>
                <w:rFonts w:ascii="Arial" w:hAnsi="Arial"/>
                <w:b w:val="0"/>
                <w:sz w:val="18"/>
              </w:rPr>
              <w:t>Defined status transition rules</w:t>
            </w:r>
          </w:p>
        </w:tc>
        <w:tc>
          <w:tcPr>
            <w:tcW w:w="4986" w:type="dxa"/>
            <w:vAlign w:val="center"/>
          </w:tcPr>
          <w:p w14:paraId="0010027E" w14:textId="0010027F">
            <w:r/>
            <w:r>
              <w:rPr>
                <w:rFonts w:ascii="Arial" w:hAnsi="Arial"/>
                <w:b w:val="0"/>
                <w:sz w:val="18"/>
              </w:rPr>
              <w:t>Backend validations and UI actions depend on agreed lifecycle rules.</w:t>
            </w:r>
          </w:p>
        </w:tc>
      </w:tr>
      <w:tr>
        <w:tc>
          <w:tcPr>
            <w:tcW w:w="4986" w:type="dxa"/>
            <w:vAlign w:val="center"/>
          </w:tcPr>
          <w:p w14:paraId="00100280" w14:textId="00100281">
            <w:r/>
            <w:r>
              <w:rPr>
                <w:rFonts w:ascii="Arial" w:hAnsi="Arial"/>
                <w:b w:val="0"/>
                <w:sz w:val="18"/>
              </w:rPr>
              <w:t>Developer responsibility master data</w:t>
            </w:r>
          </w:p>
        </w:tc>
        <w:tc>
          <w:tcPr>
            <w:tcW w:w="4986" w:type="dxa"/>
            <w:vAlign w:val="center"/>
          </w:tcPr>
          <w:p w14:paraId="00100282" w14:textId="00100283">
            <w:r/>
            <w:r>
              <w:rPr>
                <w:rFonts w:ascii="Arial" w:hAnsi="Arial"/>
                <w:b w:val="0"/>
                <w:sz w:val="18"/>
              </w:rPr>
              <w:t>Assignment filtering depends on reliable responsibility mapping.</w:t>
            </w:r>
          </w:p>
        </w:tc>
      </w:tr>
      <w:tr>
        <w:tc>
          <w:tcPr>
            <w:tcW w:w="4986" w:type="dxa"/>
            <w:vAlign w:val="center"/>
          </w:tcPr>
          <w:p w14:paraId="00100284" w14:textId="00100285">
            <w:r/>
            <w:r>
              <w:rPr>
                <w:rFonts w:ascii="Arial" w:hAnsi="Arial"/>
                <w:b w:val="0"/>
                <w:sz w:val="18"/>
              </w:rPr>
              <w:t>Notification channel decision</w:t>
            </w:r>
          </w:p>
        </w:tc>
        <w:tc>
          <w:tcPr>
            <w:tcW w:w="4986" w:type="dxa"/>
            <w:vAlign w:val="center"/>
          </w:tcPr>
          <w:p w14:paraId="00100286" w14:textId="00100287">
            <w:r/>
            <w:r>
              <w:rPr>
                <w:rFonts w:ascii="Arial" w:hAnsi="Arial"/>
                <w:b w:val="0"/>
                <w:sz w:val="18"/>
              </w:rPr>
              <w:t>MVP may start with notification records; actual delivery channel can be deferred.</w:t>
            </w:r>
          </w:p>
        </w:tc>
      </w:tr>
    </w:tbl>
    <w:p w14:paraId="00100288" w14:textId="00100289">
      <w:pPr>
        <w:pStyle w:val="Heading2"/>
      </w:pPr>
      <w:r>
        <w:t>11. Business Capabilities</w:t>
      </w:r>
    </w:p>
    <w:tbl>
      <w:tblPr>
        <w:tblStyle w:val="TableGrid"/>
        <w:tblW w:w="0" w:type="auto"/>
        <w:tblLayout w:type="autofit"/>
        <w:tblLook w:val="04A0" w:firstRow="1" w:lastRow="0" w:firstColumn="1" w:lastColumn="0" w:noHBand="0" w:noVBand="1"/>
      </w:tblPr>
      <w:tblGrid>
        <w:gridCol w:w="3324"/>
        <w:gridCol w:w="3324"/>
        <w:gridCol w:w="3324"/>
      </w:tblGrid>
      <w:tr>
        <w:tc>
          <w:tcPr>
            <w:tcW w:w="3324" w:type="dxa"/>
            <w:shd w:val="clear" w:fill="D9E2F3"/>
            <w:vAlign w:val="center"/>
          </w:tcPr>
          <w:p w14:paraId="0010028A" w14:textId="0010028B">
            <w:r/>
            <w:r>
              <w:rPr>
                <w:rFonts w:ascii="Arial" w:hAnsi="Arial"/>
                <w:b/>
                <w:sz w:val="18"/>
              </w:rPr>
              <w:t>Capability</w:t>
            </w:r>
          </w:p>
        </w:tc>
        <w:tc>
          <w:tcPr>
            <w:tcW w:w="3324" w:type="dxa"/>
            <w:shd w:val="clear" w:fill="D9E2F3"/>
            <w:vAlign w:val="center"/>
          </w:tcPr>
          <w:p w14:paraId="0010028C" w14:textId="0010028D">
            <w:r/>
            <w:r>
              <w:rPr>
                <w:rFonts w:ascii="Arial" w:hAnsi="Arial"/>
                <w:b/>
                <w:sz w:val="18"/>
              </w:rPr>
              <w:t>Business Description</w:t>
            </w:r>
          </w:p>
        </w:tc>
        <w:tc>
          <w:tcPr>
            <w:tcW w:w="3324" w:type="dxa"/>
            <w:shd w:val="clear" w:fill="D9E2F3"/>
            <w:vAlign w:val="center"/>
          </w:tcPr>
          <w:p w14:paraId="0010028E" w14:textId="0010028F">
            <w:r/>
            <w:r>
              <w:rPr>
                <w:rFonts w:ascii="Arial" w:hAnsi="Arial"/>
                <w:b/>
                <w:sz w:val="18"/>
              </w:rPr>
              <w:t>MVP Priority</w:t>
            </w:r>
          </w:p>
        </w:tc>
      </w:tr>
      <w:tr>
        <w:tc>
          <w:tcPr>
            <w:tcW w:w="3324" w:type="dxa"/>
            <w:vAlign w:val="center"/>
          </w:tcPr>
          <w:p w14:paraId="00100290" w14:textId="00100291">
            <w:r/>
            <w:r>
              <w:rPr>
                <w:rFonts w:ascii="Arial" w:hAnsi="Arial"/>
                <w:b w:val="0"/>
                <w:sz w:val="18"/>
              </w:rPr>
              <w:t>Bug Reporting</w:t>
            </w:r>
          </w:p>
        </w:tc>
        <w:tc>
          <w:tcPr>
            <w:tcW w:w="3324" w:type="dxa"/>
            <w:vAlign w:val="center"/>
          </w:tcPr>
          <w:p w14:paraId="00100292" w14:textId="00100293">
            <w:r/>
            <w:r>
              <w:rPr>
                <w:rFonts w:ascii="Arial" w:hAnsi="Arial"/>
                <w:b w:val="0"/>
                <w:sz w:val="18"/>
              </w:rPr>
              <w:t>Capture structured defect information in one place.</w:t>
            </w:r>
          </w:p>
        </w:tc>
        <w:tc>
          <w:tcPr>
            <w:tcW w:w="3324" w:type="dxa"/>
            <w:vAlign w:val="center"/>
          </w:tcPr>
          <w:p w14:paraId="00100294" w14:textId="00100295">
            <w:r/>
            <w:r>
              <w:rPr>
                <w:rFonts w:ascii="Arial" w:hAnsi="Arial"/>
                <w:b w:val="0"/>
                <w:sz w:val="18"/>
              </w:rPr>
              <w:t>P0</w:t>
            </w:r>
          </w:p>
        </w:tc>
      </w:tr>
      <w:tr>
        <w:tc>
          <w:tcPr>
            <w:tcW w:w="3324" w:type="dxa"/>
            <w:vAlign w:val="center"/>
          </w:tcPr>
          <w:p w14:paraId="00100296" w14:textId="00100297">
            <w:r/>
            <w:r>
              <w:rPr>
                <w:rFonts w:ascii="Arial" w:hAnsi="Arial"/>
                <w:b w:val="0"/>
                <w:sz w:val="18"/>
              </w:rPr>
              <w:t>Duplicate Support</w:t>
            </w:r>
          </w:p>
        </w:tc>
        <w:tc>
          <w:tcPr>
            <w:tcW w:w="3324" w:type="dxa"/>
            <w:vAlign w:val="center"/>
          </w:tcPr>
          <w:p w14:paraId="00100298" w14:textId="00100299">
            <w:r/>
            <w:r>
              <w:rPr>
                <w:rFonts w:ascii="Arial" w:hAnsi="Arial"/>
                <w:b w:val="0"/>
                <w:sz w:val="18"/>
              </w:rPr>
              <w:t>Help Tester find existing bugs before creating another record.</w:t>
            </w:r>
          </w:p>
        </w:tc>
        <w:tc>
          <w:tcPr>
            <w:tcW w:w="3324" w:type="dxa"/>
            <w:vAlign w:val="center"/>
          </w:tcPr>
          <w:p w14:paraId="0010029A" w14:textId="0010029B">
            <w:r/>
            <w:r>
              <w:rPr>
                <w:rFonts w:ascii="Arial" w:hAnsi="Arial"/>
                <w:b w:val="0"/>
                <w:sz w:val="18"/>
              </w:rPr>
              <w:t>P0</w:t>
            </w:r>
          </w:p>
        </w:tc>
      </w:tr>
      <w:tr>
        <w:tc>
          <w:tcPr>
            <w:tcW w:w="3324" w:type="dxa"/>
            <w:vAlign w:val="center"/>
          </w:tcPr>
          <w:p w14:paraId="0010029C" w14:textId="0010029D">
            <w:r/>
            <w:r>
              <w:rPr>
                <w:rFonts w:ascii="Arial" w:hAnsi="Arial"/>
                <w:b w:val="0"/>
                <w:sz w:val="18"/>
              </w:rPr>
              <w:t>Classification</w:t>
            </w:r>
          </w:p>
        </w:tc>
        <w:tc>
          <w:tcPr>
            <w:tcW w:w="3324" w:type="dxa"/>
            <w:vAlign w:val="center"/>
          </w:tcPr>
          <w:p w14:paraId="0010029E" w14:textId="0010029F">
            <w:r/>
            <w:r>
              <w:rPr>
                <w:rFonts w:ascii="Arial" w:hAnsi="Arial"/>
                <w:b w:val="0"/>
                <w:sz w:val="18"/>
              </w:rPr>
              <w:t>Separate SAP Module, Application Component, and Defect Category.</w:t>
            </w:r>
          </w:p>
        </w:tc>
        <w:tc>
          <w:tcPr>
            <w:tcW w:w="3324" w:type="dxa"/>
            <w:vAlign w:val="center"/>
          </w:tcPr>
          <w:p w14:paraId="001002A0" w14:textId="001002A1">
            <w:r/>
            <w:r>
              <w:rPr>
                <w:rFonts w:ascii="Arial" w:hAnsi="Arial"/>
                <w:b w:val="0"/>
                <w:sz w:val="18"/>
              </w:rPr>
              <w:t>P0</w:t>
            </w:r>
          </w:p>
        </w:tc>
      </w:tr>
      <w:tr>
        <w:tc>
          <w:tcPr>
            <w:tcW w:w="3324" w:type="dxa"/>
            <w:vAlign w:val="center"/>
          </w:tcPr>
          <w:p w14:paraId="001002A2" w14:textId="001002A3">
            <w:r/>
            <w:r>
              <w:rPr>
                <w:rFonts w:ascii="Arial" w:hAnsi="Arial"/>
                <w:b w:val="0"/>
                <w:sz w:val="18"/>
              </w:rPr>
              <w:t>Developer Matching</w:t>
            </w:r>
          </w:p>
        </w:tc>
        <w:tc>
          <w:tcPr>
            <w:tcW w:w="3324" w:type="dxa"/>
            <w:vAlign w:val="center"/>
          </w:tcPr>
          <w:p w14:paraId="001002A4" w14:textId="001002A5">
            <w:r/>
            <w:r>
              <w:rPr>
                <w:rFonts w:ascii="Arial" w:hAnsi="Arial"/>
                <w:b w:val="0"/>
                <w:sz w:val="18"/>
              </w:rPr>
              <w:t>Identify suitable Developers through responsibility mapping.</w:t>
            </w:r>
          </w:p>
        </w:tc>
        <w:tc>
          <w:tcPr>
            <w:tcW w:w="3324" w:type="dxa"/>
            <w:vAlign w:val="center"/>
          </w:tcPr>
          <w:p w14:paraId="001002A6" w14:textId="001002A7">
            <w:r/>
            <w:r>
              <w:rPr>
                <w:rFonts w:ascii="Arial" w:hAnsi="Arial"/>
                <w:b w:val="0"/>
                <w:sz w:val="18"/>
              </w:rPr>
              <w:t>P0</w:t>
            </w:r>
          </w:p>
        </w:tc>
      </w:tr>
      <w:tr>
        <w:tc>
          <w:tcPr>
            <w:tcW w:w="3324" w:type="dxa"/>
            <w:vAlign w:val="center"/>
          </w:tcPr>
          <w:p w14:paraId="001002A8" w14:textId="001002A9">
            <w:r/>
            <w:r>
              <w:rPr>
                <w:rFonts w:ascii="Arial" w:hAnsi="Arial"/>
                <w:b w:val="0"/>
                <w:sz w:val="18"/>
              </w:rPr>
              <w:t>Assignment</w:t>
            </w:r>
          </w:p>
        </w:tc>
        <w:tc>
          <w:tcPr>
            <w:tcW w:w="3324" w:type="dxa"/>
            <w:vAlign w:val="center"/>
          </w:tcPr>
          <w:p w14:paraId="001002AA" w14:textId="001002AB">
            <w:r/>
            <w:r>
              <w:rPr>
                <w:rFonts w:ascii="Arial" w:hAnsi="Arial"/>
                <w:b w:val="0"/>
                <w:sz w:val="18"/>
              </w:rPr>
              <w:t>Assign a Developer or keep the bug in Pending Assignment.</w:t>
            </w:r>
          </w:p>
        </w:tc>
        <w:tc>
          <w:tcPr>
            <w:tcW w:w="3324" w:type="dxa"/>
            <w:vAlign w:val="center"/>
          </w:tcPr>
          <w:p w14:paraId="001002AC" w14:textId="001002AD">
            <w:r/>
            <w:r>
              <w:rPr>
                <w:rFonts w:ascii="Arial" w:hAnsi="Arial"/>
                <w:b w:val="0"/>
                <w:sz w:val="18"/>
              </w:rPr>
              <w:t>P0</w:t>
            </w:r>
          </w:p>
        </w:tc>
      </w:tr>
      <w:tr>
        <w:tc>
          <w:tcPr>
            <w:tcW w:w="3324" w:type="dxa"/>
            <w:vAlign w:val="center"/>
          </w:tcPr>
          <w:p w14:paraId="001002AE" w14:textId="001002AF">
            <w:r/>
            <w:r>
              <w:rPr>
                <w:rFonts w:ascii="Arial" w:hAnsi="Arial"/>
                <w:b w:val="0"/>
                <w:sz w:val="18"/>
              </w:rPr>
              <w:t>Developer Review</w:t>
            </w:r>
          </w:p>
        </w:tc>
        <w:tc>
          <w:tcPr>
            <w:tcW w:w="3324" w:type="dxa"/>
            <w:vAlign w:val="center"/>
          </w:tcPr>
          <w:p w14:paraId="001002B0" w14:textId="001002B1">
            <w:r/>
            <w:r>
              <w:rPr>
                <w:rFonts w:ascii="Arial" w:hAnsi="Arial"/>
                <w:b w:val="0"/>
                <w:sz w:val="18"/>
              </w:rPr>
              <w:t>Support review, request for information, rejection, progress, and resolution.</w:t>
            </w:r>
          </w:p>
        </w:tc>
        <w:tc>
          <w:tcPr>
            <w:tcW w:w="3324" w:type="dxa"/>
            <w:vAlign w:val="center"/>
          </w:tcPr>
          <w:p w14:paraId="001002B2" w14:textId="001002B3">
            <w:r/>
            <w:r>
              <w:rPr>
                <w:rFonts w:ascii="Arial" w:hAnsi="Arial"/>
                <w:b w:val="0"/>
                <w:sz w:val="18"/>
              </w:rPr>
              <w:t>P0</w:t>
            </w:r>
          </w:p>
        </w:tc>
      </w:tr>
      <w:tr>
        <w:tc>
          <w:tcPr>
            <w:tcW w:w="3324" w:type="dxa"/>
            <w:vAlign w:val="center"/>
          </w:tcPr>
          <w:p w14:paraId="001002B4" w14:textId="001002B5">
            <w:r/>
            <w:r>
              <w:rPr>
                <w:rFonts w:ascii="Arial" w:hAnsi="Arial"/>
                <w:b w:val="0"/>
                <w:sz w:val="18"/>
              </w:rPr>
              <w:t>Rejected Follow-up</w:t>
            </w:r>
          </w:p>
        </w:tc>
        <w:tc>
          <w:tcPr>
            <w:tcW w:w="3324" w:type="dxa"/>
            <w:vAlign w:val="center"/>
          </w:tcPr>
          <w:p w14:paraId="001002B6" w14:textId="001002B7">
            <w:r/>
            <w:r>
              <w:rPr>
                <w:rFonts w:ascii="Arial" w:hAnsi="Arial"/>
                <w:b w:val="0"/>
                <w:sz w:val="18"/>
              </w:rPr>
              <w:t>Ensure rejected bugs continue to an owner and next action.</w:t>
            </w:r>
          </w:p>
        </w:tc>
        <w:tc>
          <w:tcPr>
            <w:tcW w:w="3324" w:type="dxa"/>
            <w:vAlign w:val="center"/>
          </w:tcPr>
          <w:p w14:paraId="001002B8" w14:textId="001002B9">
            <w:r/>
            <w:r>
              <w:rPr>
                <w:rFonts w:ascii="Arial" w:hAnsi="Arial"/>
                <w:b w:val="0"/>
                <w:sz w:val="18"/>
              </w:rPr>
              <w:t>P0</w:t>
            </w:r>
          </w:p>
        </w:tc>
      </w:tr>
      <w:tr>
        <w:tc>
          <w:tcPr>
            <w:tcW w:w="3324" w:type="dxa"/>
            <w:vAlign w:val="center"/>
          </w:tcPr>
          <w:p w14:paraId="001002BA" w14:textId="001002BB">
            <w:r/>
            <w:r>
              <w:rPr>
                <w:rFonts w:ascii="Arial" w:hAnsi="Arial"/>
                <w:b w:val="0"/>
                <w:sz w:val="18"/>
              </w:rPr>
              <w:t>Retest and Closure</w:t>
            </w:r>
          </w:p>
        </w:tc>
        <w:tc>
          <w:tcPr>
            <w:tcW w:w="3324" w:type="dxa"/>
            <w:vAlign w:val="center"/>
          </w:tcPr>
          <w:p w14:paraId="001002BC" w14:textId="001002BD">
            <w:r/>
            <w:r>
              <w:rPr>
                <w:rFonts w:ascii="Arial" w:hAnsi="Arial"/>
                <w:b w:val="0"/>
                <w:sz w:val="18"/>
              </w:rPr>
              <w:t>Verify resolved bugs before final closure when needed.</w:t>
            </w:r>
          </w:p>
        </w:tc>
        <w:tc>
          <w:tcPr>
            <w:tcW w:w="3324" w:type="dxa"/>
            <w:vAlign w:val="center"/>
          </w:tcPr>
          <w:p w14:paraId="001002BE" w14:textId="001002BF">
            <w:r/>
            <w:r>
              <w:rPr>
                <w:rFonts w:ascii="Arial" w:hAnsi="Arial"/>
                <w:b w:val="0"/>
                <w:sz w:val="18"/>
              </w:rPr>
              <w:t>P0</w:t>
            </w:r>
          </w:p>
        </w:tc>
      </w:tr>
      <w:tr>
        <w:tc>
          <w:tcPr>
            <w:tcW w:w="3324" w:type="dxa"/>
            <w:vAlign w:val="center"/>
          </w:tcPr>
          <w:p w14:paraId="001002C0" w14:textId="001002C1">
            <w:r/>
            <w:r>
              <w:rPr>
                <w:rFonts w:ascii="Arial" w:hAnsi="Arial"/>
                <w:b w:val="0"/>
                <w:sz w:val="18"/>
              </w:rPr>
              <w:t>Comments</w:t>
            </w:r>
          </w:p>
        </w:tc>
        <w:tc>
          <w:tcPr>
            <w:tcW w:w="3324" w:type="dxa"/>
            <w:vAlign w:val="center"/>
          </w:tcPr>
          <w:p w14:paraId="001002C2" w14:textId="001002C3">
            <w:r/>
            <w:r>
              <w:rPr>
                <w:rFonts w:ascii="Arial" w:hAnsi="Arial"/>
                <w:b w:val="0"/>
                <w:sz w:val="18"/>
              </w:rPr>
              <w:t>Keep discussion attached to the bug record.</w:t>
            </w:r>
          </w:p>
        </w:tc>
        <w:tc>
          <w:tcPr>
            <w:tcW w:w="3324" w:type="dxa"/>
            <w:vAlign w:val="center"/>
          </w:tcPr>
          <w:p w14:paraId="001002C4" w14:textId="001002C5">
            <w:r/>
            <w:r>
              <w:rPr>
                <w:rFonts w:ascii="Arial" w:hAnsi="Arial"/>
                <w:b w:val="0"/>
                <w:sz w:val="18"/>
              </w:rPr>
              <w:t>P0</w:t>
            </w:r>
          </w:p>
        </w:tc>
      </w:tr>
      <w:tr>
        <w:tc>
          <w:tcPr>
            <w:tcW w:w="3324" w:type="dxa"/>
            <w:vAlign w:val="center"/>
          </w:tcPr>
          <w:p w14:paraId="001002C6" w14:textId="001002C7">
            <w:r/>
            <w:r>
              <w:rPr>
                <w:rFonts w:ascii="Arial" w:hAnsi="Arial"/>
                <w:b w:val="0"/>
                <w:sz w:val="18"/>
              </w:rPr>
              <w:t>History Log</w:t>
            </w:r>
          </w:p>
        </w:tc>
        <w:tc>
          <w:tcPr>
            <w:tcW w:w="3324" w:type="dxa"/>
            <w:vAlign w:val="center"/>
          </w:tcPr>
          <w:p w14:paraId="001002C8" w14:textId="001002C9">
            <w:r/>
            <w:r>
              <w:rPr>
                <w:rFonts w:ascii="Arial" w:hAnsi="Arial"/>
                <w:b w:val="0"/>
                <w:sz w:val="18"/>
              </w:rPr>
              <w:t>Preserve traceability for important actions.</w:t>
            </w:r>
          </w:p>
        </w:tc>
        <w:tc>
          <w:tcPr>
            <w:tcW w:w="3324" w:type="dxa"/>
            <w:vAlign w:val="center"/>
          </w:tcPr>
          <w:p w14:paraId="001002CA" w14:textId="001002CB">
            <w:r/>
            <w:r>
              <w:rPr>
                <w:rFonts w:ascii="Arial" w:hAnsi="Arial"/>
                <w:b w:val="0"/>
                <w:sz w:val="18"/>
              </w:rPr>
              <w:t>P0</w:t>
            </w:r>
          </w:p>
        </w:tc>
      </w:tr>
      <w:tr>
        <w:tc>
          <w:tcPr>
            <w:tcW w:w="3324" w:type="dxa"/>
            <w:vAlign w:val="center"/>
          </w:tcPr>
          <w:p w14:paraId="001002CC" w14:textId="001002CD">
            <w:r/>
            <w:r>
              <w:rPr>
                <w:rFonts w:ascii="Arial" w:hAnsi="Arial"/>
                <w:b w:val="0"/>
                <w:sz w:val="18"/>
              </w:rPr>
              <w:t>Notification Records</w:t>
            </w:r>
          </w:p>
        </w:tc>
        <w:tc>
          <w:tcPr>
            <w:tcW w:w="3324" w:type="dxa"/>
            <w:vAlign w:val="center"/>
          </w:tcPr>
          <w:p w14:paraId="001002CE" w14:textId="001002CF">
            <w:r/>
            <w:r>
              <w:rPr>
                <w:rFonts w:ascii="Arial" w:hAnsi="Arial"/>
                <w:b w:val="0"/>
                <w:sz w:val="18"/>
              </w:rPr>
              <w:t>Record notification events and intended recipients.</w:t>
            </w:r>
          </w:p>
        </w:tc>
        <w:tc>
          <w:tcPr>
            <w:tcW w:w="3324" w:type="dxa"/>
            <w:vAlign w:val="center"/>
          </w:tcPr>
          <w:p w14:paraId="001002D0" w14:textId="001002D1">
            <w:r/>
            <w:r>
              <w:rPr>
                <w:rFonts w:ascii="Arial" w:hAnsi="Arial"/>
                <w:b w:val="0"/>
                <w:sz w:val="18"/>
              </w:rPr>
              <w:t>P0 trigger model, P1 full delivery</w:t>
            </w:r>
          </w:p>
        </w:tc>
      </w:tr>
      <w:tr>
        <w:tc>
          <w:tcPr>
            <w:tcW w:w="3324" w:type="dxa"/>
            <w:vAlign w:val="center"/>
          </w:tcPr>
          <w:p w14:paraId="001002D2" w14:textId="001002D3">
            <w:r/>
            <w:r>
              <w:rPr>
                <w:rFonts w:ascii="Arial" w:hAnsi="Arial"/>
                <w:b w:val="0"/>
                <w:sz w:val="18"/>
              </w:rPr>
              <w:t>PM Monitoring</w:t>
            </w:r>
          </w:p>
        </w:tc>
        <w:tc>
          <w:tcPr>
            <w:tcW w:w="3324" w:type="dxa"/>
            <w:vAlign w:val="center"/>
          </w:tcPr>
          <w:p w14:paraId="001002D4" w14:textId="001002D5">
            <w:r/>
            <w:r>
              <w:rPr>
                <w:rFonts w:ascii="Arial" w:hAnsi="Arial"/>
                <w:b w:val="0"/>
                <w:sz w:val="18"/>
              </w:rPr>
              <w:t>Monitor workload, overdue bugs, queues, and nextProcessor ownership.</w:t>
            </w:r>
          </w:p>
        </w:tc>
        <w:tc>
          <w:tcPr>
            <w:tcW w:w="3324" w:type="dxa"/>
            <w:vAlign w:val="center"/>
          </w:tcPr>
          <w:p w14:paraId="001002D6" w14:textId="001002D7">
            <w:r/>
            <w:r>
              <w:rPr>
                <w:rFonts w:ascii="Arial" w:hAnsi="Arial"/>
                <w:b w:val="0"/>
                <w:sz w:val="18"/>
              </w:rPr>
              <w:t>P0</w:t>
            </w:r>
          </w:p>
        </w:tc>
      </w:tr>
      <w:tr>
        <w:tc>
          <w:tcPr>
            <w:tcW w:w="3324" w:type="dxa"/>
            <w:vAlign w:val="center"/>
          </w:tcPr>
          <w:p w14:paraId="001002D8" w14:textId="001002D9">
            <w:r/>
            <w:r>
              <w:rPr>
                <w:rFonts w:ascii="Arial" w:hAnsi="Arial"/>
                <w:b w:val="0"/>
                <w:sz w:val="18"/>
              </w:rPr>
              <w:t>Attachments</w:t>
            </w:r>
          </w:p>
        </w:tc>
        <w:tc>
          <w:tcPr>
            <w:tcW w:w="3324" w:type="dxa"/>
            <w:vAlign w:val="center"/>
          </w:tcPr>
          <w:p w14:paraId="001002DA" w14:textId="001002DB">
            <w:r/>
            <w:r>
              <w:rPr>
                <w:rFonts w:ascii="Arial" w:hAnsi="Arial"/>
                <w:b w:val="0"/>
                <w:sz w:val="18"/>
              </w:rPr>
              <w:t>Store evidence metadata or references.</w:t>
            </w:r>
          </w:p>
        </w:tc>
        <w:tc>
          <w:tcPr>
            <w:tcW w:w="3324" w:type="dxa"/>
            <w:vAlign w:val="center"/>
          </w:tcPr>
          <w:p w14:paraId="001002DC" w14:textId="001002DD">
            <w:r/>
            <w:r>
              <w:rPr>
                <w:rFonts w:ascii="Arial" w:hAnsi="Arial"/>
                <w:b w:val="0"/>
                <w:sz w:val="18"/>
              </w:rPr>
              <w:t>P1</w:t>
            </w:r>
          </w:p>
        </w:tc>
      </w:tr>
    </w:tbl>
    <w:p w14:paraId="001002DE" w14:textId="001002DF">
      <w:pPr>
        <w:pStyle w:val="Heading2"/>
      </w:pPr>
      <w:r>
        <w:t>12. High-Level Business Requirements</w:t>
      </w:r>
    </w:p>
    <w:tbl>
      <w:tblPr>
        <w:tblStyle w:val="TableGrid"/>
        <w:tblW w:w="0" w:type="auto"/>
        <w:tblLayout w:type="autofit"/>
        <w:tblLook w:val="04A0" w:firstRow="1" w:lastRow="0" w:firstColumn="1" w:lastColumn="0" w:noHBand="0" w:noVBand="1"/>
      </w:tblPr>
      <w:tblGrid>
        <w:gridCol w:w="4986"/>
        <w:gridCol w:w="4986"/>
      </w:tblGrid>
      <w:tr>
        <w:tc>
          <w:tcPr>
            <w:tcW w:w="4986" w:type="dxa"/>
            <w:shd w:val="clear" w:fill="D9E2F3"/>
            <w:vAlign w:val="center"/>
          </w:tcPr>
          <w:p w14:paraId="001002E0" w14:textId="001002E1">
            <w:r/>
            <w:r>
              <w:rPr>
                <w:rFonts w:ascii="Arial" w:hAnsi="Arial"/>
                <w:b/>
                <w:sz w:val="18"/>
              </w:rPr>
              <w:t>ID</w:t>
            </w:r>
          </w:p>
        </w:tc>
        <w:tc>
          <w:tcPr>
            <w:tcW w:w="4986" w:type="dxa"/>
            <w:shd w:val="clear" w:fill="D9E2F3"/>
            <w:vAlign w:val="center"/>
          </w:tcPr>
          <w:p w14:paraId="001002E2" w14:textId="001002E3">
            <w:r/>
            <w:r>
              <w:rPr>
                <w:rFonts w:ascii="Arial" w:hAnsi="Arial"/>
                <w:b/>
                <w:sz w:val="18"/>
              </w:rPr>
              <w:t>Business Requirement</w:t>
            </w:r>
          </w:p>
        </w:tc>
      </w:tr>
      <w:tr>
        <w:tc>
          <w:tcPr>
            <w:tcW w:w="4986" w:type="dxa"/>
            <w:vAlign w:val="center"/>
          </w:tcPr>
          <w:p w14:paraId="001002E4" w14:textId="001002E5">
            <w:r/>
            <w:r>
              <w:rPr>
                <w:rFonts w:ascii="Arial" w:hAnsi="Arial"/>
                <w:b w:val="0"/>
                <w:sz w:val="18"/>
              </w:rPr>
              <w:t>BRD-BR-001</w:t>
            </w:r>
          </w:p>
        </w:tc>
        <w:tc>
          <w:tcPr>
            <w:tcW w:w="4986" w:type="dxa"/>
            <w:vAlign w:val="center"/>
          </w:tcPr>
          <w:p w14:paraId="001002E6" w14:textId="001002E7">
            <w:r/>
            <w:r>
              <w:rPr>
                <w:rFonts w:ascii="Arial" w:hAnsi="Arial"/>
                <w:b w:val="0"/>
                <w:sz w:val="18"/>
              </w:rPr>
              <w:t>The business needs structured bug reporting so defects contain enough information for review, assignment, and later verification.</w:t>
            </w:r>
          </w:p>
        </w:tc>
      </w:tr>
      <w:tr>
        <w:tc>
          <w:tcPr>
            <w:tcW w:w="4986" w:type="dxa"/>
            <w:vAlign w:val="center"/>
          </w:tcPr>
          <w:p w14:paraId="001002E8" w14:textId="001002E9">
            <w:r/>
            <w:r>
              <w:rPr>
                <w:rFonts w:ascii="Arial" w:hAnsi="Arial"/>
                <w:b w:val="0"/>
                <w:sz w:val="18"/>
              </w:rPr>
              <w:t>BRD-BR-002</w:t>
            </w:r>
          </w:p>
        </w:tc>
        <w:tc>
          <w:tcPr>
            <w:tcW w:w="4986" w:type="dxa"/>
            <w:vAlign w:val="center"/>
          </w:tcPr>
          <w:p w14:paraId="001002EA" w14:textId="001002EB">
            <w:r/>
            <w:r>
              <w:rPr>
                <w:rFonts w:ascii="Arial" w:hAnsi="Arial"/>
                <w:b w:val="0"/>
                <w:sz w:val="18"/>
              </w:rPr>
              <w:t>The business needs duplicate checking support before bug creation to reduce repeated reports and duplicated work.</w:t>
            </w:r>
          </w:p>
        </w:tc>
      </w:tr>
      <w:tr>
        <w:tc>
          <w:tcPr>
            <w:tcW w:w="4986" w:type="dxa"/>
            <w:vAlign w:val="center"/>
          </w:tcPr>
          <w:p w14:paraId="001002EC" w14:textId="001002ED">
            <w:r/>
            <w:r>
              <w:rPr>
                <w:rFonts w:ascii="Arial" w:hAnsi="Arial"/>
                <w:b w:val="0"/>
                <w:sz w:val="18"/>
              </w:rPr>
              <w:t>BRD-BR-003</w:t>
            </w:r>
          </w:p>
        </w:tc>
        <w:tc>
          <w:tcPr>
            <w:tcW w:w="4986" w:type="dxa"/>
            <w:vAlign w:val="center"/>
          </w:tcPr>
          <w:p w14:paraId="001002EE" w14:textId="001002EF">
            <w:r/>
            <w:r>
              <w:rPr>
                <w:rFonts w:ascii="Arial" w:hAnsi="Arial"/>
                <w:b w:val="0"/>
                <w:sz w:val="18"/>
              </w:rPr>
              <w:t>The business needs classification by optional SAP Module, required Application Component, and required Defect Category to avoid unclear module/category usage.</w:t>
            </w:r>
          </w:p>
        </w:tc>
      </w:tr>
      <w:tr>
        <w:tc>
          <w:tcPr>
            <w:tcW w:w="4986" w:type="dxa"/>
            <w:vAlign w:val="center"/>
          </w:tcPr>
          <w:p w14:paraId="001002F0" w14:textId="001002F1">
            <w:r/>
            <w:r>
              <w:rPr>
                <w:rFonts w:ascii="Arial" w:hAnsi="Arial"/>
                <w:b w:val="0"/>
                <w:sz w:val="18"/>
              </w:rPr>
              <w:t>BRD-BR-004</w:t>
            </w:r>
          </w:p>
        </w:tc>
        <w:tc>
          <w:tcPr>
            <w:tcW w:w="4986" w:type="dxa"/>
            <w:vAlign w:val="center"/>
          </w:tcPr>
          <w:p w14:paraId="001002F2" w14:textId="001002F3">
            <w:r/>
            <w:r>
              <w:rPr>
                <w:rFonts w:ascii="Arial" w:hAnsi="Arial"/>
                <w:b w:val="0"/>
                <w:sz w:val="18"/>
              </w:rPr>
              <w:t>The business needs Developer assignment to be based on Developer Responsibility so bugs are routed to suitable people.</w:t>
            </w:r>
          </w:p>
        </w:tc>
      </w:tr>
      <w:tr>
        <w:tc>
          <w:tcPr>
            <w:tcW w:w="4986" w:type="dxa"/>
            <w:vAlign w:val="center"/>
          </w:tcPr>
          <w:p w14:paraId="001002F4" w14:textId="001002F5">
            <w:r/>
            <w:r>
              <w:rPr>
                <w:rFonts w:ascii="Arial" w:hAnsi="Arial"/>
                <w:b w:val="0"/>
                <w:sz w:val="18"/>
              </w:rPr>
              <w:t>BRD-BR-005</w:t>
            </w:r>
          </w:p>
        </w:tc>
        <w:tc>
          <w:tcPr>
            <w:tcW w:w="4986" w:type="dxa"/>
            <w:vAlign w:val="center"/>
          </w:tcPr>
          <w:p w14:paraId="001002F6" w14:textId="001002F7">
            <w:r/>
            <w:r>
              <w:rPr>
                <w:rFonts w:ascii="Arial" w:hAnsi="Arial"/>
                <w:b w:val="0"/>
                <w:sz w:val="18"/>
              </w:rPr>
              <w:t>The business needs valid bugs without a suitable Developer to remain visible as Pending Assignment.</w:t>
            </w:r>
          </w:p>
        </w:tc>
      </w:tr>
      <w:tr>
        <w:tc>
          <w:tcPr>
            <w:tcW w:w="4986" w:type="dxa"/>
            <w:vAlign w:val="center"/>
          </w:tcPr>
          <w:p w14:paraId="001002F8" w14:textId="001002F9">
            <w:r/>
            <w:r>
              <w:rPr>
                <w:rFonts w:ascii="Arial" w:hAnsi="Arial"/>
                <w:b w:val="0"/>
                <w:sz w:val="18"/>
              </w:rPr>
              <w:t>BRD-BR-006</w:t>
            </w:r>
          </w:p>
        </w:tc>
        <w:tc>
          <w:tcPr>
            <w:tcW w:w="4986" w:type="dxa"/>
            <w:vAlign w:val="center"/>
          </w:tcPr>
          <w:p w14:paraId="001002FA" w14:textId="001002FB">
            <w:r/>
            <w:r>
              <w:rPr>
                <w:rFonts w:ascii="Arial" w:hAnsi="Arial"/>
                <w:b w:val="0"/>
                <w:sz w:val="18"/>
              </w:rPr>
              <w:t>The business needs Developers to review assigned bugs and request more information when reports are incomplete.</w:t>
            </w:r>
          </w:p>
        </w:tc>
      </w:tr>
      <w:tr>
        <w:tc>
          <w:tcPr>
            <w:tcW w:w="4986" w:type="dxa"/>
            <w:vAlign w:val="center"/>
          </w:tcPr>
          <w:p w14:paraId="001002FC" w14:textId="001002FD">
            <w:r/>
            <w:r>
              <w:rPr>
                <w:rFonts w:ascii="Arial" w:hAnsi="Arial"/>
                <w:b w:val="0"/>
                <w:sz w:val="18"/>
              </w:rPr>
              <w:t>BRD-BR-007</w:t>
            </w:r>
          </w:p>
        </w:tc>
        <w:tc>
          <w:tcPr>
            <w:tcW w:w="4986" w:type="dxa"/>
            <w:vAlign w:val="center"/>
          </w:tcPr>
          <w:p w14:paraId="001002FE" w14:textId="001002FF">
            <w:r/>
            <w:r>
              <w:rPr>
                <w:rFonts w:ascii="Arial" w:hAnsi="Arial"/>
                <w:b w:val="0"/>
                <w:sz w:val="18"/>
              </w:rPr>
              <w:t>The business needs a controlled rejection process when assignment or classification is unsuitable.</w:t>
            </w:r>
          </w:p>
        </w:tc>
      </w:tr>
      <w:tr>
        <w:tc>
          <w:tcPr>
            <w:tcW w:w="4986" w:type="dxa"/>
            <w:vAlign w:val="center"/>
          </w:tcPr>
          <w:p w14:paraId="00100300" w14:textId="00100301">
            <w:r/>
            <w:r>
              <w:rPr>
                <w:rFonts w:ascii="Arial" w:hAnsi="Arial"/>
                <w:b w:val="0"/>
                <w:sz w:val="18"/>
              </w:rPr>
              <w:t>BRD-BR-008</w:t>
            </w:r>
          </w:p>
        </w:tc>
        <w:tc>
          <w:tcPr>
            <w:tcW w:w="4986" w:type="dxa"/>
            <w:vAlign w:val="center"/>
          </w:tcPr>
          <w:p w14:paraId="00100302" w14:textId="00100303">
            <w:r/>
            <w:r>
              <w:rPr>
                <w:rFonts w:ascii="Arial" w:hAnsi="Arial"/>
                <w:b w:val="0"/>
                <w:sz w:val="18"/>
              </w:rPr>
              <w:t>The business needs rejected bugs to have a reason, follow-up owner, nextProcessor, and next action.</w:t>
            </w:r>
          </w:p>
        </w:tc>
      </w:tr>
      <w:tr>
        <w:tc>
          <w:tcPr>
            <w:tcW w:w="4986" w:type="dxa"/>
            <w:vAlign w:val="center"/>
          </w:tcPr>
          <w:p w14:paraId="00100304" w14:textId="00100305">
            <w:r/>
            <w:r>
              <w:rPr>
                <w:rFonts w:ascii="Arial" w:hAnsi="Arial"/>
                <w:b w:val="0"/>
                <w:sz w:val="18"/>
              </w:rPr>
              <w:t>BRD-BR-009</w:t>
            </w:r>
          </w:p>
        </w:tc>
        <w:tc>
          <w:tcPr>
            <w:tcW w:w="4986" w:type="dxa"/>
            <w:vAlign w:val="center"/>
          </w:tcPr>
          <w:p w14:paraId="00100306" w14:textId="00100307">
            <w:r/>
            <w:r>
              <w:rPr>
                <w:rFonts w:ascii="Arial" w:hAnsi="Arial"/>
                <w:b w:val="0"/>
                <w:sz w:val="18"/>
              </w:rPr>
              <w:t>The business needs a controlled status lifecycle from New to Closed, including Retest Required and Reopened.</w:t>
            </w:r>
          </w:p>
        </w:tc>
      </w:tr>
      <w:tr>
        <w:tc>
          <w:tcPr>
            <w:tcW w:w="4986" w:type="dxa"/>
            <w:vAlign w:val="center"/>
          </w:tcPr>
          <w:p w14:paraId="00100308" w14:textId="00100309">
            <w:r/>
            <w:r>
              <w:rPr>
                <w:rFonts w:ascii="Arial" w:hAnsi="Arial"/>
                <w:b w:val="0"/>
                <w:sz w:val="18"/>
              </w:rPr>
              <w:t>BRD-BR-010</w:t>
            </w:r>
          </w:p>
        </w:tc>
        <w:tc>
          <w:tcPr>
            <w:tcW w:w="4986" w:type="dxa"/>
            <w:vAlign w:val="center"/>
          </w:tcPr>
          <w:p w14:paraId="0010030A" w14:textId="0010030B">
            <w:r/>
            <w:r>
              <w:rPr>
                <w:rFonts w:ascii="Arial" w:hAnsi="Arial"/>
                <w:b w:val="0"/>
                <w:sz w:val="18"/>
              </w:rPr>
              <w:t>The business needs comments to support collaboration without silently changing bug status.</w:t>
            </w:r>
          </w:p>
        </w:tc>
      </w:tr>
      <w:tr>
        <w:tc>
          <w:tcPr>
            <w:tcW w:w="4986" w:type="dxa"/>
            <w:vAlign w:val="center"/>
          </w:tcPr>
          <w:p w14:paraId="0010030C" w14:textId="0010030D">
            <w:r/>
            <w:r>
              <w:rPr>
                <w:rFonts w:ascii="Arial" w:hAnsi="Arial"/>
                <w:b w:val="0"/>
                <w:sz w:val="18"/>
              </w:rPr>
              <w:t>BRD-BR-011</w:t>
            </w:r>
          </w:p>
        </w:tc>
        <w:tc>
          <w:tcPr>
            <w:tcW w:w="4986" w:type="dxa"/>
            <w:vAlign w:val="center"/>
          </w:tcPr>
          <w:p w14:paraId="0010030E" w14:textId="0010030F">
            <w:r/>
            <w:r>
              <w:rPr>
                <w:rFonts w:ascii="Arial" w:hAnsi="Arial"/>
                <w:b w:val="0"/>
                <w:sz w:val="18"/>
              </w:rPr>
              <w:t>The business needs important actions to be logged for auditability and handover.</w:t>
            </w:r>
          </w:p>
        </w:tc>
      </w:tr>
      <w:tr>
        <w:tc>
          <w:tcPr>
            <w:tcW w:w="4986" w:type="dxa"/>
            <w:vAlign w:val="center"/>
          </w:tcPr>
          <w:p w14:paraId="00100310" w14:textId="00100311">
            <w:r/>
            <w:r>
              <w:rPr>
                <w:rFonts w:ascii="Arial" w:hAnsi="Arial"/>
                <w:b w:val="0"/>
                <w:sz w:val="18"/>
              </w:rPr>
              <w:t>BRD-BR-012</w:t>
            </w:r>
          </w:p>
        </w:tc>
        <w:tc>
          <w:tcPr>
            <w:tcW w:w="4986" w:type="dxa"/>
            <w:vAlign w:val="center"/>
          </w:tcPr>
          <w:p w14:paraId="00100312" w14:textId="00100313">
            <w:r/>
            <w:r>
              <w:rPr>
                <w:rFonts w:ascii="Arial" w:hAnsi="Arial"/>
                <w:b w:val="0"/>
                <w:sz w:val="18"/>
              </w:rPr>
              <w:t>The business needs notification records for important ownership and lifecycle events.</w:t>
            </w:r>
          </w:p>
        </w:tc>
      </w:tr>
      <w:tr>
        <w:tc>
          <w:tcPr>
            <w:tcW w:w="4986" w:type="dxa"/>
            <w:vAlign w:val="center"/>
          </w:tcPr>
          <w:p w14:paraId="00100314" w14:textId="00100315">
            <w:r/>
            <w:r>
              <w:rPr>
                <w:rFonts w:ascii="Arial" w:hAnsi="Arial"/>
                <w:b w:val="0"/>
                <w:sz w:val="18"/>
              </w:rPr>
              <w:t>BRD-BR-013</w:t>
            </w:r>
          </w:p>
        </w:tc>
        <w:tc>
          <w:tcPr>
            <w:tcW w:w="4986" w:type="dxa"/>
            <w:vAlign w:val="center"/>
          </w:tcPr>
          <w:p w14:paraId="00100316" w14:textId="00100317">
            <w:r/>
            <w:r>
              <w:rPr>
                <w:rFonts w:ascii="Arial" w:hAnsi="Arial"/>
                <w:b w:val="0"/>
                <w:sz w:val="18"/>
              </w:rPr>
              <w:t>The business needs PM monitoring for workload, overdue bugs, pending assignment, rejected follow-up, and nextProcessor queues.</w:t>
            </w:r>
          </w:p>
        </w:tc>
      </w:tr>
    </w:tbl>
    <w:p w14:paraId="00100318" w14:textId="00100319">
      <w:pPr>
        <w:pStyle w:val="Heading2"/>
      </w:pPr>
      <w:r>
        <w:t>13. Business Rules Summary</w:t>
      </w:r>
    </w:p>
    <w:tbl>
      <w:tblPr>
        <w:tblStyle w:val="TableGrid"/>
        <w:tblW w:w="0" w:type="auto"/>
        <w:tblLayout w:type="autofit"/>
        <w:tblLook w:val="04A0" w:firstRow="1" w:lastRow="0" w:firstColumn="1" w:lastColumn="0" w:noHBand="0" w:noVBand="1"/>
      </w:tblPr>
      <w:tblGrid>
        <w:gridCol w:w="4986"/>
        <w:gridCol w:w="4986"/>
      </w:tblGrid>
      <w:tr>
        <w:tc>
          <w:tcPr>
            <w:tcW w:w="4986" w:type="dxa"/>
            <w:shd w:val="clear" w:fill="D9E2F3"/>
            <w:vAlign w:val="center"/>
          </w:tcPr>
          <w:p w14:paraId="0010031A" w14:textId="0010031B">
            <w:r/>
            <w:r>
              <w:rPr>
                <w:rFonts w:ascii="Arial" w:hAnsi="Arial"/>
                <w:b/>
                <w:sz w:val="18"/>
              </w:rPr>
              <w:t>Rule ID</w:t>
            </w:r>
          </w:p>
        </w:tc>
        <w:tc>
          <w:tcPr>
            <w:tcW w:w="4986" w:type="dxa"/>
            <w:shd w:val="clear" w:fill="D9E2F3"/>
            <w:vAlign w:val="center"/>
          </w:tcPr>
          <w:p w14:paraId="0010031C" w14:textId="0010031D">
            <w:r/>
            <w:r>
              <w:rPr>
                <w:rFonts w:ascii="Arial" w:hAnsi="Arial"/>
                <w:b/>
                <w:sz w:val="18"/>
              </w:rPr>
              <w:t>Rule</w:t>
            </w:r>
          </w:p>
        </w:tc>
      </w:tr>
      <w:tr>
        <w:tc>
          <w:tcPr>
            <w:tcW w:w="4986" w:type="dxa"/>
            <w:vAlign w:val="center"/>
          </w:tcPr>
          <w:p w14:paraId="0010031E" w14:textId="0010031F">
            <w:r/>
            <w:r>
              <w:rPr>
                <w:rFonts w:ascii="Arial" w:hAnsi="Arial"/>
                <w:b w:val="0"/>
                <w:sz w:val="18"/>
              </w:rPr>
              <w:t>BR-RULE-001</w:t>
            </w:r>
          </w:p>
        </w:tc>
        <w:tc>
          <w:tcPr>
            <w:tcW w:w="4986" w:type="dxa"/>
            <w:vAlign w:val="center"/>
          </w:tcPr>
          <w:p w14:paraId="00100320" w14:textId="00100321">
            <w:r/>
            <w:r>
              <w:rPr>
                <w:rFonts w:ascii="Arial" w:hAnsi="Arial"/>
                <w:b w:val="0"/>
                <w:sz w:val="18"/>
              </w:rPr>
              <w:t>Tester owns bug creation and initial content quality.</w:t>
            </w:r>
          </w:p>
        </w:tc>
      </w:tr>
      <w:tr>
        <w:tc>
          <w:tcPr>
            <w:tcW w:w="4986" w:type="dxa"/>
            <w:vAlign w:val="center"/>
          </w:tcPr>
          <w:p w14:paraId="00100322" w14:textId="00100323">
            <w:r/>
            <w:r>
              <w:rPr>
                <w:rFonts w:ascii="Arial" w:hAnsi="Arial"/>
                <w:b w:val="0"/>
                <w:sz w:val="18"/>
              </w:rPr>
              <w:t>BR-RULE-002</w:t>
            </w:r>
          </w:p>
        </w:tc>
        <w:tc>
          <w:tcPr>
            <w:tcW w:w="4986" w:type="dxa"/>
            <w:vAlign w:val="center"/>
          </w:tcPr>
          <w:p w14:paraId="00100324" w14:textId="00100325">
            <w:r/>
            <w:r>
              <w:rPr>
                <w:rFonts w:ascii="Arial" w:hAnsi="Arial"/>
                <w:b w:val="0"/>
                <w:sz w:val="18"/>
              </w:rPr>
              <w:t>Duplicate checking should occur before creating a new bug.</w:t>
            </w:r>
          </w:p>
        </w:tc>
      </w:tr>
      <w:tr>
        <w:tc>
          <w:tcPr>
            <w:tcW w:w="4986" w:type="dxa"/>
            <w:vAlign w:val="center"/>
          </w:tcPr>
          <w:p w14:paraId="00100326" w14:textId="00100327">
            <w:r/>
            <w:r>
              <w:rPr>
                <w:rFonts w:ascii="Arial" w:hAnsi="Arial"/>
                <w:b w:val="0"/>
                <w:sz w:val="18"/>
              </w:rPr>
              <w:t>BR-RULE-003</w:t>
            </w:r>
          </w:p>
        </w:tc>
        <w:tc>
          <w:tcPr>
            <w:tcW w:w="4986" w:type="dxa"/>
            <w:vAlign w:val="center"/>
          </w:tcPr>
          <w:p w14:paraId="00100328" w14:textId="00100329">
            <w:r/>
            <w:r>
              <w:rPr>
                <w:rFonts w:ascii="Arial" w:hAnsi="Arial"/>
                <w:b w:val="0"/>
                <w:sz w:val="18"/>
              </w:rPr>
              <w:t>SAP Module is optional business context; Application Component and Defect Category are required classification dimensions.</w:t>
            </w:r>
          </w:p>
        </w:tc>
      </w:tr>
      <w:tr>
        <w:tc>
          <w:tcPr>
            <w:tcW w:w="4986" w:type="dxa"/>
            <w:vAlign w:val="center"/>
          </w:tcPr>
          <w:p w14:paraId="0010032A" w14:textId="0010032B">
            <w:r/>
            <w:r>
              <w:rPr>
                <w:rFonts w:ascii="Arial" w:hAnsi="Arial"/>
                <w:b w:val="0"/>
                <w:sz w:val="18"/>
              </w:rPr>
              <w:t>BR-RULE-004</w:t>
            </w:r>
          </w:p>
        </w:tc>
        <w:tc>
          <w:tcPr>
            <w:tcW w:w="4986" w:type="dxa"/>
            <w:vAlign w:val="center"/>
          </w:tcPr>
          <w:p w14:paraId="0010032C" w14:textId="0010032D">
            <w:r/>
            <w:r>
              <w:rPr>
                <w:rFonts w:ascii="Arial" w:hAnsi="Arial"/>
                <w:b w:val="0"/>
                <w:sz w:val="18"/>
              </w:rPr>
              <w:t>Component Category represents a valid Application Component and Defect Category pair.</w:t>
            </w:r>
          </w:p>
        </w:tc>
      </w:tr>
      <w:tr>
        <w:tc>
          <w:tcPr>
            <w:tcW w:w="4986" w:type="dxa"/>
            <w:vAlign w:val="center"/>
          </w:tcPr>
          <w:p w14:paraId="0010032E" w14:textId="0010032F">
            <w:r/>
            <w:r>
              <w:rPr>
                <w:rFonts w:ascii="Arial" w:hAnsi="Arial"/>
                <w:b w:val="0"/>
                <w:sz w:val="18"/>
              </w:rPr>
              <w:t>BR-RULE-005</w:t>
            </w:r>
          </w:p>
        </w:tc>
        <w:tc>
          <w:tcPr>
            <w:tcW w:w="4986" w:type="dxa"/>
            <w:vAlign w:val="center"/>
          </w:tcPr>
          <w:p w14:paraId="00100330" w14:textId="00100331">
            <w:r/>
            <w:r>
              <w:rPr>
                <w:rFonts w:ascii="Arial" w:hAnsi="Arial"/>
                <w:b w:val="0"/>
                <w:sz w:val="18"/>
              </w:rPr>
              <w:t>Developer Responsibility maps Developers to valid Component Categories and optional SAP Module scope.</w:t>
            </w:r>
          </w:p>
        </w:tc>
      </w:tr>
      <w:tr>
        <w:tc>
          <w:tcPr>
            <w:tcW w:w="4986" w:type="dxa"/>
            <w:vAlign w:val="center"/>
          </w:tcPr>
          <w:p w14:paraId="00100332" w14:textId="00100333">
            <w:r/>
            <w:r>
              <w:rPr>
                <w:rFonts w:ascii="Arial" w:hAnsi="Arial"/>
                <w:b w:val="0"/>
                <w:sz w:val="18"/>
              </w:rPr>
              <w:t>BR-RULE-006</w:t>
            </w:r>
          </w:p>
        </w:tc>
        <w:tc>
          <w:tcPr>
            <w:tcW w:w="4986" w:type="dxa"/>
            <w:vAlign w:val="center"/>
          </w:tcPr>
          <w:p w14:paraId="00100334" w14:textId="00100335">
            <w:r/>
            <w:r>
              <w:rPr>
                <w:rFonts w:ascii="Arial" w:hAnsi="Arial"/>
                <w:b w:val="0"/>
                <w:sz w:val="18"/>
              </w:rPr>
              <w:t>One bug should have one main Developer assignee at a time.</w:t>
            </w:r>
          </w:p>
        </w:tc>
      </w:tr>
      <w:tr>
        <w:tc>
          <w:tcPr>
            <w:tcW w:w="4986" w:type="dxa"/>
            <w:vAlign w:val="center"/>
          </w:tcPr>
          <w:p w14:paraId="00100336" w14:textId="00100337">
            <w:r/>
            <w:r>
              <w:rPr>
                <w:rFonts w:ascii="Arial" w:hAnsi="Arial"/>
                <w:b w:val="0"/>
                <w:sz w:val="18"/>
              </w:rPr>
              <w:t>BR-RULE-007</w:t>
            </w:r>
          </w:p>
        </w:tc>
        <w:tc>
          <w:tcPr>
            <w:tcW w:w="4986" w:type="dxa"/>
            <w:vAlign w:val="center"/>
          </w:tcPr>
          <w:p w14:paraId="00100338" w14:textId="00100339">
            <w:r/>
            <w:r>
              <w:rPr>
                <w:rFonts w:ascii="Arial" w:hAnsi="Arial"/>
                <w:b w:val="0"/>
                <w:sz w:val="18"/>
              </w:rPr>
              <w:t>nextProcessor identifies the current action owner or queue and does not replace assignee.</w:t>
            </w:r>
          </w:p>
        </w:tc>
      </w:tr>
      <w:tr>
        <w:tc>
          <w:tcPr>
            <w:tcW w:w="4986" w:type="dxa"/>
            <w:vAlign w:val="center"/>
          </w:tcPr>
          <w:p w14:paraId="0010033A" w14:textId="0010033B">
            <w:r/>
            <w:r>
              <w:rPr>
                <w:rFonts w:ascii="Arial" w:hAnsi="Arial"/>
                <w:b w:val="0"/>
                <w:sz w:val="18"/>
              </w:rPr>
              <w:t>BR-RULE-008</w:t>
            </w:r>
          </w:p>
        </w:tc>
        <w:tc>
          <w:tcPr>
            <w:tcW w:w="4986" w:type="dxa"/>
            <w:vAlign w:val="center"/>
          </w:tcPr>
          <w:p w14:paraId="0010033C" w14:textId="0010033D">
            <w:r/>
            <w:r>
              <w:rPr>
                <w:rFonts w:ascii="Arial" w:hAnsi="Arial"/>
                <w:b w:val="0"/>
                <w:sz w:val="18"/>
              </w:rPr>
              <w:t>Rejected is a valid follow-up status, not a final state.</w:t>
            </w:r>
          </w:p>
        </w:tc>
      </w:tr>
      <w:tr>
        <w:tc>
          <w:tcPr>
            <w:tcW w:w="4986" w:type="dxa"/>
            <w:vAlign w:val="center"/>
          </w:tcPr>
          <w:p w14:paraId="0010033E" w14:textId="0010033F">
            <w:r/>
            <w:r>
              <w:rPr>
                <w:rFonts w:ascii="Arial" w:hAnsi="Arial"/>
                <w:b w:val="0"/>
                <w:sz w:val="18"/>
              </w:rPr>
              <w:t>BR-RULE-009</w:t>
            </w:r>
          </w:p>
        </w:tc>
        <w:tc>
          <w:tcPr>
            <w:tcW w:w="4986" w:type="dxa"/>
            <w:vAlign w:val="center"/>
          </w:tcPr>
          <w:p w14:paraId="00100340" w14:textId="00100341">
            <w:r/>
            <w:r>
              <w:rPr>
                <w:rFonts w:ascii="Arial" w:hAnsi="Arial"/>
                <w:b w:val="0"/>
                <w:sz w:val="18"/>
              </w:rPr>
              <w:t>A rejected bug must have reason, history log, nextProcessor, and next action.</w:t>
            </w:r>
          </w:p>
        </w:tc>
      </w:tr>
      <w:tr>
        <w:tc>
          <w:tcPr>
            <w:tcW w:w="4986" w:type="dxa"/>
            <w:vAlign w:val="center"/>
          </w:tcPr>
          <w:p w14:paraId="00100342" w14:textId="00100343">
            <w:r/>
            <w:r>
              <w:rPr>
                <w:rFonts w:ascii="Arial" w:hAnsi="Arial"/>
                <w:b w:val="0"/>
                <w:sz w:val="18"/>
              </w:rPr>
              <w:t>BR-RULE-010</w:t>
            </w:r>
          </w:p>
        </w:tc>
        <w:tc>
          <w:tcPr>
            <w:tcW w:w="4986" w:type="dxa"/>
            <w:vAlign w:val="center"/>
          </w:tcPr>
          <w:p w14:paraId="00100344" w14:textId="00100345">
            <w:r/>
            <w:r>
              <w:rPr>
                <w:rFonts w:ascii="Arial" w:hAnsi="Arial"/>
                <w:b w:val="0"/>
                <w:sz w:val="18"/>
              </w:rPr>
              <w:t>Reassign is an action/history event, not a primary status.</w:t>
            </w:r>
          </w:p>
        </w:tc>
      </w:tr>
      <w:tr>
        <w:tc>
          <w:tcPr>
            <w:tcW w:w="4986" w:type="dxa"/>
            <w:vAlign w:val="center"/>
          </w:tcPr>
          <w:p w14:paraId="00100346" w14:textId="00100347">
            <w:r/>
            <w:r>
              <w:rPr>
                <w:rFonts w:ascii="Arial" w:hAnsi="Arial"/>
                <w:b w:val="0"/>
                <w:sz w:val="18"/>
              </w:rPr>
              <w:t>BR-RULE-011</w:t>
            </w:r>
          </w:p>
        </w:tc>
        <w:tc>
          <w:tcPr>
            <w:tcW w:w="4986" w:type="dxa"/>
            <w:vAlign w:val="center"/>
          </w:tcPr>
          <w:p w14:paraId="00100348" w14:textId="00100349">
            <w:r/>
            <w:r>
              <w:rPr>
                <w:rFonts w:ascii="Arial" w:hAnsi="Arial"/>
                <w:b w:val="0"/>
                <w:sz w:val="18"/>
              </w:rPr>
              <w:t>Closed bugs should not be freely edited; reopen should be used when the issue still exists.</w:t>
            </w:r>
          </w:p>
        </w:tc>
      </w:tr>
      <w:tr>
        <w:tc>
          <w:tcPr>
            <w:tcW w:w="4986" w:type="dxa"/>
            <w:vAlign w:val="center"/>
          </w:tcPr>
          <w:p w14:paraId="0010034A" w14:textId="0010034B">
            <w:r/>
            <w:r>
              <w:rPr>
                <w:rFonts w:ascii="Arial" w:hAnsi="Arial"/>
                <w:b w:val="0"/>
                <w:sz w:val="18"/>
              </w:rPr>
              <w:t>BR-RULE-012</w:t>
            </w:r>
          </w:p>
        </w:tc>
        <w:tc>
          <w:tcPr>
            <w:tcW w:w="4986" w:type="dxa"/>
            <w:vAlign w:val="center"/>
          </w:tcPr>
          <w:p w14:paraId="0010034C" w14:textId="0010034D">
            <w:r/>
            <w:r>
              <w:rPr>
                <w:rFonts w:ascii="Arial" w:hAnsi="Arial"/>
                <w:b w:val="0"/>
                <w:sz w:val="18"/>
              </w:rPr>
              <w:t>Comments do not directly change status.</w:t>
            </w:r>
          </w:p>
        </w:tc>
      </w:tr>
      <w:tr>
        <w:tc>
          <w:tcPr>
            <w:tcW w:w="4986" w:type="dxa"/>
            <w:vAlign w:val="center"/>
          </w:tcPr>
          <w:p w14:paraId="0010034E" w14:textId="0010034F">
            <w:r/>
            <w:r>
              <w:rPr>
                <w:rFonts w:ascii="Arial" w:hAnsi="Arial"/>
                <w:b w:val="0"/>
                <w:sz w:val="18"/>
              </w:rPr>
              <w:t>BR-RULE-013</w:t>
            </w:r>
          </w:p>
        </w:tc>
        <w:tc>
          <w:tcPr>
            <w:tcW w:w="4986" w:type="dxa"/>
            <w:vAlign w:val="center"/>
          </w:tcPr>
          <w:p w14:paraId="00100350" w14:textId="00100351">
            <w:r/>
            <w:r>
              <w:rPr>
                <w:rFonts w:ascii="Arial" w:hAnsi="Arial"/>
                <w:b w:val="0"/>
                <w:sz w:val="18"/>
              </w:rPr>
              <w:t>Important changes must be recorded in history logs.</w:t>
            </w:r>
          </w:p>
        </w:tc>
      </w:tr>
      <w:tr>
        <w:tc>
          <w:tcPr>
            <w:tcW w:w="4986" w:type="dxa"/>
            <w:vAlign w:val="center"/>
          </w:tcPr>
          <w:p w14:paraId="00100352" w14:textId="00100353">
            <w:r/>
            <w:r>
              <w:rPr>
                <w:rFonts w:ascii="Arial" w:hAnsi="Arial"/>
                <w:b w:val="0"/>
                <w:sz w:val="18"/>
              </w:rPr>
              <w:t>BR-RULE-014</w:t>
            </w:r>
          </w:p>
        </w:tc>
        <w:tc>
          <w:tcPr>
            <w:tcW w:w="4986" w:type="dxa"/>
            <w:vAlign w:val="center"/>
          </w:tcPr>
          <w:p w14:paraId="00100354" w14:textId="00100355">
            <w:r/>
            <w:r>
              <w:rPr>
                <w:rFonts w:ascii="Arial" w:hAnsi="Arial"/>
                <w:b w:val="0"/>
                <w:sz w:val="18"/>
              </w:rPr>
              <w:t>PM monitors progress and risk but does not replace Developer technical responsibility or Tester content responsibility.</w:t>
            </w:r>
          </w:p>
        </w:tc>
      </w:tr>
    </w:tbl>
    <w:p w14:paraId="00100356" w14:textId="00100357">
      <w:pPr>
        <w:pStyle w:val="Heading2"/>
      </w:pPr>
      <w:r>
        <w:t>14. Status Lifecycle Summary</w:t>
      </w:r>
    </w:p>
    <w:p w14:paraId="00100358" w14:textId="00100359">
      <w:r>
        <w:t>The main statuses are:</w:t>
      </w:r>
    </w:p>
    <w:p w14:paraId="0010035A" w14:textId="0010035B">
      <w:pPr>
        <w:pStyle w:val="ListBullet"/>
      </w:pPr>
      <w:r>
        <w:t>New</w:t>
      </w:r>
    </w:p>
    <w:p w14:paraId="0010035C" w14:textId="0010035D">
      <w:pPr>
        <w:pStyle w:val="ListBullet"/>
      </w:pPr>
      <w:r>
        <w:t>Pending Assignment</w:t>
      </w:r>
    </w:p>
    <w:p w14:paraId="0010035E" w14:textId="0010035F">
      <w:pPr>
        <w:pStyle w:val="ListBullet"/>
      </w:pPr>
      <w:r>
        <w:t>Assigned</w:t>
      </w:r>
    </w:p>
    <w:p w14:paraId="00100360" w14:textId="00100361">
      <w:pPr>
        <w:pStyle w:val="ListBullet"/>
      </w:pPr>
      <w:r>
        <w:t>In Review</w:t>
      </w:r>
    </w:p>
    <w:p w14:paraId="00100362" w14:textId="00100363">
      <w:pPr>
        <w:pStyle w:val="ListBullet"/>
      </w:pPr>
      <w:r>
        <w:t>Need More Information</w:t>
      </w:r>
    </w:p>
    <w:p w14:paraId="00100364" w14:textId="00100365">
      <w:pPr>
        <w:pStyle w:val="ListBullet"/>
      </w:pPr>
      <w:r>
        <w:t>In Progress</w:t>
      </w:r>
    </w:p>
    <w:p w14:paraId="00100366" w14:textId="00100367">
      <w:pPr>
        <w:pStyle w:val="ListBullet"/>
      </w:pPr>
      <w:r>
        <w:t>Resolved</w:t>
      </w:r>
    </w:p>
    <w:p w14:paraId="00100368" w14:textId="00100369">
      <w:pPr>
        <w:pStyle w:val="ListBullet"/>
      </w:pPr>
      <w:r>
        <w:t>Retest Required</w:t>
      </w:r>
    </w:p>
    <w:p w14:paraId="0010036A" w14:textId="0010036B">
      <w:pPr>
        <w:pStyle w:val="ListBullet"/>
      </w:pPr>
      <w:r>
        <w:t>Rejected</w:t>
      </w:r>
    </w:p>
    <w:p w14:paraId="0010036C" w14:textId="0010036D">
      <w:pPr>
        <w:pStyle w:val="ListBullet"/>
      </w:pPr>
      <w:r>
        <w:t>Reopened</w:t>
      </w:r>
    </w:p>
    <w:p w14:paraId="0010036E" w14:textId="0010036F">
      <w:pPr>
        <w:pStyle w:val="ListBullet"/>
      </w:pPr>
      <w:r>
        <w:t>Closed</w:t>
      </w:r>
    </w:p>
    <w:p w14:paraId="00100370" w14:textId="00100371">
      <w:r>
        <w:t>Rejected must include rejection reason, history log, nextProcessor, and follow-up action. The follow-up owner is normally Tester or PM. The follow-up action must correct classification, add missing information, reassign to another Developer, or move the bug to Pending Assignment when no suitable Developer is available.</w:t>
      </w:r>
    </w:p>
    <w:p w14:paraId="00100372" w14:textId="00100373">
      <w:r>
        <w:t>Retest Required sits between Resolved and Closed when verification is needed. This prevents the team from closing a bug before Tester/PM acceptance.</w:t>
      </w:r>
    </w:p>
    <w:p w14:paraId="00100374" w14:textId="00100375">
      <w:pPr>
        <w:pStyle w:val="Heading2"/>
      </w:pPr>
      <w:r>
        <w:t>15. High-Level Data Requirements</w:t>
      </w:r>
    </w:p>
    <w:tbl>
      <w:tblPr>
        <w:tblStyle w:val="TableGrid"/>
        <w:tblW w:w="0" w:type="auto"/>
        <w:tblLayout w:type="autofit"/>
        <w:tblLook w:val="04A0" w:firstRow="1" w:lastRow="0" w:firstColumn="1" w:lastColumn="0" w:noHBand="0" w:noVBand="1"/>
      </w:tblPr>
      <w:tblGrid>
        <w:gridCol w:w="3324"/>
        <w:gridCol w:w="3324"/>
        <w:gridCol w:w="3324"/>
      </w:tblGrid>
      <w:tr>
        <w:tc>
          <w:tcPr>
            <w:tcW w:w="3324" w:type="dxa"/>
            <w:shd w:val="clear" w:fill="D9E2F3"/>
            <w:vAlign w:val="center"/>
          </w:tcPr>
          <w:p w14:paraId="00100376" w14:textId="00100377">
            <w:r/>
            <w:r>
              <w:rPr>
                <w:rFonts w:ascii="Arial" w:hAnsi="Arial"/>
                <w:b/>
                <w:sz w:val="18"/>
              </w:rPr>
              <w:t>Data Area</w:t>
            </w:r>
          </w:p>
        </w:tc>
        <w:tc>
          <w:tcPr>
            <w:tcW w:w="3324" w:type="dxa"/>
            <w:shd w:val="clear" w:fill="D9E2F3"/>
            <w:vAlign w:val="center"/>
          </w:tcPr>
          <w:p w14:paraId="00100378" w14:textId="00100379">
            <w:r/>
            <w:r>
              <w:rPr>
                <w:rFonts w:ascii="Arial" w:hAnsi="Arial"/>
                <w:b/>
                <w:sz w:val="18"/>
              </w:rPr>
              <w:t>Business Meaning</w:t>
            </w:r>
          </w:p>
        </w:tc>
        <w:tc>
          <w:tcPr>
            <w:tcW w:w="3324" w:type="dxa"/>
            <w:shd w:val="clear" w:fill="D9E2F3"/>
            <w:vAlign w:val="center"/>
          </w:tcPr>
          <w:p w14:paraId="0010037A" w14:textId="0010037B">
            <w:r/>
            <w:r>
              <w:rPr>
                <w:rFonts w:ascii="Arial" w:hAnsi="Arial"/>
                <w:b/>
                <w:sz w:val="18"/>
              </w:rPr>
              <w:t>Notes</w:t>
            </w:r>
          </w:p>
        </w:tc>
      </w:tr>
      <w:tr>
        <w:tc>
          <w:tcPr>
            <w:tcW w:w="3324" w:type="dxa"/>
            <w:vAlign w:val="center"/>
          </w:tcPr>
          <w:p w14:paraId="0010037C" w14:textId="0010037D">
            <w:r/>
            <w:r>
              <w:rPr>
                <w:rFonts w:ascii="Arial" w:hAnsi="Arial"/>
                <w:b w:val="0"/>
                <w:sz w:val="18"/>
              </w:rPr>
              <w:t>Bug</w:t>
            </w:r>
          </w:p>
        </w:tc>
        <w:tc>
          <w:tcPr>
            <w:tcW w:w="3324" w:type="dxa"/>
            <w:vAlign w:val="center"/>
          </w:tcPr>
          <w:p w14:paraId="0010037E" w14:textId="0010037F">
            <w:r/>
            <w:r>
              <w:rPr>
                <w:rFonts w:ascii="Arial" w:hAnsi="Arial"/>
                <w:b w:val="0"/>
                <w:sz w:val="18"/>
              </w:rPr>
              <w:t>Main record representing a reported defect.</w:t>
            </w:r>
          </w:p>
        </w:tc>
        <w:tc>
          <w:tcPr>
            <w:tcW w:w="3324" w:type="dxa"/>
            <w:vAlign w:val="center"/>
          </w:tcPr>
          <w:p w14:paraId="00100380" w14:textId="00100381">
            <w:r/>
            <w:r>
              <w:rPr>
                <w:rFonts w:ascii="Arial" w:hAnsi="Arial"/>
                <w:b w:val="0"/>
                <w:sz w:val="18"/>
              </w:rPr>
              <w:t>Includes classification, priority, severity, ownership, status, and test context.</w:t>
            </w:r>
          </w:p>
        </w:tc>
      </w:tr>
      <w:tr>
        <w:tc>
          <w:tcPr>
            <w:tcW w:w="3324" w:type="dxa"/>
            <w:vAlign w:val="center"/>
          </w:tcPr>
          <w:p w14:paraId="00100382" w14:textId="00100383">
            <w:r/>
            <w:r>
              <w:rPr>
                <w:rFonts w:ascii="Arial" w:hAnsi="Arial"/>
                <w:b w:val="0"/>
                <w:sz w:val="18"/>
              </w:rPr>
              <w:t>Developer</w:t>
            </w:r>
          </w:p>
        </w:tc>
        <w:tc>
          <w:tcPr>
            <w:tcW w:w="3324" w:type="dxa"/>
            <w:vAlign w:val="center"/>
          </w:tcPr>
          <w:p w14:paraId="00100384" w14:textId="00100385">
            <w:r/>
            <w:r>
              <w:rPr>
                <w:rFonts w:ascii="Arial" w:hAnsi="Arial"/>
                <w:b w:val="0"/>
                <w:sz w:val="18"/>
              </w:rPr>
              <w:t>Person who can handle technical review and status updates.</w:t>
            </w:r>
          </w:p>
        </w:tc>
        <w:tc>
          <w:tcPr>
            <w:tcW w:w="3324" w:type="dxa"/>
            <w:vAlign w:val="center"/>
          </w:tcPr>
          <w:p w14:paraId="00100386" w14:textId="00100387">
            <w:r/>
            <w:r>
              <w:rPr>
                <w:rFonts w:ascii="Arial" w:hAnsi="Arial"/>
                <w:b w:val="0"/>
                <w:sz w:val="18"/>
              </w:rPr>
              <w:t>May be represented through user/developer master data.</w:t>
            </w:r>
          </w:p>
        </w:tc>
      </w:tr>
      <w:tr>
        <w:tc>
          <w:tcPr>
            <w:tcW w:w="3324" w:type="dxa"/>
            <w:vAlign w:val="center"/>
          </w:tcPr>
          <w:p w14:paraId="00100388" w14:textId="00100389">
            <w:r/>
            <w:r>
              <w:rPr>
                <w:rFonts w:ascii="Arial" w:hAnsi="Arial"/>
                <w:b w:val="0"/>
                <w:sz w:val="18"/>
              </w:rPr>
              <w:t>SAP Module</w:t>
            </w:r>
          </w:p>
        </w:tc>
        <w:tc>
          <w:tcPr>
            <w:tcW w:w="3324" w:type="dxa"/>
            <w:vAlign w:val="center"/>
          </w:tcPr>
          <w:p w14:paraId="0010038A" w14:textId="0010038B">
            <w:r/>
            <w:r>
              <w:rPr>
                <w:rFonts w:ascii="Arial" w:hAnsi="Arial"/>
                <w:b w:val="0"/>
                <w:sz w:val="18"/>
              </w:rPr>
              <w:t>Optional SAP business context such as FI, MM, SD, or HR.</w:t>
            </w:r>
          </w:p>
        </w:tc>
        <w:tc>
          <w:tcPr>
            <w:tcW w:w="3324" w:type="dxa"/>
            <w:vAlign w:val="center"/>
          </w:tcPr>
          <w:p w14:paraId="0010038C" w14:textId="0010038D">
            <w:r/>
            <w:r>
              <w:rPr>
                <w:rFonts w:ascii="Arial" w:hAnsi="Arial"/>
                <w:b w:val="0"/>
                <w:sz w:val="18"/>
              </w:rPr>
              <w:t>Not every IDTS bug belongs to a SAP functional module.</w:t>
            </w:r>
          </w:p>
        </w:tc>
      </w:tr>
      <w:tr>
        <w:tc>
          <w:tcPr>
            <w:tcW w:w="3324" w:type="dxa"/>
            <w:vAlign w:val="center"/>
          </w:tcPr>
          <w:p w14:paraId="0010038E" w14:textId="0010038F">
            <w:r/>
            <w:r>
              <w:rPr>
                <w:rFonts w:ascii="Arial" w:hAnsi="Arial"/>
                <w:b w:val="0"/>
                <w:sz w:val="18"/>
              </w:rPr>
              <w:t>Application Component</w:t>
            </w:r>
          </w:p>
        </w:tc>
        <w:tc>
          <w:tcPr>
            <w:tcW w:w="3324" w:type="dxa"/>
            <w:vAlign w:val="center"/>
          </w:tcPr>
          <w:p w14:paraId="00100390" w14:textId="00100391">
            <w:r/>
            <w:r>
              <w:rPr>
                <w:rFonts w:ascii="Arial" w:hAnsi="Arial"/>
                <w:b w:val="0"/>
                <w:sz w:val="18"/>
              </w:rPr>
              <w:t>Where the issue appears in the IDTS/SAP-related solution.</w:t>
            </w:r>
          </w:p>
        </w:tc>
        <w:tc>
          <w:tcPr>
            <w:tcW w:w="3324" w:type="dxa"/>
            <w:vAlign w:val="center"/>
          </w:tcPr>
          <w:p w14:paraId="00100392" w14:textId="00100393">
            <w:r/>
            <w:r>
              <w:rPr>
                <w:rFonts w:ascii="Arial" w:hAnsi="Arial"/>
                <w:b w:val="0"/>
                <w:sz w:val="18"/>
              </w:rPr>
              <w:t>Required for classification and assignment filtering.</w:t>
            </w:r>
          </w:p>
        </w:tc>
      </w:tr>
      <w:tr>
        <w:tc>
          <w:tcPr>
            <w:tcW w:w="3324" w:type="dxa"/>
            <w:vAlign w:val="center"/>
          </w:tcPr>
          <w:p w14:paraId="00100394" w14:textId="00100395">
            <w:r/>
            <w:r>
              <w:rPr>
                <w:rFonts w:ascii="Arial" w:hAnsi="Arial"/>
                <w:b w:val="0"/>
                <w:sz w:val="18"/>
              </w:rPr>
              <w:t>Defect Category</w:t>
            </w:r>
          </w:p>
        </w:tc>
        <w:tc>
          <w:tcPr>
            <w:tcW w:w="3324" w:type="dxa"/>
            <w:vAlign w:val="center"/>
          </w:tcPr>
          <w:p w14:paraId="00100396" w14:textId="00100397">
            <w:r/>
            <w:r>
              <w:rPr>
                <w:rFonts w:ascii="Arial" w:hAnsi="Arial"/>
                <w:b w:val="0"/>
                <w:sz w:val="18"/>
              </w:rPr>
              <w:t>Type or layer of defect, such as Fiori, CAP backend, database, authorization, integration, notification, or reporting.</w:t>
            </w:r>
          </w:p>
        </w:tc>
        <w:tc>
          <w:tcPr>
            <w:tcW w:w="3324" w:type="dxa"/>
            <w:vAlign w:val="center"/>
          </w:tcPr>
          <w:p w14:paraId="00100398" w14:textId="00100399">
            <w:r/>
            <w:r>
              <w:rPr>
                <w:rFonts w:ascii="Arial" w:hAnsi="Arial"/>
                <w:b w:val="0"/>
                <w:sz w:val="18"/>
              </w:rPr>
              <w:t>Required for classification and assignment filtering.</w:t>
            </w:r>
          </w:p>
        </w:tc>
      </w:tr>
      <w:tr>
        <w:tc>
          <w:tcPr>
            <w:tcW w:w="3324" w:type="dxa"/>
            <w:vAlign w:val="center"/>
          </w:tcPr>
          <w:p w14:paraId="0010039A" w14:textId="0010039B">
            <w:r/>
            <w:r>
              <w:rPr>
                <w:rFonts w:ascii="Arial" w:hAnsi="Arial"/>
                <w:b w:val="0"/>
                <w:sz w:val="18"/>
              </w:rPr>
              <w:t>Component Category</w:t>
            </w:r>
          </w:p>
        </w:tc>
        <w:tc>
          <w:tcPr>
            <w:tcW w:w="3324" w:type="dxa"/>
            <w:vAlign w:val="center"/>
          </w:tcPr>
          <w:p w14:paraId="0010039C" w14:textId="0010039D">
            <w:r/>
            <w:r>
              <w:rPr>
                <w:rFonts w:ascii="Arial" w:hAnsi="Arial"/>
                <w:b w:val="0"/>
                <w:sz w:val="18"/>
              </w:rPr>
              <w:t>Valid pair between Application Component and Defect Category.</w:t>
            </w:r>
          </w:p>
        </w:tc>
        <w:tc>
          <w:tcPr>
            <w:tcW w:w="3324" w:type="dxa"/>
            <w:vAlign w:val="center"/>
          </w:tcPr>
          <w:p w14:paraId="0010039E" w14:textId="0010039F">
            <w:r/>
            <w:r>
              <w:rPr>
                <w:rFonts w:ascii="Arial" w:hAnsi="Arial"/>
                <w:b w:val="0"/>
                <w:sz w:val="18"/>
              </w:rPr>
              <w:t>Used to avoid invalid combinations.</w:t>
            </w:r>
          </w:p>
        </w:tc>
      </w:tr>
      <w:tr>
        <w:tc>
          <w:tcPr>
            <w:tcW w:w="3324" w:type="dxa"/>
            <w:vAlign w:val="center"/>
          </w:tcPr>
          <w:p w14:paraId="001003A0" w14:textId="001003A1">
            <w:r/>
            <w:r>
              <w:rPr>
                <w:rFonts w:ascii="Arial" w:hAnsi="Arial"/>
                <w:b w:val="0"/>
                <w:sz w:val="18"/>
              </w:rPr>
              <w:t>Developer Responsibility</w:t>
            </w:r>
          </w:p>
        </w:tc>
        <w:tc>
          <w:tcPr>
            <w:tcW w:w="3324" w:type="dxa"/>
            <w:vAlign w:val="center"/>
          </w:tcPr>
          <w:p w14:paraId="001003A2" w14:textId="001003A3">
            <w:r/>
            <w:r>
              <w:rPr>
                <w:rFonts w:ascii="Arial" w:hAnsi="Arial"/>
                <w:b w:val="0"/>
                <w:sz w:val="18"/>
              </w:rPr>
              <w:t>Mapping between Developer and Component Category, optionally scoped by SAP Module.</w:t>
            </w:r>
          </w:p>
        </w:tc>
        <w:tc>
          <w:tcPr>
            <w:tcW w:w="3324" w:type="dxa"/>
            <w:vAlign w:val="center"/>
          </w:tcPr>
          <w:p w14:paraId="001003A4" w14:textId="001003A5">
            <w:r/>
            <w:r>
              <w:rPr>
                <w:rFonts w:ascii="Arial" w:hAnsi="Arial"/>
                <w:b w:val="0"/>
                <w:sz w:val="18"/>
              </w:rPr>
              <w:t>Drives assignment candidate filtering.</w:t>
            </w:r>
          </w:p>
        </w:tc>
      </w:tr>
      <w:tr>
        <w:tc>
          <w:tcPr>
            <w:tcW w:w="3324" w:type="dxa"/>
            <w:vAlign w:val="center"/>
          </w:tcPr>
          <w:p w14:paraId="001003A6" w14:textId="001003A7">
            <w:r/>
            <w:r>
              <w:rPr>
                <w:rFonts w:ascii="Arial" w:hAnsi="Arial"/>
                <w:b w:val="0"/>
                <w:sz w:val="18"/>
              </w:rPr>
              <w:t>Comment</w:t>
            </w:r>
          </w:p>
        </w:tc>
        <w:tc>
          <w:tcPr>
            <w:tcW w:w="3324" w:type="dxa"/>
            <w:vAlign w:val="center"/>
          </w:tcPr>
          <w:p w14:paraId="001003A8" w14:textId="001003A9">
            <w:r/>
            <w:r>
              <w:rPr>
                <w:rFonts w:ascii="Arial" w:hAnsi="Arial"/>
                <w:b w:val="0"/>
                <w:sz w:val="18"/>
              </w:rPr>
              <w:t>Discussion attached to a bug.</w:t>
            </w:r>
          </w:p>
        </w:tc>
        <w:tc>
          <w:tcPr>
            <w:tcW w:w="3324" w:type="dxa"/>
            <w:vAlign w:val="center"/>
          </w:tcPr>
          <w:p w14:paraId="001003AA" w14:textId="001003AB">
            <w:r/>
            <w:r>
              <w:rPr>
                <w:rFonts w:ascii="Arial" w:hAnsi="Arial"/>
                <w:b w:val="0"/>
                <w:sz w:val="18"/>
              </w:rPr>
              <w:t>Does not directly change status.</w:t>
            </w:r>
          </w:p>
        </w:tc>
      </w:tr>
      <w:tr>
        <w:tc>
          <w:tcPr>
            <w:tcW w:w="3324" w:type="dxa"/>
            <w:vAlign w:val="center"/>
          </w:tcPr>
          <w:p w14:paraId="001003AC" w14:textId="001003AD">
            <w:r/>
            <w:r>
              <w:rPr>
                <w:rFonts w:ascii="Arial" w:hAnsi="Arial"/>
                <w:b w:val="0"/>
                <w:sz w:val="18"/>
              </w:rPr>
              <w:t>Attachment</w:t>
            </w:r>
          </w:p>
        </w:tc>
        <w:tc>
          <w:tcPr>
            <w:tcW w:w="3324" w:type="dxa"/>
            <w:vAlign w:val="center"/>
          </w:tcPr>
          <w:p w14:paraId="001003AE" w14:textId="001003AF">
            <w:r/>
            <w:r>
              <w:rPr>
                <w:rFonts w:ascii="Arial" w:hAnsi="Arial"/>
                <w:b w:val="0"/>
                <w:sz w:val="18"/>
              </w:rPr>
              <w:t>Evidence metadata or file reference.</w:t>
            </w:r>
          </w:p>
        </w:tc>
        <w:tc>
          <w:tcPr>
            <w:tcW w:w="3324" w:type="dxa"/>
            <w:vAlign w:val="center"/>
          </w:tcPr>
          <w:p w14:paraId="001003B0" w14:textId="001003B1">
            <w:r/>
            <w:r>
              <w:rPr>
                <w:rFonts w:ascii="Arial" w:hAnsi="Arial"/>
                <w:b w:val="0"/>
                <w:sz w:val="18"/>
              </w:rPr>
              <w:t>Full file storage can be deferred.</w:t>
            </w:r>
          </w:p>
        </w:tc>
      </w:tr>
      <w:tr>
        <w:tc>
          <w:tcPr>
            <w:tcW w:w="3324" w:type="dxa"/>
            <w:vAlign w:val="center"/>
          </w:tcPr>
          <w:p w14:paraId="001003B2" w14:textId="001003B3">
            <w:r/>
            <w:r>
              <w:rPr>
                <w:rFonts w:ascii="Arial" w:hAnsi="Arial"/>
                <w:b w:val="0"/>
                <w:sz w:val="18"/>
              </w:rPr>
              <w:t>History Log</w:t>
            </w:r>
          </w:p>
        </w:tc>
        <w:tc>
          <w:tcPr>
            <w:tcW w:w="3324" w:type="dxa"/>
            <w:vAlign w:val="center"/>
          </w:tcPr>
          <w:p w14:paraId="001003B4" w14:textId="001003B5">
            <w:r/>
            <w:r>
              <w:rPr>
                <w:rFonts w:ascii="Arial" w:hAnsi="Arial"/>
                <w:b w:val="0"/>
                <w:sz w:val="18"/>
              </w:rPr>
              <w:t>Audit trail for important actions.</w:t>
            </w:r>
          </w:p>
        </w:tc>
        <w:tc>
          <w:tcPr>
            <w:tcW w:w="3324" w:type="dxa"/>
            <w:vAlign w:val="center"/>
          </w:tcPr>
          <w:p w14:paraId="001003B6" w14:textId="001003B7">
            <w:r/>
            <w:r>
              <w:rPr>
                <w:rFonts w:ascii="Arial" w:hAnsi="Arial"/>
                <w:b w:val="0"/>
                <w:sz w:val="18"/>
              </w:rPr>
              <w:t>Stores actor, timestamp, action, old value, new value, and reason where applicable.</w:t>
            </w:r>
          </w:p>
        </w:tc>
      </w:tr>
      <w:tr>
        <w:tc>
          <w:tcPr>
            <w:tcW w:w="3324" w:type="dxa"/>
            <w:vAlign w:val="center"/>
          </w:tcPr>
          <w:p w14:paraId="001003B8" w14:textId="001003B9">
            <w:r/>
            <w:r>
              <w:rPr>
                <w:rFonts w:ascii="Arial" w:hAnsi="Arial"/>
                <w:b w:val="0"/>
                <w:sz w:val="18"/>
              </w:rPr>
              <w:t>Notification</w:t>
            </w:r>
          </w:p>
        </w:tc>
        <w:tc>
          <w:tcPr>
            <w:tcW w:w="3324" w:type="dxa"/>
            <w:vAlign w:val="center"/>
          </w:tcPr>
          <w:p w14:paraId="001003BA" w14:textId="001003BB">
            <w:r/>
            <w:r>
              <w:rPr>
                <w:rFonts w:ascii="Arial" w:hAnsi="Arial"/>
                <w:b w:val="0"/>
                <w:sz w:val="18"/>
              </w:rPr>
              <w:t>Record of important event and recipient.</w:t>
            </w:r>
          </w:p>
        </w:tc>
        <w:tc>
          <w:tcPr>
            <w:tcW w:w="3324" w:type="dxa"/>
            <w:vAlign w:val="center"/>
          </w:tcPr>
          <w:p w14:paraId="001003BC" w14:textId="001003BD">
            <w:r/>
            <w:r>
              <w:rPr>
                <w:rFonts w:ascii="Arial" w:hAnsi="Arial"/>
                <w:b w:val="0"/>
                <w:sz w:val="18"/>
              </w:rPr>
              <w:t>External delivery can be deferred.</w:t>
            </w:r>
          </w:p>
        </w:tc>
      </w:tr>
    </w:tbl>
    <w:p w14:paraId="001003BE" w14:textId="001003BF">
      <w:pPr>
        <w:pStyle w:val="Heading2"/>
      </w:pPr>
      <w:r>
        <w:t>16. Reporting and Monitoring Requirements</w:t>
      </w:r>
    </w:p>
    <w:p w14:paraId="001003C0" w14:textId="001003C1">
      <w:r>
        <w:t>PM monitoring must support at least:</w:t>
      </w:r>
    </w:p>
    <w:p w14:paraId="001003C2" w14:textId="001003C3">
      <w:pPr>
        <w:pStyle w:val="ListBullet"/>
      </w:pPr>
      <w:r>
        <w:t>Bug list by status, priority, severity, SAP Module, Application Component, Defect Category, assignee, nextProcessor, created date, updated date, and overdue state.</w:t>
      </w:r>
    </w:p>
    <w:p w14:paraId="001003C4" w14:textId="001003C5">
      <w:pPr>
        <w:pStyle w:val="ListBullet"/>
      </w:pPr>
      <w:r>
        <w:t>Workload by Developer.</w:t>
      </w:r>
    </w:p>
    <w:p w14:paraId="001003C6" w14:textId="001003C7">
      <w:pPr>
        <w:pStyle w:val="ListBullet"/>
      </w:pPr>
      <w:r>
        <w:t>Pending Assignment queue.</w:t>
      </w:r>
    </w:p>
    <w:p w14:paraId="001003C8" w14:textId="001003C9">
      <w:pPr>
        <w:pStyle w:val="ListBullet"/>
      </w:pPr>
      <w:r>
        <w:t>Need More Information queue.</w:t>
      </w:r>
    </w:p>
    <w:p w14:paraId="001003CA" w14:textId="001003CB">
      <w:pPr>
        <w:pStyle w:val="ListBullet"/>
      </w:pPr>
      <w:r>
        <w:t>Retest Required queue.</w:t>
      </w:r>
    </w:p>
    <w:p w14:paraId="001003CC" w14:textId="001003CD">
      <w:pPr>
        <w:pStyle w:val="ListBullet"/>
      </w:pPr>
      <w:r>
        <w:t>Rejected follow-up queue.</w:t>
      </w:r>
    </w:p>
    <w:p w14:paraId="001003CE" w14:textId="001003CF">
      <w:pPr>
        <w:pStyle w:val="ListBullet"/>
      </w:pPr>
      <w:r>
        <w:t>Overdue or stale bugs.</w:t>
      </w:r>
    </w:p>
    <w:p w14:paraId="001003D0" w14:textId="001003D1">
      <w:pPr>
        <w:pStyle w:val="ListBullet"/>
      </w:pPr>
      <w:r>
        <w:t>Reassign or reject frequency when available.</w:t>
      </w:r>
    </w:p>
    <w:p w14:paraId="001003D2" w14:textId="001003D3">
      <w:pPr>
        <w:pStyle w:val="Heading2"/>
      </w:pPr>
      <w:r>
        <w:t>17. Non-Functional and Quality Requirements</w:t>
      </w:r>
    </w:p>
    <w:tbl>
      <w:tblPr>
        <w:tblStyle w:val="TableGrid"/>
        <w:tblW w:w="0" w:type="auto"/>
        <w:tblLayout w:type="autofit"/>
        <w:tblLook w:val="04A0" w:firstRow="1" w:lastRow="0" w:firstColumn="1" w:lastColumn="0" w:noHBand="0" w:noVBand="1"/>
      </w:tblPr>
      <w:tblGrid>
        <w:gridCol w:w="4986"/>
        <w:gridCol w:w="4986"/>
      </w:tblGrid>
      <w:tr>
        <w:tc>
          <w:tcPr>
            <w:tcW w:w="4986" w:type="dxa"/>
            <w:shd w:val="clear" w:fill="D9E2F3"/>
            <w:vAlign w:val="center"/>
          </w:tcPr>
          <w:p w14:paraId="001003D4" w14:textId="001003D5">
            <w:r/>
            <w:r>
              <w:rPr>
                <w:rFonts w:ascii="Arial" w:hAnsi="Arial"/>
                <w:b/>
                <w:sz w:val="18"/>
              </w:rPr>
              <w:t>Category</w:t>
            </w:r>
          </w:p>
        </w:tc>
        <w:tc>
          <w:tcPr>
            <w:tcW w:w="4986" w:type="dxa"/>
            <w:shd w:val="clear" w:fill="D9E2F3"/>
            <w:vAlign w:val="center"/>
          </w:tcPr>
          <w:p w14:paraId="001003D6" w14:textId="001003D7">
            <w:r/>
            <w:r>
              <w:rPr>
                <w:rFonts w:ascii="Arial" w:hAnsi="Arial"/>
                <w:b/>
                <w:sz w:val="18"/>
              </w:rPr>
              <w:t>High-Level Requirement</w:t>
            </w:r>
          </w:p>
        </w:tc>
      </w:tr>
      <w:tr>
        <w:tc>
          <w:tcPr>
            <w:tcW w:w="4986" w:type="dxa"/>
            <w:vAlign w:val="center"/>
          </w:tcPr>
          <w:p w14:paraId="001003D8" w14:textId="001003D9">
            <w:r/>
            <w:r>
              <w:rPr>
                <w:rFonts w:ascii="Arial" w:hAnsi="Arial"/>
                <w:b w:val="0"/>
                <w:sz w:val="18"/>
              </w:rPr>
              <w:t>Security and authorization</w:t>
            </w:r>
          </w:p>
        </w:tc>
        <w:tc>
          <w:tcPr>
            <w:tcW w:w="4986" w:type="dxa"/>
            <w:vAlign w:val="center"/>
          </w:tcPr>
          <w:p w14:paraId="001003DA" w14:textId="001003DB">
            <w:r/>
            <w:r>
              <w:rPr>
                <w:rFonts w:ascii="Arial" w:hAnsi="Arial"/>
                <w:b w:val="0"/>
                <w:sz w:val="18"/>
              </w:rPr>
              <w:t>Users should only perform actions allowed for their role.</w:t>
            </w:r>
          </w:p>
        </w:tc>
      </w:tr>
      <w:tr>
        <w:tc>
          <w:tcPr>
            <w:tcW w:w="4986" w:type="dxa"/>
            <w:vAlign w:val="center"/>
          </w:tcPr>
          <w:p w14:paraId="001003DC" w14:textId="001003DD">
            <w:r/>
            <w:r>
              <w:rPr>
                <w:rFonts w:ascii="Arial" w:hAnsi="Arial"/>
                <w:b w:val="0"/>
                <w:sz w:val="18"/>
              </w:rPr>
              <w:t>Auditability</w:t>
            </w:r>
          </w:p>
        </w:tc>
        <w:tc>
          <w:tcPr>
            <w:tcW w:w="4986" w:type="dxa"/>
            <w:vAlign w:val="center"/>
          </w:tcPr>
          <w:p w14:paraId="001003DE" w14:textId="001003DF">
            <w:r/>
            <w:r>
              <w:rPr>
                <w:rFonts w:ascii="Arial" w:hAnsi="Arial"/>
                <w:b w:val="0"/>
                <w:sz w:val="18"/>
              </w:rPr>
              <w:t>Important changes must be logged with actor, timestamp, action, and reason where applicable.</w:t>
            </w:r>
          </w:p>
        </w:tc>
      </w:tr>
      <w:tr>
        <w:tc>
          <w:tcPr>
            <w:tcW w:w="4986" w:type="dxa"/>
            <w:vAlign w:val="center"/>
          </w:tcPr>
          <w:p w14:paraId="001003E0" w14:textId="001003E1">
            <w:r/>
            <w:r>
              <w:rPr>
                <w:rFonts w:ascii="Arial" w:hAnsi="Arial"/>
                <w:b w:val="0"/>
                <w:sz w:val="18"/>
              </w:rPr>
              <w:t>Usability</w:t>
            </w:r>
          </w:p>
        </w:tc>
        <w:tc>
          <w:tcPr>
            <w:tcW w:w="4986" w:type="dxa"/>
            <w:vAlign w:val="center"/>
          </w:tcPr>
          <w:p w14:paraId="001003E2" w14:textId="001003E3">
            <w:r/>
            <w:r>
              <w:rPr>
                <w:rFonts w:ascii="Arial" w:hAnsi="Arial"/>
                <w:b w:val="0"/>
                <w:sz w:val="18"/>
              </w:rPr>
              <w:t>Bug creation, classification, assignment, status update, and monitoring should be understandable for non-expert users.</w:t>
            </w:r>
          </w:p>
        </w:tc>
      </w:tr>
      <w:tr>
        <w:tc>
          <w:tcPr>
            <w:tcW w:w="4986" w:type="dxa"/>
            <w:vAlign w:val="center"/>
          </w:tcPr>
          <w:p w14:paraId="001003E4" w14:textId="001003E5">
            <w:r/>
            <w:r>
              <w:rPr>
                <w:rFonts w:ascii="Arial" w:hAnsi="Arial"/>
                <w:b w:val="0"/>
                <w:sz w:val="18"/>
              </w:rPr>
              <w:t>Data integrity</w:t>
            </w:r>
          </w:p>
        </w:tc>
        <w:tc>
          <w:tcPr>
            <w:tcW w:w="4986" w:type="dxa"/>
            <w:vAlign w:val="center"/>
          </w:tcPr>
          <w:p w14:paraId="001003E6" w14:textId="001003E7">
            <w:r/>
            <w:r>
              <w:rPr>
                <w:rFonts w:ascii="Arial" w:hAnsi="Arial"/>
                <w:b w:val="0"/>
                <w:sz w:val="18"/>
              </w:rPr>
              <w:t>Required classification, ownership, and status rules should be enforced consistently.</w:t>
            </w:r>
          </w:p>
        </w:tc>
      </w:tr>
      <w:tr>
        <w:tc>
          <w:tcPr>
            <w:tcW w:w="4986" w:type="dxa"/>
            <w:vAlign w:val="center"/>
          </w:tcPr>
          <w:p w14:paraId="001003E8" w14:textId="001003E9">
            <w:r/>
            <w:r>
              <w:rPr>
                <w:rFonts w:ascii="Arial" w:hAnsi="Arial"/>
                <w:b w:val="0"/>
                <w:sz w:val="18"/>
              </w:rPr>
              <w:t>Maintainability</w:t>
            </w:r>
          </w:p>
        </w:tc>
        <w:tc>
          <w:tcPr>
            <w:tcW w:w="4986" w:type="dxa"/>
            <w:vAlign w:val="center"/>
          </w:tcPr>
          <w:p w14:paraId="001003EA" w14:textId="001003EB">
            <w:r/>
            <w:r>
              <w:rPr>
                <w:rFonts w:ascii="Arial" w:hAnsi="Arial"/>
                <w:b w:val="0"/>
                <w:sz w:val="18"/>
              </w:rPr>
              <w:t>Classification and Developer Responsibility should be configurable master data, not hardcoded logic.</w:t>
            </w:r>
          </w:p>
        </w:tc>
      </w:tr>
      <w:tr>
        <w:tc>
          <w:tcPr>
            <w:tcW w:w="4986" w:type="dxa"/>
            <w:vAlign w:val="center"/>
          </w:tcPr>
          <w:p w14:paraId="001003EC" w14:textId="001003ED">
            <w:r/>
            <w:r>
              <w:rPr>
                <w:rFonts w:ascii="Arial" w:hAnsi="Arial"/>
                <w:b w:val="0"/>
                <w:sz w:val="18"/>
              </w:rPr>
              <w:t>Localization readiness</w:t>
            </w:r>
          </w:p>
        </w:tc>
        <w:tc>
          <w:tcPr>
            <w:tcW w:w="4986" w:type="dxa"/>
            <w:vAlign w:val="center"/>
          </w:tcPr>
          <w:p w14:paraId="001003EE" w14:textId="001003EF">
            <w:r/>
            <w:r>
              <w:rPr>
                <w:rFonts w:ascii="Arial" w:hAnsi="Arial"/>
                <w:b w:val="0"/>
                <w:sz w:val="18"/>
              </w:rPr>
              <w:t>English and Vietnamese deliverables are required; UI text may need i18n support during implementation.</w:t>
            </w:r>
          </w:p>
        </w:tc>
      </w:tr>
      <w:tr>
        <w:tc>
          <w:tcPr>
            <w:tcW w:w="4986" w:type="dxa"/>
            <w:vAlign w:val="center"/>
          </w:tcPr>
          <w:p w14:paraId="001003F0" w14:textId="001003F1">
            <w:r/>
            <w:r>
              <w:rPr>
                <w:rFonts w:ascii="Arial" w:hAnsi="Arial"/>
                <w:b w:val="0"/>
                <w:sz w:val="18"/>
              </w:rPr>
              <w:t>Performance baseline</w:t>
            </w:r>
          </w:p>
        </w:tc>
        <w:tc>
          <w:tcPr>
            <w:tcW w:w="4986" w:type="dxa"/>
            <w:vAlign w:val="center"/>
          </w:tcPr>
          <w:p w14:paraId="001003F2" w14:textId="001003F3">
            <w:r/>
            <w:r>
              <w:rPr>
                <w:rFonts w:ascii="Arial" w:hAnsi="Arial"/>
                <w:b w:val="0"/>
                <w:sz w:val="18"/>
              </w:rPr>
              <w:t>MVP filtering and list views should remain usable for educational/demo-scale data.</w:t>
            </w:r>
          </w:p>
        </w:tc>
      </w:tr>
      <w:tr>
        <w:tc>
          <w:tcPr>
            <w:tcW w:w="4986" w:type="dxa"/>
            <w:vAlign w:val="center"/>
          </w:tcPr>
          <w:p w14:paraId="001003F4" w14:textId="001003F5">
            <w:r/>
            <w:r>
              <w:rPr>
                <w:rFonts w:ascii="Arial" w:hAnsi="Arial"/>
                <w:b w:val="0"/>
                <w:sz w:val="18"/>
              </w:rPr>
              <w:t>Extensibility control</w:t>
            </w:r>
          </w:p>
        </w:tc>
        <w:tc>
          <w:tcPr>
            <w:tcW w:w="4986" w:type="dxa"/>
            <w:vAlign w:val="center"/>
          </w:tcPr>
          <w:p w14:paraId="001003F6" w14:textId="001003F7">
            <w:r/>
            <w:r>
              <w:rPr>
                <w:rFonts w:ascii="Arial" w:hAnsi="Arial"/>
                <w:b w:val="0"/>
                <w:sz w:val="18"/>
              </w:rPr>
              <w:t>Future enhancements should not turn IDTS into Jira, SAP Cloud ALM, ServiceNow, CI/CD, or source-code management.</w:t>
            </w:r>
          </w:p>
        </w:tc>
      </w:tr>
    </w:tbl>
    <w:p w14:paraId="001003F8" w14:textId="001003F9">
      <w:pPr>
        <w:pStyle w:val="Heading2"/>
      </w:pPr>
      <w:r>
        <w:t>18. Assumptions, Constraints, and Dependencies</w:t>
      </w:r>
    </w:p>
    <w:p w14:paraId="001003FA" w14:textId="001003FB">
      <w:pPr>
        <w:pStyle w:val="Heading3"/>
      </w:pPr>
      <w:r>
        <w:t>18.1 Assumptions</w:t>
      </w:r>
    </w:p>
    <w:p w14:paraId="001003FC" w14:textId="001003FD">
      <w:pPr>
        <w:pStyle w:val="ListBullet"/>
      </w:pPr>
      <w:r>
        <w:t>SAP Module is optional because not every IDTS bug belongs to a SAP functional module.</w:t>
      </w:r>
    </w:p>
    <w:p w14:paraId="001003FE" w14:textId="001003FF">
      <w:pPr>
        <w:pStyle w:val="ListBullet"/>
      </w:pPr>
      <w:r>
        <w:t>Application Component and Defect Category are required for assignment filtering.</w:t>
      </w:r>
    </w:p>
    <w:p w14:paraId="00100400" w14:textId="00100401">
      <w:pPr>
        <w:pStyle w:val="ListBullet"/>
      </w:pPr>
      <w:r>
        <w:t>Developer workload warning can start at a basic MVP level.</w:t>
      </w:r>
    </w:p>
    <w:p w14:paraId="00100402" w14:textId="00100403">
      <w:pPr>
        <w:pStyle w:val="ListBullet"/>
      </w:pPr>
      <w:r>
        <w:t>External notification delivery can be deferred; MVP may start with notification records/triggers.</w:t>
      </w:r>
    </w:p>
    <w:p w14:paraId="00100404" w14:textId="00100405">
      <w:pPr>
        <w:pStyle w:val="ListBullet"/>
      </w:pPr>
      <w:r>
        <w:t>Attachments can start as metadata and storage references.</w:t>
      </w:r>
    </w:p>
    <w:p w14:paraId="00100406" w14:textId="00100407">
      <w:pPr>
        <w:pStyle w:val="ListBullet"/>
      </w:pPr>
      <w:r>
        <w:t>Product Discovery is used for unclear future requirements before updating BRD/SRS/FRS or implementation tasks.</w:t>
      </w:r>
    </w:p>
    <w:p w14:paraId="00100408" w14:textId="00100409">
      <w:pPr>
        <w:pStyle w:val="Heading3"/>
      </w:pPr>
      <w:r>
        <w:t>18.2 Constraints</w:t>
      </w:r>
    </w:p>
    <w:p w14:paraId="0010040A" w14:textId="0010040B">
      <w:pPr>
        <w:pStyle w:val="ListBullet"/>
      </w:pPr>
      <w:r>
        <w:t>The solution must remain feasible for SAP490 project delivery.</w:t>
      </w:r>
    </w:p>
    <w:p w14:paraId="0010040C" w14:textId="0010040D">
      <w:pPr>
        <w:pStyle w:val="ListBullet"/>
      </w:pPr>
      <w:r>
        <w:t>The expected implementation direction is SAP CAP Node.js, OData V4, SAP Fiori Elements/SAPUI5, and local SQLite for development.</w:t>
      </w:r>
    </w:p>
    <w:p w14:paraId="0010040E" w14:textId="0010040F">
      <w:pPr>
        <w:pStyle w:val="ListBullet"/>
      </w:pPr>
      <w:r>
        <w:t>Future deployment may target SAP HANA Cloud or PostgreSQL, but no endpoint or credential is hardcoded.</w:t>
      </w:r>
    </w:p>
    <w:p w14:paraId="00100410" w14:textId="00100411">
      <w:pPr>
        <w:pStyle w:val="ListBullet"/>
      </w:pPr>
      <w:r>
        <w:t>Detailed CAP service design, Fiori annotations, UI behavior, and handler validation belong in SRS/FRS/technical design, not in this BRD.</w:t>
      </w:r>
    </w:p>
    <w:p w14:paraId="00100412" w14:textId="00100413">
      <w:pPr>
        <w:pStyle w:val="ListBullet"/>
      </w:pPr>
      <w:r>
        <w:t>The MVP must not expand into full ALM, ITSM, project management, source-code management, CI/CD, or code review.</w:t>
      </w:r>
    </w:p>
    <w:p w14:paraId="00100414" w14:textId="00100415">
      <w:pPr>
        <w:pStyle w:val="ListBullet"/>
      </w:pPr>
      <w:r>
        <w:t>Formal BRD/SRS/FRS deliverables are maintained as separate English and Vietnamese files.</w:t>
      </w:r>
    </w:p>
    <w:p w14:paraId="00100416" w14:textId="00100417">
      <w:pPr>
        <w:pStyle w:val="Heading2"/>
      </w:pPr>
      <w:r>
        <w:t>19. Risks and Mitigations</w:t>
      </w:r>
    </w:p>
    <w:tbl>
      <w:tblPr>
        <w:tblStyle w:val="TableGrid"/>
        <w:tblW w:w="0" w:type="auto"/>
        <w:tblLayout w:type="autofit"/>
        <w:tblLook w:val="04A0" w:firstRow="1" w:lastRow="0" w:firstColumn="1" w:lastColumn="0" w:noHBand="0" w:noVBand="1"/>
      </w:tblPr>
      <w:tblGrid>
        <w:gridCol w:w="3324"/>
        <w:gridCol w:w="3324"/>
        <w:gridCol w:w="3324"/>
      </w:tblGrid>
      <w:tr>
        <w:tc>
          <w:tcPr>
            <w:tcW w:w="3324" w:type="dxa"/>
            <w:shd w:val="clear" w:fill="D9E2F3"/>
            <w:vAlign w:val="center"/>
          </w:tcPr>
          <w:p w14:paraId="00100418" w14:textId="00100419">
            <w:r/>
            <w:r>
              <w:rPr>
                <w:rFonts w:ascii="Arial" w:hAnsi="Arial"/>
                <w:b/>
                <w:sz w:val="18"/>
              </w:rPr>
              <w:t>Risk</w:t>
            </w:r>
          </w:p>
        </w:tc>
        <w:tc>
          <w:tcPr>
            <w:tcW w:w="3324" w:type="dxa"/>
            <w:shd w:val="clear" w:fill="D9E2F3"/>
            <w:vAlign w:val="center"/>
          </w:tcPr>
          <w:p w14:paraId="0010041A" w14:textId="0010041B">
            <w:r/>
            <w:r>
              <w:rPr>
                <w:rFonts w:ascii="Arial" w:hAnsi="Arial"/>
                <w:b/>
                <w:sz w:val="18"/>
              </w:rPr>
              <w:t>Impact</w:t>
            </w:r>
          </w:p>
        </w:tc>
        <w:tc>
          <w:tcPr>
            <w:tcW w:w="3324" w:type="dxa"/>
            <w:shd w:val="clear" w:fill="D9E2F3"/>
            <w:vAlign w:val="center"/>
          </w:tcPr>
          <w:p w14:paraId="0010041C" w14:textId="0010041D">
            <w:r/>
            <w:r>
              <w:rPr>
                <w:rFonts w:ascii="Arial" w:hAnsi="Arial"/>
                <w:b/>
                <w:sz w:val="18"/>
              </w:rPr>
              <w:t>Mitigation</w:t>
            </w:r>
          </w:p>
        </w:tc>
      </w:tr>
      <w:tr>
        <w:tc>
          <w:tcPr>
            <w:tcW w:w="3324" w:type="dxa"/>
            <w:vAlign w:val="center"/>
          </w:tcPr>
          <w:p w14:paraId="0010041E" w14:textId="0010041F">
            <w:r/>
            <w:r>
              <w:rPr>
                <w:rFonts w:ascii="Arial" w:hAnsi="Arial"/>
                <w:b w:val="0"/>
                <w:sz w:val="18"/>
              </w:rPr>
              <w:t>Current CAP model is smaller than the business baseline.</w:t>
            </w:r>
          </w:p>
        </w:tc>
        <w:tc>
          <w:tcPr>
            <w:tcW w:w="3324" w:type="dxa"/>
            <w:vAlign w:val="center"/>
          </w:tcPr>
          <w:p w14:paraId="00100420" w14:textId="00100421">
            <w:r/>
            <w:r>
              <w:rPr>
                <w:rFonts w:ascii="Arial" w:hAnsi="Arial"/>
                <w:b w:val="0"/>
                <w:sz w:val="18"/>
              </w:rPr>
              <w:t>Implementation may miss required entities and fields.</w:t>
            </w:r>
          </w:p>
        </w:tc>
        <w:tc>
          <w:tcPr>
            <w:tcW w:w="3324" w:type="dxa"/>
            <w:vAlign w:val="center"/>
          </w:tcPr>
          <w:p w14:paraId="00100422" w14:textId="00100423">
            <w:r/>
            <w:r>
              <w:rPr>
                <w:rFonts w:ascii="Arial" w:hAnsi="Arial"/>
                <w:b w:val="0"/>
                <w:sz w:val="18"/>
              </w:rPr>
              <w:t>Start Sprint 1 with data model foundation.</w:t>
            </w:r>
          </w:p>
        </w:tc>
      </w:tr>
      <w:tr>
        <w:tc>
          <w:tcPr>
            <w:tcW w:w="3324" w:type="dxa"/>
            <w:vAlign w:val="center"/>
          </w:tcPr>
          <w:p w14:paraId="00100424" w14:textId="00100425">
            <w:r/>
            <w:r>
              <w:rPr>
                <w:rFonts w:ascii="Arial" w:hAnsi="Arial"/>
                <w:b w:val="0"/>
                <w:sz w:val="18"/>
              </w:rPr>
              <w:t>SAP Module may be confused with IDTS Application Component.</w:t>
            </w:r>
          </w:p>
        </w:tc>
        <w:tc>
          <w:tcPr>
            <w:tcW w:w="3324" w:type="dxa"/>
            <w:vAlign w:val="center"/>
          </w:tcPr>
          <w:p w14:paraId="00100426" w14:textId="00100427">
            <w:r/>
            <w:r>
              <w:rPr>
                <w:rFonts w:ascii="Arial" w:hAnsi="Arial"/>
                <w:b w:val="0"/>
                <w:sz w:val="18"/>
              </w:rPr>
              <w:t>Assignment and reporting may become unclear.</w:t>
            </w:r>
          </w:p>
        </w:tc>
        <w:tc>
          <w:tcPr>
            <w:tcW w:w="3324" w:type="dxa"/>
            <w:vAlign w:val="center"/>
          </w:tcPr>
          <w:p w14:paraId="00100428" w14:textId="00100429">
            <w:r/>
            <w:r>
              <w:rPr>
                <w:rFonts w:ascii="Arial" w:hAnsi="Arial"/>
                <w:b w:val="0"/>
                <w:sz w:val="18"/>
              </w:rPr>
              <w:t>Keep glossary, UI labels, and value helps explicit.</w:t>
            </w:r>
          </w:p>
        </w:tc>
      </w:tr>
      <w:tr>
        <w:tc>
          <w:tcPr>
            <w:tcW w:w="3324" w:type="dxa"/>
            <w:vAlign w:val="center"/>
          </w:tcPr>
          <w:p w14:paraId="0010042A" w14:textId="0010042B">
            <w:r/>
            <w:r>
              <w:rPr>
                <w:rFonts w:ascii="Arial" w:hAnsi="Arial"/>
                <w:b w:val="0"/>
                <w:sz w:val="18"/>
              </w:rPr>
              <w:t>nextProcessor may be misunderstood as a second assignee.</w:t>
            </w:r>
          </w:p>
        </w:tc>
        <w:tc>
          <w:tcPr>
            <w:tcW w:w="3324" w:type="dxa"/>
            <w:vAlign w:val="center"/>
          </w:tcPr>
          <w:p w14:paraId="0010042C" w14:textId="0010042D">
            <w:r/>
            <w:r>
              <w:rPr>
                <w:rFonts w:ascii="Arial" w:hAnsi="Arial"/>
                <w:b w:val="0"/>
                <w:sz w:val="18"/>
              </w:rPr>
              <w:t>Ownership confusion.</w:t>
            </w:r>
          </w:p>
        </w:tc>
        <w:tc>
          <w:tcPr>
            <w:tcW w:w="3324" w:type="dxa"/>
            <w:vAlign w:val="center"/>
          </w:tcPr>
          <w:p w14:paraId="0010042E" w14:textId="0010042F">
            <w:r/>
            <w:r>
              <w:rPr>
                <w:rFonts w:ascii="Arial" w:hAnsi="Arial"/>
                <w:b w:val="0"/>
                <w:sz w:val="18"/>
              </w:rPr>
              <w:t>Explain assignee vs nextProcessor in docs and UI.</w:t>
            </w:r>
          </w:p>
        </w:tc>
      </w:tr>
      <w:tr>
        <w:tc>
          <w:tcPr>
            <w:tcW w:w="3324" w:type="dxa"/>
            <w:vAlign w:val="center"/>
          </w:tcPr>
          <w:p w14:paraId="00100430" w14:textId="00100431">
            <w:r/>
            <w:r>
              <w:rPr>
                <w:rFonts w:ascii="Arial" w:hAnsi="Arial"/>
                <w:b w:val="0"/>
                <w:sz w:val="18"/>
              </w:rPr>
              <w:t>Rejected bugs may be left without owner or next action.</w:t>
            </w:r>
          </w:p>
        </w:tc>
        <w:tc>
          <w:tcPr>
            <w:tcW w:w="3324" w:type="dxa"/>
            <w:vAlign w:val="center"/>
          </w:tcPr>
          <w:p w14:paraId="00100432" w14:textId="00100433">
            <w:r/>
            <w:r>
              <w:rPr>
                <w:rFonts w:ascii="Arial" w:hAnsi="Arial"/>
                <w:b w:val="0"/>
                <w:sz w:val="18"/>
              </w:rPr>
              <w:t>Workflow dead end.</w:t>
            </w:r>
          </w:p>
        </w:tc>
        <w:tc>
          <w:tcPr>
            <w:tcW w:w="3324" w:type="dxa"/>
            <w:vAlign w:val="center"/>
          </w:tcPr>
          <w:p w14:paraId="00100434" w14:textId="00100435">
            <w:r/>
            <w:r>
              <w:rPr>
                <w:rFonts w:ascii="Arial" w:hAnsi="Arial"/>
                <w:b w:val="0"/>
                <w:sz w:val="18"/>
              </w:rPr>
              <w:t>Require rejection reason, nextProcessor, history, notification, and follow-up transition.</w:t>
            </w:r>
          </w:p>
        </w:tc>
      </w:tr>
      <w:tr>
        <w:tc>
          <w:tcPr>
            <w:tcW w:w="3324" w:type="dxa"/>
            <w:vAlign w:val="center"/>
          </w:tcPr>
          <w:p w14:paraId="00100436" w14:textId="00100437">
            <w:r/>
            <w:r>
              <w:rPr>
                <w:rFonts w:ascii="Arial" w:hAnsi="Arial"/>
                <w:b w:val="0"/>
                <w:sz w:val="18"/>
              </w:rPr>
              <w:t>Fiori work may start before model/service is stable.</w:t>
            </w:r>
          </w:p>
        </w:tc>
        <w:tc>
          <w:tcPr>
            <w:tcW w:w="3324" w:type="dxa"/>
            <w:vAlign w:val="center"/>
          </w:tcPr>
          <w:p w14:paraId="00100438" w14:textId="00100439">
            <w:r/>
            <w:r>
              <w:rPr>
                <w:rFonts w:ascii="Arial" w:hAnsi="Arial"/>
                <w:b w:val="0"/>
                <w:sz w:val="18"/>
              </w:rPr>
              <w:t>Rework.</w:t>
            </w:r>
          </w:p>
        </w:tc>
        <w:tc>
          <w:tcPr>
            <w:tcW w:w="3324" w:type="dxa"/>
            <w:vAlign w:val="center"/>
          </w:tcPr>
          <w:p w14:paraId="0010043A" w14:textId="0010043B">
            <w:r/>
            <w:r>
              <w:rPr>
                <w:rFonts w:ascii="Arial" w:hAnsi="Arial"/>
                <w:b w:val="0"/>
                <w:sz w:val="18"/>
              </w:rPr>
              <w:t>Gate Fiori implementation behind data model and service foundation.</w:t>
            </w:r>
          </w:p>
        </w:tc>
      </w:tr>
      <w:tr>
        <w:tc>
          <w:tcPr>
            <w:tcW w:w="3324" w:type="dxa"/>
            <w:vAlign w:val="center"/>
          </w:tcPr>
          <w:p w14:paraId="0010043C" w14:textId="0010043D">
            <w:r/>
            <w:r>
              <w:rPr>
                <w:rFonts w:ascii="Arial" w:hAnsi="Arial"/>
                <w:b w:val="0"/>
                <w:sz w:val="18"/>
              </w:rPr>
              <w:t>SAP490 templates may expect ABAP-centric deliverables.</w:t>
            </w:r>
          </w:p>
        </w:tc>
        <w:tc>
          <w:tcPr>
            <w:tcW w:w="3324" w:type="dxa"/>
            <w:vAlign w:val="center"/>
          </w:tcPr>
          <w:p w14:paraId="0010043E" w14:textId="0010043F">
            <w:r/>
            <w:r>
              <w:rPr>
                <w:rFonts w:ascii="Arial" w:hAnsi="Arial"/>
                <w:b w:val="0"/>
                <w:sz w:val="18"/>
              </w:rPr>
              <w:t>Reporting mismatch.</w:t>
            </w:r>
          </w:p>
        </w:tc>
        <w:tc>
          <w:tcPr>
            <w:tcW w:w="3324" w:type="dxa"/>
            <w:vAlign w:val="center"/>
          </w:tcPr>
          <w:p w14:paraId="00100440" w14:textId="00100441">
            <w:r/>
            <w:r>
              <w:rPr>
                <w:rFonts w:ascii="Arial" w:hAnsi="Arial"/>
                <w:b w:val="0"/>
                <w:sz w:val="18"/>
              </w:rPr>
              <w:t>Map CAP/Fiori artifacts to required SAP490 sections and confirm with supervisor.</w:t>
            </w:r>
          </w:p>
        </w:tc>
      </w:tr>
      <w:tr>
        <w:tc>
          <w:tcPr>
            <w:tcW w:w="3324" w:type="dxa"/>
            <w:vAlign w:val="center"/>
          </w:tcPr>
          <w:p w14:paraId="00100442" w14:textId="00100443">
            <w:r/>
            <w:r>
              <w:rPr>
                <w:rFonts w:ascii="Arial" w:hAnsi="Arial"/>
                <w:b w:val="0"/>
                <w:sz w:val="18"/>
              </w:rPr>
              <w:t>Scope creep toward Jira or SAP Cloud ALM.</w:t>
            </w:r>
          </w:p>
        </w:tc>
        <w:tc>
          <w:tcPr>
            <w:tcW w:w="3324" w:type="dxa"/>
            <w:vAlign w:val="center"/>
          </w:tcPr>
          <w:p w14:paraId="00100444" w14:textId="00100445">
            <w:r/>
            <w:r>
              <w:rPr>
                <w:rFonts w:ascii="Arial" w:hAnsi="Arial"/>
                <w:b w:val="0"/>
                <w:sz w:val="18"/>
              </w:rPr>
              <w:t>Project becomes too large.</w:t>
            </w:r>
          </w:p>
        </w:tc>
        <w:tc>
          <w:tcPr>
            <w:tcW w:w="3324" w:type="dxa"/>
            <w:vAlign w:val="center"/>
          </w:tcPr>
          <w:p w14:paraId="00100446" w14:textId="00100447">
            <w:r/>
            <w:r>
              <w:rPr>
                <w:rFonts w:ascii="Arial" w:hAnsi="Arial"/>
                <w:b w:val="0"/>
                <w:sz w:val="18"/>
              </w:rPr>
              <w:t>Enforce out-of-scope list and Product Discovery intake.</w:t>
            </w:r>
          </w:p>
        </w:tc>
      </w:tr>
    </w:tbl>
    <w:p w14:paraId="00100448" w14:textId="00100449">
      <w:pPr>
        <w:pStyle w:val="Heading2"/>
      </w:pPr>
      <w:r>
        <w:t>20. Success Criteria</w:t>
      </w:r>
    </w:p>
    <w:p w14:paraId="0010044A" w14:textId="0010044B">
      <w:r>
        <w:t>The BRD is satisfied when the project can demonstrate that:</w:t>
      </w:r>
    </w:p>
    <w:p w14:paraId="0010044C" w14:textId="0010044D">
      <w:pPr>
        <w:pStyle w:val="ListBullet"/>
      </w:pPr>
      <w:r>
        <w:t>Tester can create, classify, and submit a bug.</w:t>
      </w:r>
    </w:p>
    <w:p w14:paraId="0010044E" w14:textId="0010044F">
      <w:pPr>
        <w:pStyle w:val="ListBullet"/>
      </w:pPr>
      <w:r>
        <w:t>Duplicate checking support exists before bug creation.</w:t>
      </w:r>
    </w:p>
    <w:p w14:paraId="00100450" w14:textId="00100451">
      <w:pPr>
        <w:pStyle w:val="ListBullet"/>
      </w:pPr>
      <w:r>
        <w:t>Developer list can be filtered by responsibility.</w:t>
      </w:r>
    </w:p>
    <w:p w14:paraId="00100452" w14:textId="00100453">
      <w:pPr>
        <w:pStyle w:val="ListBullet"/>
      </w:pPr>
      <w:r>
        <w:t>Bug can be Assigned or kept as Pending Assignment.</w:t>
      </w:r>
    </w:p>
    <w:p w14:paraId="00100454" w14:textId="00100455">
      <w:pPr>
        <w:pStyle w:val="ListBullet"/>
      </w:pPr>
      <w:r>
        <w:t>Developer can review, request information, reject with reason, progress, and resolve.</w:t>
      </w:r>
    </w:p>
    <w:p w14:paraId="00100456" w14:textId="00100457">
      <w:pPr>
        <w:pStyle w:val="ListBullet"/>
      </w:pPr>
      <w:r>
        <w:t>Rejected bugs have follow-up owner and next action.</w:t>
      </w:r>
    </w:p>
    <w:p w14:paraId="00100458" w14:textId="00100459">
      <w:pPr>
        <w:pStyle w:val="ListBullet"/>
      </w:pPr>
      <w:r>
        <w:t>Tester/PM can verify, close, or reopen.</w:t>
      </w:r>
    </w:p>
    <w:p w14:paraId="0010045A" w14:textId="0010045B">
      <w:pPr>
        <w:pStyle w:val="ListBullet"/>
      </w:pPr>
      <w:r>
        <w:t>PM can monitor workload, overdue bugs, pending assignment, rejected follow-up, and status progress.</w:t>
      </w:r>
    </w:p>
    <w:p w14:paraId="0010045C" w14:textId="0010045D">
      <w:pPr>
        <w:pStyle w:val="ListBullet"/>
      </w:pPr>
      <w:r>
        <w:t>History logs show important changes.</w:t>
      </w:r>
    </w:p>
    <w:p w14:paraId="0010045E" w14:textId="0010045F">
      <w:pPr>
        <w:pStyle w:val="ListBullet"/>
      </w:pPr>
      <w:r>
        <w:t>Notification records exist for key events or triggers.</w:t>
      </w:r>
    </w:p>
    <w:p w14:paraId="00100460" w14:textId="00100461">
      <w:pPr>
        <w:pStyle w:val="ListBullet"/>
      </w:pPr>
      <w:r>
        <w:t>The implementation stays inside the approved IDTS scope.</w:t>
      </w:r>
    </w:p>
    <w:p w14:paraId="00100462" w14:textId="00100463">
      <w:pPr>
        <w:pStyle w:val="Heading2"/>
      </w:pPr>
      <w:r>
        <w:t>21. Open Questions</w:t>
      </w:r>
    </w:p>
    <w:tbl>
      <w:tblPr>
        <w:tblStyle w:val="TableGrid"/>
        <w:tblW w:w="0" w:type="auto"/>
        <w:tblLayout w:type="autofit"/>
        <w:tblLook w:val="04A0" w:firstRow="1" w:lastRow="0" w:firstColumn="1" w:lastColumn="0" w:noHBand="0" w:noVBand="1"/>
      </w:tblPr>
      <w:tblGrid>
        <w:gridCol w:w="3324"/>
        <w:gridCol w:w="3324"/>
        <w:gridCol w:w="3324"/>
      </w:tblGrid>
      <w:tr>
        <w:tc>
          <w:tcPr>
            <w:tcW w:w="3324" w:type="dxa"/>
            <w:shd w:val="clear" w:fill="D9E2F3"/>
            <w:vAlign w:val="center"/>
          </w:tcPr>
          <w:p w14:paraId="00100464" w14:textId="00100465">
            <w:r/>
            <w:r>
              <w:rPr>
                <w:rFonts w:ascii="Arial" w:hAnsi="Arial"/>
                <w:b/>
                <w:sz w:val="18"/>
              </w:rPr>
              <w:t>ID</w:t>
            </w:r>
          </w:p>
        </w:tc>
        <w:tc>
          <w:tcPr>
            <w:tcW w:w="3324" w:type="dxa"/>
            <w:shd w:val="clear" w:fill="D9E2F3"/>
            <w:vAlign w:val="center"/>
          </w:tcPr>
          <w:p w14:paraId="00100466" w14:textId="00100467">
            <w:r/>
            <w:r>
              <w:rPr>
                <w:rFonts w:ascii="Arial" w:hAnsi="Arial"/>
                <w:b/>
                <w:sz w:val="18"/>
              </w:rPr>
              <w:t>Question</w:t>
            </w:r>
          </w:p>
        </w:tc>
        <w:tc>
          <w:tcPr>
            <w:tcW w:w="3324" w:type="dxa"/>
            <w:shd w:val="clear" w:fill="D9E2F3"/>
            <w:vAlign w:val="center"/>
          </w:tcPr>
          <w:p w14:paraId="00100468" w14:textId="00100469">
            <w:r/>
            <w:r>
              <w:rPr>
                <w:rFonts w:ascii="Arial" w:hAnsi="Arial"/>
                <w:b/>
                <w:sz w:val="18"/>
              </w:rPr>
              <w:t>Owner</w:t>
            </w:r>
          </w:p>
        </w:tc>
      </w:tr>
      <w:tr>
        <w:tc>
          <w:tcPr>
            <w:tcW w:w="3324" w:type="dxa"/>
            <w:vAlign w:val="center"/>
          </w:tcPr>
          <w:p w14:paraId="0010046A" w14:textId="0010046B">
            <w:r/>
            <w:r>
              <w:rPr>
                <w:rFonts w:ascii="Arial" w:hAnsi="Arial"/>
                <w:b w:val="0"/>
                <w:sz w:val="18"/>
              </w:rPr>
              <w:t>OQ-001</w:t>
            </w:r>
          </w:p>
        </w:tc>
        <w:tc>
          <w:tcPr>
            <w:tcW w:w="3324" w:type="dxa"/>
            <w:vAlign w:val="center"/>
          </w:tcPr>
          <w:p w14:paraId="0010046C" w14:textId="0010046D">
            <w:r/>
            <w:r>
              <w:rPr>
                <w:rFonts w:ascii="Arial" w:hAnsi="Arial"/>
                <w:b w:val="0"/>
                <w:sz w:val="18"/>
              </w:rPr>
              <w:t>Does the supervisor accept SAP CAP/Fiori artifacts as the SAP Coding deliverable in SAP490 templates?</w:t>
            </w:r>
          </w:p>
        </w:tc>
        <w:tc>
          <w:tcPr>
            <w:tcW w:w="3324" w:type="dxa"/>
            <w:vAlign w:val="center"/>
          </w:tcPr>
          <w:p w14:paraId="0010046E" w14:textId="0010046F">
            <w:r/>
            <w:r>
              <w:rPr>
                <w:rFonts w:ascii="Arial" w:hAnsi="Arial"/>
                <w:b w:val="0"/>
                <w:sz w:val="18"/>
              </w:rPr>
              <w:t>Team / Mentor</w:t>
            </w:r>
          </w:p>
        </w:tc>
      </w:tr>
      <w:tr>
        <w:tc>
          <w:tcPr>
            <w:tcW w:w="3324" w:type="dxa"/>
            <w:vAlign w:val="center"/>
          </w:tcPr>
          <w:p w14:paraId="00100470" w14:textId="00100471">
            <w:r/>
            <w:r>
              <w:rPr>
                <w:rFonts w:ascii="Arial" w:hAnsi="Arial"/>
                <w:b w:val="0"/>
                <w:sz w:val="18"/>
              </w:rPr>
              <w:t>OQ-002</w:t>
            </w:r>
          </w:p>
        </w:tc>
        <w:tc>
          <w:tcPr>
            <w:tcW w:w="3324" w:type="dxa"/>
            <w:vAlign w:val="center"/>
          </w:tcPr>
          <w:p w14:paraId="00100472" w14:textId="00100473">
            <w:r/>
            <w:r>
              <w:rPr>
                <w:rFonts w:ascii="Arial" w:hAnsi="Arial"/>
                <w:b w:val="0"/>
                <w:sz w:val="18"/>
              </w:rPr>
              <w:t>Should PM have direct assignment/reassignment permission in MVP, or only request reassignment?</w:t>
            </w:r>
          </w:p>
        </w:tc>
        <w:tc>
          <w:tcPr>
            <w:tcW w:w="3324" w:type="dxa"/>
            <w:vAlign w:val="center"/>
          </w:tcPr>
          <w:p w14:paraId="00100474" w14:textId="00100475">
            <w:r/>
            <w:r>
              <w:rPr>
                <w:rFonts w:ascii="Arial" w:hAnsi="Arial"/>
                <w:b w:val="0"/>
                <w:sz w:val="18"/>
              </w:rPr>
              <w:t>Team / Mentor</w:t>
            </w:r>
          </w:p>
        </w:tc>
      </w:tr>
      <w:tr>
        <w:tc>
          <w:tcPr>
            <w:tcW w:w="3324" w:type="dxa"/>
            <w:vAlign w:val="center"/>
          </w:tcPr>
          <w:p w14:paraId="00100476" w14:textId="00100477">
            <w:r/>
            <w:r>
              <w:rPr>
                <w:rFonts w:ascii="Arial" w:hAnsi="Arial"/>
                <w:b w:val="0"/>
                <w:sz w:val="18"/>
              </w:rPr>
              <w:t>OQ-003</w:t>
            </w:r>
          </w:p>
        </w:tc>
        <w:tc>
          <w:tcPr>
            <w:tcW w:w="3324" w:type="dxa"/>
            <w:vAlign w:val="center"/>
          </w:tcPr>
          <w:p w14:paraId="00100478" w14:textId="00100479">
            <w:r/>
            <w:r>
              <w:rPr>
                <w:rFonts w:ascii="Arial" w:hAnsi="Arial"/>
                <w:b w:val="0"/>
                <w:sz w:val="18"/>
              </w:rPr>
              <w:t>Which notification channels are required for MVP: in-app records only, email, SAP BTP service, or third-party channels?</w:t>
            </w:r>
          </w:p>
        </w:tc>
        <w:tc>
          <w:tcPr>
            <w:tcW w:w="3324" w:type="dxa"/>
            <w:vAlign w:val="center"/>
          </w:tcPr>
          <w:p w14:paraId="0010047A" w14:textId="0010047B">
            <w:r/>
            <w:r>
              <w:rPr>
                <w:rFonts w:ascii="Arial" w:hAnsi="Arial"/>
                <w:b w:val="0"/>
                <w:sz w:val="18"/>
              </w:rPr>
              <w:t>Team / Mentor</w:t>
            </w:r>
          </w:p>
        </w:tc>
      </w:tr>
      <w:tr>
        <w:tc>
          <w:tcPr>
            <w:tcW w:w="3324" w:type="dxa"/>
            <w:vAlign w:val="center"/>
          </w:tcPr>
          <w:p w14:paraId="0010047C" w14:textId="0010047D">
            <w:r/>
            <w:r>
              <w:rPr>
                <w:rFonts w:ascii="Arial" w:hAnsi="Arial"/>
                <w:b w:val="0"/>
                <w:sz w:val="18"/>
              </w:rPr>
              <w:t>OQ-004</w:t>
            </w:r>
          </w:p>
        </w:tc>
        <w:tc>
          <w:tcPr>
            <w:tcW w:w="3324" w:type="dxa"/>
            <w:vAlign w:val="center"/>
          </w:tcPr>
          <w:p w14:paraId="0010047E" w14:textId="0010047F">
            <w:r/>
            <w:r>
              <w:rPr>
                <w:rFonts w:ascii="Arial" w:hAnsi="Arial"/>
                <w:b w:val="0"/>
                <w:sz w:val="18"/>
              </w:rPr>
              <w:t>Which attachment storage approach is acceptable for the project stage?</w:t>
            </w:r>
          </w:p>
        </w:tc>
        <w:tc>
          <w:tcPr>
            <w:tcW w:w="3324" w:type="dxa"/>
            <w:vAlign w:val="center"/>
          </w:tcPr>
          <w:p w14:paraId="00100480" w14:textId="00100481">
            <w:r/>
            <w:r>
              <w:rPr>
                <w:rFonts w:ascii="Arial" w:hAnsi="Arial"/>
                <w:b w:val="0"/>
                <w:sz w:val="18"/>
              </w:rPr>
              <w:t>Team / Mentor</w:t>
            </w:r>
          </w:p>
        </w:tc>
      </w:tr>
      <w:tr>
        <w:tc>
          <w:tcPr>
            <w:tcW w:w="3324" w:type="dxa"/>
            <w:vAlign w:val="center"/>
          </w:tcPr>
          <w:p w14:paraId="00100482" w14:textId="00100483">
            <w:r/>
            <w:r>
              <w:rPr>
                <w:rFonts w:ascii="Arial" w:hAnsi="Arial"/>
                <w:b w:val="0"/>
                <w:sz w:val="18"/>
              </w:rPr>
              <w:t>OQ-005</w:t>
            </w:r>
          </w:p>
        </w:tc>
        <w:tc>
          <w:tcPr>
            <w:tcW w:w="3324" w:type="dxa"/>
            <w:vAlign w:val="center"/>
          </w:tcPr>
          <w:p w14:paraId="00100484" w14:textId="00100485">
            <w:r/>
            <w:r>
              <w:rPr>
                <w:rFonts w:ascii="Arial" w:hAnsi="Arial"/>
                <w:b w:val="0"/>
                <w:sz w:val="18"/>
              </w:rPr>
              <w:t>What exact SLA or overdue thresholds should be used for High, Medium, and Low priority bugs?</w:t>
            </w:r>
          </w:p>
        </w:tc>
        <w:tc>
          <w:tcPr>
            <w:tcW w:w="3324" w:type="dxa"/>
            <w:vAlign w:val="center"/>
          </w:tcPr>
          <w:p w14:paraId="00100486" w14:textId="00100487">
            <w:r/>
            <w:r>
              <w:rPr>
                <w:rFonts w:ascii="Arial" w:hAnsi="Arial"/>
                <w:b w:val="0"/>
                <w:sz w:val="18"/>
              </w:rPr>
              <w:t>Team / PM</w:t>
            </w:r>
          </w:p>
        </w:tc>
      </w:tr>
    </w:tbl>
    <w:p w14:paraId="00100488" w14:textId="00100489">
      <w:pPr>
        <w:pStyle w:val="Heading2"/>
      </w:pPr>
      <w:r>
        <w:t>22. Glossary</w:t>
      </w:r>
    </w:p>
    <w:tbl>
      <w:tblPr>
        <w:tblStyle w:val="TableGrid"/>
        <w:tblW w:w="0" w:type="auto"/>
        <w:tblLayout w:type="autofit"/>
        <w:tblLook w:val="04A0" w:firstRow="1" w:lastRow="0" w:firstColumn="1" w:lastColumn="0" w:noHBand="0" w:noVBand="1"/>
      </w:tblPr>
      <w:tblGrid>
        <w:gridCol w:w="4986"/>
        <w:gridCol w:w="4986"/>
      </w:tblGrid>
      <w:tr>
        <w:tc>
          <w:tcPr>
            <w:tcW w:w="4986" w:type="dxa"/>
            <w:shd w:val="clear" w:fill="D9E2F3"/>
            <w:vAlign w:val="center"/>
          </w:tcPr>
          <w:p w14:paraId="0010048A" w14:textId="0010048B">
            <w:r/>
            <w:r>
              <w:rPr>
                <w:rFonts w:ascii="Arial" w:hAnsi="Arial"/>
                <w:b/>
                <w:sz w:val="18"/>
              </w:rPr>
              <w:t>Term</w:t>
            </w:r>
          </w:p>
        </w:tc>
        <w:tc>
          <w:tcPr>
            <w:tcW w:w="4986" w:type="dxa"/>
            <w:shd w:val="clear" w:fill="D9E2F3"/>
            <w:vAlign w:val="center"/>
          </w:tcPr>
          <w:p w14:paraId="0010048C" w14:textId="0010048D">
            <w:r/>
            <w:r>
              <w:rPr>
                <w:rFonts w:ascii="Arial" w:hAnsi="Arial"/>
                <w:b/>
                <w:sz w:val="18"/>
              </w:rPr>
              <w:t>Meaning in IDTS</w:t>
            </w:r>
          </w:p>
        </w:tc>
      </w:tr>
      <w:tr>
        <w:tc>
          <w:tcPr>
            <w:tcW w:w="4986" w:type="dxa"/>
            <w:vAlign w:val="center"/>
          </w:tcPr>
          <w:p w14:paraId="0010048E" w14:textId="0010048F">
            <w:r/>
            <w:r>
              <w:rPr>
                <w:rFonts w:ascii="Arial" w:hAnsi="Arial"/>
                <w:b w:val="0"/>
                <w:sz w:val="18"/>
              </w:rPr>
              <w:t>SAP Module</w:t>
            </w:r>
          </w:p>
        </w:tc>
        <w:tc>
          <w:tcPr>
            <w:tcW w:w="4986" w:type="dxa"/>
            <w:vAlign w:val="center"/>
          </w:tcPr>
          <w:p w14:paraId="00100490" w14:textId="00100491">
            <w:r/>
            <w:r>
              <w:rPr>
                <w:rFonts w:ascii="Arial" w:hAnsi="Arial"/>
                <w:b w:val="0"/>
                <w:sz w:val="18"/>
              </w:rPr>
              <w:t>Optional business context such as FI, MM, SD, or HR. It is not the same as an IDTS application feature.</w:t>
            </w:r>
          </w:p>
        </w:tc>
      </w:tr>
      <w:tr>
        <w:tc>
          <w:tcPr>
            <w:tcW w:w="4986" w:type="dxa"/>
            <w:vAlign w:val="center"/>
          </w:tcPr>
          <w:p w14:paraId="00100492" w14:textId="00100493">
            <w:r/>
            <w:r>
              <w:rPr>
                <w:rFonts w:ascii="Arial" w:hAnsi="Arial"/>
                <w:b w:val="0"/>
                <w:sz w:val="18"/>
              </w:rPr>
              <w:t>Application Component</w:t>
            </w:r>
          </w:p>
        </w:tc>
        <w:tc>
          <w:tcPr>
            <w:tcW w:w="4986" w:type="dxa"/>
            <w:vAlign w:val="center"/>
          </w:tcPr>
          <w:p w14:paraId="00100494" w14:textId="00100495">
            <w:r/>
            <w:r>
              <w:rPr>
                <w:rFonts w:ascii="Arial" w:hAnsi="Arial"/>
                <w:b w:val="0"/>
                <w:sz w:val="18"/>
              </w:rPr>
              <w:t>The part of the solution where the defect appears, such as bug UI, assignment logic, notification, report, or authorization.</w:t>
            </w:r>
          </w:p>
        </w:tc>
      </w:tr>
      <w:tr>
        <w:tc>
          <w:tcPr>
            <w:tcW w:w="4986" w:type="dxa"/>
            <w:vAlign w:val="center"/>
          </w:tcPr>
          <w:p w14:paraId="00100496" w14:textId="00100497">
            <w:r/>
            <w:r>
              <w:rPr>
                <w:rFonts w:ascii="Arial" w:hAnsi="Arial"/>
                <w:b w:val="0"/>
                <w:sz w:val="18"/>
              </w:rPr>
              <w:t>Defect Category</w:t>
            </w:r>
          </w:p>
        </w:tc>
        <w:tc>
          <w:tcPr>
            <w:tcW w:w="4986" w:type="dxa"/>
            <w:vAlign w:val="center"/>
          </w:tcPr>
          <w:p w14:paraId="00100498" w14:textId="00100499">
            <w:r/>
            <w:r>
              <w:rPr>
                <w:rFonts w:ascii="Arial" w:hAnsi="Arial"/>
                <w:b w:val="0"/>
                <w:sz w:val="18"/>
              </w:rPr>
              <w:t>The type or technical layer of the defect, such as Fiori UI, CAP backend, database, authorization, integration, notification, or reporting.</w:t>
            </w:r>
          </w:p>
        </w:tc>
      </w:tr>
      <w:tr>
        <w:tc>
          <w:tcPr>
            <w:tcW w:w="4986" w:type="dxa"/>
            <w:vAlign w:val="center"/>
          </w:tcPr>
          <w:p w14:paraId="0010049A" w14:textId="0010049B">
            <w:r/>
            <w:r>
              <w:rPr>
                <w:rFonts w:ascii="Arial" w:hAnsi="Arial"/>
                <w:b w:val="0"/>
                <w:sz w:val="18"/>
              </w:rPr>
              <w:t>Component Category</w:t>
            </w:r>
          </w:p>
        </w:tc>
        <w:tc>
          <w:tcPr>
            <w:tcW w:w="4986" w:type="dxa"/>
            <w:vAlign w:val="center"/>
          </w:tcPr>
          <w:p w14:paraId="0010049C" w14:textId="0010049D">
            <w:r/>
            <w:r>
              <w:rPr>
                <w:rFonts w:ascii="Arial" w:hAnsi="Arial"/>
                <w:b w:val="0"/>
                <w:sz w:val="18"/>
              </w:rPr>
              <w:t>A valid pair of Application Component and Defect Category.</w:t>
            </w:r>
          </w:p>
        </w:tc>
      </w:tr>
      <w:tr>
        <w:tc>
          <w:tcPr>
            <w:tcW w:w="4986" w:type="dxa"/>
            <w:vAlign w:val="center"/>
          </w:tcPr>
          <w:p w14:paraId="0010049E" w14:textId="0010049F">
            <w:r/>
            <w:r>
              <w:rPr>
                <w:rFonts w:ascii="Arial" w:hAnsi="Arial"/>
                <w:b w:val="0"/>
                <w:sz w:val="18"/>
              </w:rPr>
              <w:t>Developer Responsibility</w:t>
            </w:r>
          </w:p>
        </w:tc>
        <w:tc>
          <w:tcPr>
            <w:tcW w:w="4986" w:type="dxa"/>
            <w:vAlign w:val="center"/>
          </w:tcPr>
          <w:p w14:paraId="001004A0" w14:textId="001004A1">
            <w:r/>
            <w:r>
              <w:rPr>
                <w:rFonts w:ascii="Arial" w:hAnsi="Arial"/>
                <w:b w:val="0"/>
                <w:sz w:val="18"/>
              </w:rPr>
              <w:t>A mapping that says which Developer can handle which Component Category and optional SAP Module scope.</w:t>
            </w:r>
          </w:p>
        </w:tc>
      </w:tr>
      <w:tr>
        <w:tc>
          <w:tcPr>
            <w:tcW w:w="4986" w:type="dxa"/>
            <w:vAlign w:val="center"/>
          </w:tcPr>
          <w:p w14:paraId="001004A2" w14:textId="001004A3">
            <w:r/>
            <w:r>
              <w:rPr>
                <w:rFonts w:ascii="Arial" w:hAnsi="Arial"/>
                <w:b w:val="0"/>
                <w:sz w:val="18"/>
              </w:rPr>
              <w:t>Assignee</w:t>
            </w:r>
          </w:p>
        </w:tc>
        <w:tc>
          <w:tcPr>
            <w:tcW w:w="4986" w:type="dxa"/>
            <w:vAlign w:val="center"/>
          </w:tcPr>
          <w:p w14:paraId="001004A4" w14:textId="001004A5">
            <w:r/>
            <w:r>
              <w:rPr>
                <w:rFonts w:ascii="Arial" w:hAnsi="Arial"/>
                <w:b w:val="0"/>
                <w:sz w:val="18"/>
              </w:rPr>
              <w:t>The main Developer responsible for technical handling of the bug.</w:t>
            </w:r>
          </w:p>
        </w:tc>
      </w:tr>
      <w:tr>
        <w:tc>
          <w:tcPr>
            <w:tcW w:w="4986" w:type="dxa"/>
            <w:vAlign w:val="center"/>
          </w:tcPr>
          <w:p w14:paraId="001004A6" w14:textId="001004A7">
            <w:r/>
            <w:r>
              <w:rPr>
                <w:rFonts w:ascii="Arial" w:hAnsi="Arial"/>
                <w:b w:val="0"/>
                <w:sz w:val="18"/>
              </w:rPr>
              <w:t>nextProcessor</w:t>
            </w:r>
          </w:p>
        </w:tc>
        <w:tc>
          <w:tcPr>
            <w:tcW w:w="4986" w:type="dxa"/>
            <w:vAlign w:val="center"/>
          </w:tcPr>
          <w:p w14:paraId="001004A8" w14:textId="001004A9">
            <w:r/>
            <w:r>
              <w:rPr>
                <w:rFonts w:ascii="Arial" w:hAnsi="Arial"/>
                <w:b w:val="0"/>
                <w:sz w:val="18"/>
              </w:rPr>
              <w:t>The person or queue expected to take the next action. It does not replace assignee.</w:t>
            </w:r>
          </w:p>
        </w:tc>
      </w:tr>
      <w:tr>
        <w:tc>
          <w:tcPr>
            <w:tcW w:w="4986" w:type="dxa"/>
            <w:vAlign w:val="center"/>
          </w:tcPr>
          <w:p w14:paraId="001004AA" w14:textId="001004AB">
            <w:r/>
            <w:r>
              <w:rPr>
                <w:rFonts w:ascii="Arial" w:hAnsi="Arial"/>
                <w:b w:val="0"/>
                <w:sz w:val="18"/>
              </w:rPr>
              <w:t>Rejected</w:t>
            </w:r>
          </w:p>
        </w:tc>
        <w:tc>
          <w:tcPr>
            <w:tcW w:w="4986" w:type="dxa"/>
            <w:vAlign w:val="center"/>
          </w:tcPr>
          <w:p w14:paraId="001004AC" w14:textId="001004AD">
            <w:r/>
            <w:r>
              <w:rPr>
                <w:rFonts w:ascii="Arial" w:hAnsi="Arial"/>
                <w:b w:val="0"/>
                <w:sz w:val="18"/>
              </w:rPr>
              <w:t>A follow-up status used when assignment or classification is unsuitable; it must include reason and next action.</w:t>
            </w:r>
          </w:p>
        </w:tc>
      </w:tr>
      <w:tr>
        <w:tc>
          <w:tcPr>
            <w:tcW w:w="4986" w:type="dxa"/>
            <w:vAlign w:val="center"/>
          </w:tcPr>
          <w:p w14:paraId="001004AE" w14:textId="001004AF">
            <w:r/>
            <w:r>
              <w:rPr>
                <w:rFonts w:ascii="Arial" w:hAnsi="Arial"/>
                <w:b w:val="0"/>
                <w:sz w:val="18"/>
              </w:rPr>
              <w:t>Retest Required</w:t>
            </w:r>
          </w:p>
        </w:tc>
        <w:tc>
          <w:tcPr>
            <w:tcW w:w="4986" w:type="dxa"/>
            <w:vAlign w:val="center"/>
          </w:tcPr>
          <w:p w14:paraId="001004B0" w14:textId="001004B1">
            <w:r/>
            <w:r>
              <w:rPr>
                <w:rFonts w:ascii="Arial" w:hAnsi="Arial"/>
                <w:b w:val="0"/>
                <w:sz w:val="18"/>
              </w:rPr>
              <w:t>A verification status between Resolved and Closed when a resolved bug needs acceptance testing.</w:t>
            </w:r>
          </w:p>
        </w:tc>
      </w:tr>
    </w:tbl>
    <w:p w14:paraId="001004B2" w14:textId="001004B3">
      <w:pPr>
        <w:pStyle w:val="Heading2"/>
      </w:pPr>
      <w:r>
        <w:t>23. Traceability Matrix</w:t>
      </w:r>
    </w:p>
    <w:tbl>
      <w:tblPr>
        <w:tblStyle w:val="TableGrid"/>
        <w:tblW w:w="0" w:type="auto"/>
        <w:tblLayout w:type="autofit"/>
        <w:tblLook w:val="04A0" w:firstRow="1" w:lastRow="0" w:firstColumn="1" w:lastColumn="0" w:noHBand="0" w:noVBand="1"/>
      </w:tblPr>
      <w:tblGrid>
        <w:gridCol w:w="1994"/>
        <w:gridCol w:w="1994"/>
        <w:gridCol w:w="1994"/>
        <w:gridCol w:w="1994"/>
        <w:gridCol w:w="1994"/>
      </w:tblGrid>
      <w:tr>
        <w:tc>
          <w:tcPr>
            <w:tcW w:w="1994" w:type="dxa"/>
            <w:shd w:val="clear" w:fill="D9E2F3"/>
            <w:vAlign w:val="center"/>
          </w:tcPr>
          <w:p w14:paraId="001004B4" w14:textId="001004B5">
            <w:r/>
            <w:r>
              <w:rPr>
                <w:rFonts w:ascii="Arial" w:hAnsi="Arial"/>
                <w:b/>
                <w:sz w:val="18"/>
              </w:rPr>
              <w:t>Business Objective</w:t>
            </w:r>
          </w:p>
        </w:tc>
        <w:tc>
          <w:tcPr>
            <w:tcW w:w="1994" w:type="dxa"/>
            <w:shd w:val="clear" w:fill="D9E2F3"/>
            <w:vAlign w:val="center"/>
          </w:tcPr>
          <w:p w14:paraId="001004B6" w14:textId="001004B7">
            <w:r/>
            <w:r>
              <w:rPr>
                <w:rFonts w:ascii="Arial" w:hAnsi="Arial"/>
                <w:b/>
                <w:sz w:val="18"/>
              </w:rPr>
              <w:t>Capability</w:t>
            </w:r>
          </w:p>
        </w:tc>
        <w:tc>
          <w:tcPr>
            <w:tcW w:w="1994" w:type="dxa"/>
            <w:shd w:val="clear" w:fill="D9E2F3"/>
            <w:vAlign w:val="center"/>
          </w:tcPr>
          <w:p w14:paraId="001004B8" w14:textId="001004B9">
            <w:r/>
            <w:r>
              <w:rPr>
                <w:rFonts w:ascii="Arial" w:hAnsi="Arial"/>
                <w:b/>
                <w:sz w:val="18"/>
              </w:rPr>
              <w:t>Requirement ID</w:t>
            </w:r>
          </w:p>
        </w:tc>
        <w:tc>
          <w:tcPr>
            <w:tcW w:w="1994" w:type="dxa"/>
            <w:shd w:val="clear" w:fill="D9E2F3"/>
            <w:vAlign w:val="center"/>
          </w:tcPr>
          <w:p w14:paraId="001004BA" w14:textId="001004BB">
            <w:r/>
            <w:r>
              <w:rPr>
                <w:rFonts w:ascii="Arial" w:hAnsi="Arial"/>
                <w:b/>
                <w:sz w:val="18"/>
              </w:rPr>
              <w:t>Related Rule</w:t>
            </w:r>
          </w:p>
        </w:tc>
        <w:tc>
          <w:tcPr>
            <w:tcW w:w="1994" w:type="dxa"/>
            <w:shd w:val="clear" w:fill="D9E2F3"/>
            <w:vAlign w:val="center"/>
          </w:tcPr>
          <w:p w14:paraId="001004BC" w14:textId="001004BD">
            <w:r/>
            <w:r>
              <w:rPr>
                <w:rFonts w:ascii="Arial" w:hAnsi="Arial"/>
                <w:b/>
                <w:sz w:val="18"/>
              </w:rPr>
              <w:t>Success Criteria</w:t>
            </w:r>
          </w:p>
        </w:tc>
      </w:tr>
      <w:tr>
        <w:tc>
          <w:tcPr>
            <w:tcW w:w="1994" w:type="dxa"/>
            <w:vAlign w:val="center"/>
          </w:tcPr>
          <w:p w14:paraId="001004BE" w14:textId="001004BF">
            <w:r/>
            <w:r>
              <w:rPr>
                <w:rFonts w:ascii="Arial" w:hAnsi="Arial"/>
                <w:b w:val="0"/>
                <w:sz w:val="18"/>
              </w:rPr>
              <w:t>Digitize defect reporting</w:t>
            </w:r>
          </w:p>
        </w:tc>
        <w:tc>
          <w:tcPr>
            <w:tcW w:w="1994" w:type="dxa"/>
            <w:vAlign w:val="center"/>
          </w:tcPr>
          <w:p w14:paraId="001004C0" w14:textId="001004C1">
            <w:r/>
            <w:r>
              <w:rPr>
                <w:rFonts w:ascii="Arial" w:hAnsi="Arial"/>
                <w:b w:val="0"/>
                <w:sz w:val="18"/>
              </w:rPr>
              <w:t>Bug Reporting</w:t>
            </w:r>
          </w:p>
        </w:tc>
        <w:tc>
          <w:tcPr>
            <w:tcW w:w="1994" w:type="dxa"/>
            <w:vAlign w:val="center"/>
          </w:tcPr>
          <w:p w14:paraId="001004C2" w14:textId="001004C3">
            <w:r/>
            <w:r>
              <w:rPr>
                <w:rFonts w:ascii="Arial" w:hAnsi="Arial"/>
                <w:b w:val="0"/>
                <w:sz w:val="18"/>
              </w:rPr>
              <w:t>BRD-BR-001</w:t>
            </w:r>
          </w:p>
        </w:tc>
        <w:tc>
          <w:tcPr>
            <w:tcW w:w="1994" w:type="dxa"/>
            <w:vAlign w:val="center"/>
          </w:tcPr>
          <w:p w14:paraId="001004C4" w14:textId="001004C5">
            <w:r/>
            <w:r>
              <w:rPr>
                <w:rFonts w:ascii="Arial" w:hAnsi="Arial"/>
                <w:b w:val="0"/>
                <w:sz w:val="18"/>
              </w:rPr>
              <w:t>BR-RULE-001</w:t>
            </w:r>
          </w:p>
        </w:tc>
        <w:tc>
          <w:tcPr>
            <w:tcW w:w="1994" w:type="dxa"/>
            <w:vAlign w:val="center"/>
          </w:tcPr>
          <w:p w14:paraId="001004C6" w14:textId="001004C7">
            <w:r/>
            <w:r>
              <w:rPr>
                <w:rFonts w:ascii="Arial" w:hAnsi="Arial"/>
                <w:b w:val="0"/>
                <w:sz w:val="18"/>
              </w:rPr>
              <w:t>Bug can be created with required information.</w:t>
            </w:r>
          </w:p>
        </w:tc>
      </w:tr>
      <w:tr>
        <w:tc>
          <w:tcPr>
            <w:tcW w:w="1994" w:type="dxa"/>
            <w:vAlign w:val="center"/>
          </w:tcPr>
          <w:p w14:paraId="001004C8" w14:textId="001004C9">
            <w:r/>
            <w:r>
              <w:rPr>
                <w:rFonts w:ascii="Arial" w:hAnsi="Arial"/>
                <w:b w:val="0"/>
                <w:sz w:val="18"/>
              </w:rPr>
              <w:t>Reduce duplicate defects</w:t>
            </w:r>
          </w:p>
        </w:tc>
        <w:tc>
          <w:tcPr>
            <w:tcW w:w="1994" w:type="dxa"/>
            <w:vAlign w:val="center"/>
          </w:tcPr>
          <w:p w14:paraId="001004CA" w14:textId="001004CB">
            <w:r/>
            <w:r>
              <w:rPr>
                <w:rFonts w:ascii="Arial" w:hAnsi="Arial"/>
                <w:b w:val="0"/>
                <w:sz w:val="18"/>
              </w:rPr>
              <w:t>Duplicate Support</w:t>
            </w:r>
          </w:p>
        </w:tc>
        <w:tc>
          <w:tcPr>
            <w:tcW w:w="1994" w:type="dxa"/>
            <w:vAlign w:val="center"/>
          </w:tcPr>
          <w:p w14:paraId="001004CC" w14:textId="001004CD">
            <w:r/>
            <w:r>
              <w:rPr>
                <w:rFonts w:ascii="Arial" w:hAnsi="Arial"/>
                <w:b w:val="0"/>
                <w:sz w:val="18"/>
              </w:rPr>
              <w:t>BRD-BR-002</w:t>
            </w:r>
          </w:p>
        </w:tc>
        <w:tc>
          <w:tcPr>
            <w:tcW w:w="1994" w:type="dxa"/>
            <w:vAlign w:val="center"/>
          </w:tcPr>
          <w:p w14:paraId="001004CE" w14:textId="001004CF">
            <w:r/>
            <w:r>
              <w:rPr>
                <w:rFonts w:ascii="Arial" w:hAnsi="Arial"/>
                <w:b w:val="0"/>
                <w:sz w:val="18"/>
              </w:rPr>
              <w:t>BR-RULE-002</w:t>
            </w:r>
          </w:p>
        </w:tc>
        <w:tc>
          <w:tcPr>
            <w:tcW w:w="1994" w:type="dxa"/>
            <w:vAlign w:val="center"/>
          </w:tcPr>
          <w:p w14:paraId="001004D0" w14:textId="001004D1">
            <w:r/>
            <w:r>
              <w:rPr>
                <w:rFonts w:ascii="Arial" w:hAnsi="Arial"/>
                <w:b w:val="0"/>
                <w:sz w:val="18"/>
              </w:rPr>
              <w:t>Duplicate search/filter support exists before creation.</w:t>
            </w:r>
          </w:p>
        </w:tc>
      </w:tr>
      <w:tr>
        <w:tc>
          <w:tcPr>
            <w:tcW w:w="1994" w:type="dxa"/>
            <w:vAlign w:val="center"/>
          </w:tcPr>
          <w:p w14:paraId="001004D2" w14:textId="001004D3">
            <w:r/>
            <w:r>
              <w:rPr>
                <w:rFonts w:ascii="Arial" w:hAnsi="Arial"/>
                <w:b w:val="0"/>
                <w:sz w:val="18"/>
              </w:rPr>
              <w:t>Improve classification quality</w:t>
            </w:r>
          </w:p>
        </w:tc>
        <w:tc>
          <w:tcPr>
            <w:tcW w:w="1994" w:type="dxa"/>
            <w:vAlign w:val="center"/>
          </w:tcPr>
          <w:p w14:paraId="001004D4" w14:textId="001004D5">
            <w:r/>
            <w:r>
              <w:rPr>
                <w:rFonts w:ascii="Arial" w:hAnsi="Arial"/>
                <w:b w:val="0"/>
                <w:sz w:val="18"/>
              </w:rPr>
              <w:t>Classification</w:t>
            </w:r>
          </w:p>
        </w:tc>
        <w:tc>
          <w:tcPr>
            <w:tcW w:w="1994" w:type="dxa"/>
            <w:vAlign w:val="center"/>
          </w:tcPr>
          <w:p w14:paraId="001004D6" w14:textId="001004D7">
            <w:r/>
            <w:r>
              <w:rPr>
                <w:rFonts w:ascii="Arial" w:hAnsi="Arial"/>
                <w:b w:val="0"/>
                <w:sz w:val="18"/>
              </w:rPr>
              <w:t>BRD-BR-003</w:t>
            </w:r>
          </w:p>
        </w:tc>
        <w:tc>
          <w:tcPr>
            <w:tcW w:w="1994" w:type="dxa"/>
            <w:vAlign w:val="center"/>
          </w:tcPr>
          <w:p w14:paraId="001004D8" w14:textId="001004D9">
            <w:r/>
            <w:r>
              <w:rPr>
                <w:rFonts w:ascii="Arial" w:hAnsi="Arial"/>
                <w:b w:val="0"/>
                <w:sz w:val="18"/>
              </w:rPr>
              <w:t>BR-RULE-003, BR-RULE-004</w:t>
            </w:r>
          </w:p>
        </w:tc>
        <w:tc>
          <w:tcPr>
            <w:tcW w:w="1994" w:type="dxa"/>
            <w:vAlign w:val="center"/>
          </w:tcPr>
          <w:p w14:paraId="001004DA" w14:textId="001004DB">
            <w:r/>
            <w:r>
              <w:rPr>
                <w:rFonts w:ascii="Arial" w:hAnsi="Arial"/>
                <w:b w:val="0"/>
                <w:sz w:val="18"/>
              </w:rPr>
              <w:t>Required classification fields are captured.</w:t>
            </w:r>
          </w:p>
        </w:tc>
      </w:tr>
      <w:tr>
        <w:tc>
          <w:tcPr>
            <w:tcW w:w="1994" w:type="dxa"/>
            <w:vAlign w:val="center"/>
          </w:tcPr>
          <w:p w14:paraId="001004DC" w14:textId="001004DD">
            <w:r/>
            <w:r>
              <w:rPr>
                <w:rFonts w:ascii="Arial" w:hAnsi="Arial"/>
                <w:b w:val="0"/>
                <w:sz w:val="18"/>
              </w:rPr>
              <w:t>Improve assignment accuracy</w:t>
            </w:r>
          </w:p>
        </w:tc>
        <w:tc>
          <w:tcPr>
            <w:tcW w:w="1994" w:type="dxa"/>
            <w:vAlign w:val="center"/>
          </w:tcPr>
          <w:p w14:paraId="001004DE" w14:textId="001004DF">
            <w:r/>
            <w:r>
              <w:rPr>
                <w:rFonts w:ascii="Arial" w:hAnsi="Arial"/>
                <w:b w:val="0"/>
                <w:sz w:val="18"/>
              </w:rPr>
              <w:t>Developer Matching</w:t>
            </w:r>
          </w:p>
        </w:tc>
        <w:tc>
          <w:tcPr>
            <w:tcW w:w="1994" w:type="dxa"/>
            <w:vAlign w:val="center"/>
          </w:tcPr>
          <w:p w14:paraId="001004E0" w14:textId="001004E1">
            <w:r/>
            <w:r>
              <w:rPr>
                <w:rFonts w:ascii="Arial" w:hAnsi="Arial"/>
                <w:b w:val="0"/>
                <w:sz w:val="18"/>
              </w:rPr>
              <w:t>BRD-BR-004</w:t>
            </w:r>
          </w:p>
        </w:tc>
        <w:tc>
          <w:tcPr>
            <w:tcW w:w="1994" w:type="dxa"/>
            <w:vAlign w:val="center"/>
          </w:tcPr>
          <w:p w14:paraId="001004E2" w14:textId="001004E3">
            <w:r/>
            <w:r>
              <w:rPr>
                <w:rFonts w:ascii="Arial" w:hAnsi="Arial"/>
                <w:b w:val="0"/>
                <w:sz w:val="18"/>
              </w:rPr>
              <w:t>BR-RULE-005, BR-RULE-006</w:t>
            </w:r>
          </w:p>
        </w:tc>
        <w:tc>
          <w:tcPr>
            <w:tcW w:w="1994" w:type="dxa"/>
            <w:vAlign w:val="center"/>
          </w:tcPr>
          <w:p w14:paraId="001004E4" w14:textId="001004E5">
            <w:r/>
            <w:r>
              <w:rPr>
                <w:rFonts w:ascii="Arial" w:hAnsi="Arial"/>
                <w:b w:val="0"/>
                <w:sz w:val="18"/>
              </w:rPr>
              <w:t>Developer candidates are filtered by responsibility.</w:t>
            </w:r>
          </w:p>
        </w:tc>
      </w:tr>
      <w:tr>
        <w:tc>
          <w:tcPr>
            <w:tcW w:w="1994" w:type="dxa"/>
            <w:vAlign w:val="center"/>
          </w:tcPr>
          <w:p w14:paraId="001004E6" w14:textId="001004E7">
            <w:r/>
            <w:r>
              <w:rPr>
                <w:rFonts w:ascii="Arial" w:hAnsi="Arial"/>
                <w:b w:val="0"/>
                <w:sz w:val="18"/>
              </w:rPr>
              <w:t>Avoid unowned valid bugs</w:t>
            </w:r>
          </w:p>
        </w:tc>
        <w:tc>
          <w:tcPr>
            <w:tcW w:w="1994" w:type="dxa"/>
            <w:vAlign w:val="center"/>
          </w:tcPr>
          <w:p w14:paraId="001004E8" w14:textId="001004E9">
            <w:r/>
            <w:r>
              <w:rPr>
                <w:rFonts w:ascii="Arial" w:hAnsi="Arial"/>
                <w:b w:val="0"/>
                <w:sz w:val="18"/>
              </w:rPr>
              <w:t>Assignment</w:t>
            </w:r>
          </w:p>
        </w:tc>
        <w:tc>
          <w:tcPr>
            <w:tcW w:w="1994" w:type="dxa"/>
            <w:vAlign w:val="center"/>
          </w:tcPr>
          <w:p w14:paraId="001004EA" w14:textId="001004EB">
            <w:r/>
            <w:r>
              <w:rPr>
                <w:rFonts w:ascii="Arial" w:hAnsi="Arial"/>
                <w:b w:val="0"/>
                <w:sz w:val="18"/>
              </w:rPr>
              <w:t>BRD-BR-005</w:t>
            </w:r>
          </w:p>
        </w:tc>
        <w:tc>
          <w:tcPr>
            <w:tcW w:w="1994" w:type="dxa"/>
            <w:vAlign w:val="center"/>
          </w:tcPr>
          <w:p w14:paraId="001004EC" w14:textId="001004ED">
            <w:r/>
            <w:r>
              <w:rPr>
                <w:rFonts w:ascii="Arial" w:hAnsi="Arial"/>
                <w:b w:val="0"/>
                <w:sz w:val="18"/>
              </w:rPr>
              <w:t>BR-RULE-007</w:t>
            </w:r>
          </w:p>
        </w:tc>
        <w:tc>
          <w:tcPr>
            <w:tcW w:w="1994" w:type="dxa"/>
            <w:vAlign w:val="center"/>
          </w:tcPr>
          <w:p w14:paraId="001004EE" w14:textId="001004EF">
            <w:r/>
            <w:r>
              <w:rPr>
                <w:rFonts w:ascii="Arial" w:hAnsi="Arial"/>
                <w:b w:val="0"/>
                <w:sz w:val="18"/>
              </w:rPr>
              <w:t>Pending Assignment queue exists.</w:t>
            </w:r>
          </w:p>
        </w:tc>
      </w:tr>
      <w:tr>
        <w:tc>
          <w:tcPr>
            <w:tcW w:w="1994" w:type="dxa"/>
            <w:vAlign w:val="center"/>
          </w:tcPr>
          <w:p w14:paraId="001004F0" w14:textId="001004F1">
            <w:r/>
            <w:r>
              <w:rPr>
                <w:rFonts w:ascii="Arial" w:hAnsi="Arial"/>
                <w:b w:val="0"/>
                <w:sz w:val="18"/>
              </w:rPr>
              <w:t>Control developer review</w:t>
            </w:r>
          </w:p>
        </w:tc>
        <w:tc>
          <w:tcPr>
            <w:tcW w:w="1994" w:type="dxa"/>
            <w:vAlign w:val="center"/>
          </w:tcPr>
          <w:p w14:paraId="001004F2" w14:textId="001004F3">
            <w:r/>
            <w:r>
              <w:rPr>
                <w:rFonts w:ascii="Arial" w:hAnsi="Arial"/>
                <w:b w:val="0"/>
                <w:sz w:val="18"/>
              </w:rPr>
              <w:t>Developer Review</w:t>
            </w:r>
          </w:p>
        </w:tc>
        <w:tc>
          <w:tcPr>
            <w:tcW w:w="1994" w:type="dxa"/>
            <w:vAlign w:val="center"/>
          </w:tcPr>
          <w:p w14:paraId="001004F4" w14:textId="001004F5">
            <w:r/>
            <w:r>
              <w:rPr>
                <w:rFonts w:ascii="Arial" w:hAnsi="Arial"/>
                <w:b w:val="0"/>
                <w:sz w:val="18"/>
              </w:rPr>
              <w:t>BRD-BR-006, BRD-BR-007</w:t>
            </w:r>
          </w:p>
        </w:tc>
        <w:tc>
          <w:tcPr>
            <w:tcW w:w="1994" w:type="dxa"/>
            <w:vAlign w:val="center"/>
          </w:tcPr>
          <w:p w14:paraId="001004F6" w14:textId="001004F7">
            <w:r/>
            <w:r>
              <w:rPr>
                <w:rFonts w:ascii="Arial" w:hAnsi="Arial"/>
                <w:b w:val="0"/>
                <w:sz w:val="18"/>
              </w:rPr>
              <w:t>BR-RULE-008, BR-RULE-009</w:t>
            </w:r>
          </w:p>
        </w:tc>
        <w:tc>
          <w:tcPr>
            <w:tcW w:w="1994" w:type="dxa"/>
            <w:vAlign w:val="center"/>
          </w:tcPr>
          <w:p w14:paraId="001004F8" w14:textId="001004F9">
            <w:r/>
            <w:r>
              <w:rPr>
                <w:rFonts w:ascii="Arial" w:hAnsi="Arial"/>
                <w:b w:val="0"/>
                <w:sz w:val="18"/>
              </w:rPr>
              <w:t>Developer can request information or reject with reason.</w:t>
            </w:r>
          </w:p>
        </w:tc>
      </w:tr>
      <w:tr>
        <w:tc>
          <w:tcPr>
            <w:tcW w:w="1994" w:type="dxa"/>
            <w:vAlign w:val="center"/>
          </w:tcPr>
          <w:p w14:paraId="001004FA" w14:textId="001004FB">
            <w:r/>
            <w:r>
              <w:rPr>
                <w:rFonts w:ascii="Arial" w:hAnsi="Arial"/>
                <w:b w:val="0"/>
                <w:sz w:val="18"/>
              </w:rPr>
              <w:t>Control lifecycle</w:t>
            </w:r>
          </w:p>
        </w:tc>
        <w:tc>
          <w:tcPr>
            <w:tcW w:w="1994" w:type="dxa"/>
            <w:vAlign w:val="center"/>
          </w:tcPr>
          <w:p w14:paraId="001004FC" w14:textId="001004FD">
            <w:r/>
            <w:r>
              <w:rPr>
                <w:rFonts w:ascii="Arial" w:hAnsi="Arial"/>
                <w:b w:val="0"/>
                <w:sz w:val="18"/>
              </w:rPr>
              <w:t>Retest and Closure</w:t>
            </w:r>
          </w:p>
        </w:tc>
        <w:tc>
          <w:tcPr>
            <w:tcW w:w="1994" w:type="dxa"/>
            <w:vAlign w:val="center"/>
          </w:tcPr>
          <w:p w14:paraId="001004FE" w14:textId="001004FF">
            <w:r/>
            <w:r>
              <w:rPr>
                <w:rFonts w:ascii="Arial" w:hAnsi="Arial"/>
                <w:b w:val="0"/>
                <w:sz w:val="18"/>
              </w:rPr>
              <w:t>BRD-BR-009</w:t>
            </w:r>
          </w:p>
        </w:tc>
        <w:tc>
          <w:tcPr>
            <w:tcW w:w="1994" w:type="dxa"/>
            <w:vAlign w:val="center"/>
          </w:tcPr>
          <w:p w14:paraId="00100500" w14:textId="00100501">
            <w:r/>
            <w:r>
              <w:rPr>
                <w:rFonts w:ascii="Arial" w:hAnsi="Arial"/>
                <w:b w:val="0"/>
                <w:sz w:val="18"/>
              </w:rPr>
              <w:t>BR-RULE-010, BR-RULE-011</w:t>
            </w:r>
          </w:p>
        </w:tc>
        <w:tc>
          <w:tcPr>
            <w:tcW w:w="1994" w:type="dxa"/>
            <w:vAlign w:val="center"/>
          </w:tcPr>
          <w:p w14:paraId="00100502" w14:textId="00100503">
            <w:r/>
            <w:r>
              <w:rPr>
                <w:rFonts w:ascii="Arial" w:hAnsi="Arial"/>
                <w:b w:val="0"/>
                <w:sz w:val="18"/>
              </w:rPr>
              <w:t>Bugs follow allowed lifecycle states.</w:t>
            </w:r>
          </w:p>
        </w:tc>
      </w:tr>
      <w:tr>
        <w:tc>
          <w:tcPr>
            <w:tcW w:w="1994" w:type="dxa"/>
            <w:vAlign w:val="center"/>
          </w:tcPr>
          <w:p w14:paraId="00100504" w14:textId="00100505">
            <w:r/>
            <w:r>
              <w:rPr>
                <w:rFonts w:ascii="Arial" w:hAnsi="Arial"/>
                <w:b w:val="0"/>
                <w:sz w:val="18"/>
              </w:rPr>
              <w:t>Preserve collaboration</w:t>
            </w:r>
          </w:p>
        </w:tc>
        <w:tc>
          <w:tcPr>
            <w:tcW w:w="1994" w:type="dxa"/>
            <w:vAlign w:val="center"/>
          </w:tcPr>
          <w:p w14:paraId="00100506" w14:textId="00100507">
            <w:r/>
            <w:r>
              <w:rPr>
                <w:rFonts w:ascii="Arial" w:hAnsi="Arial"/>
                <w:b w:val="0"/>
                <w:sz w:val="18"/>
              </w:rPr>
              <w:t>Comments</w:t>
            </w:r>
          </w:p>
        </w:tc>
        <w:tc>
          <w:tcPr>
            <w:tcW w:w="1994" w:type="dxa"/>
            <w:vAlign w:val="center"/>
          </w:tcPr>
          <w:p w14:paraId="00100508" w14:textId="00100509">
            <w:r/>
            <w:r>
              <w:rPr>
                <w:rFonts w:ascii="Arial" w:hAnsi="Arial"/>
                <w:b w:val="0"/>
                <w:sz w:val="18"/>
              </w:rPr>
              <w:t>BRD-BR-010</w:t>
            </w:r>
          </w:p>
        </w:tc>
        <w:tc>
          <w:tcPr>
            <w:tcW w:w="1994" w:type="dxa"/>
            <w:vAlign w:val="center"/>
          </w:tcPr>
          <w:p w14:paraId="0010050A" w14:textId="0010050B">
            <w:r/>
            <w:r>
              <w:rPr>
                <w:rFonts w:ascii="Arial" w:hAnsi="Arial"/>
                <w:b w:val="0"/>
                <w:sz w:val="18"/>
              </w:rPr>
              <w:t>BR-RULE-012</w:t>
            </w:r>
          </w:p>
        </w:tc>
        <w:tc>
          <w:tcPr>
            <w:tcW w:w="1994" w:type="dxa"/>
            <w:vAlign w:val="center"/>
          </w:tcPr>
          <w:p w14:paraId="0010050C" w14:textId="0010050D">
            <w:r/>
            <w:r>
              <w:rPr>
                <w:rFonts w:ascii="Arial" w:hAnsi="Arial"/>
                <w:b w:val="0"/>
                <w:sz w:val="18"/>
              </w:rPr>
              <w:t>Comments do not silently change status.</w:t>
            </w:r>
          </w:p>
        </w:tc>
      </w:tr>
      <w:tr>
        <w:tc>
          <w:tcPr>
            <w:tcW w:w="1994" w:type="dxa"/>
            <w:vAlign w:val="center"/>
          </w:tcPr>
          <w:p w14:paraId="0010050E" w14:textId="0010050F">
            <w:r/>
            <w:r>
              <w:rPr>
                <w:rFonts w:ascii="Arial" w:hAnsi="Arial"/>
                <w:b w:val="0"/>
                <w:sz w:val="18"/>
              </w:rPr>
              <w:t>Preserve auditability</w:t>
            </w:r>
          </w:p>
        </w:tc>
        <w:tc>
          <w:tcPr>
            <w:tcW w:w="1994" w:type="dxa"/>
            <w:vAlign w:val="center"/>
          </w:tcPr>
          <w:p w14:paraId="00100510" w14:textId="00100511">
            <w:r/>
            <w:r>
              <w:rPr>
                <w:rFonts w:ascii="Arial" w:hAnsi="Arial"/>
                <w:b w:val="0"/>
                <w:sz w:val="18"/>
              </w:rPr>
              <w:t>History Log</w:t>
            </w:r>
          </w:p>
        </w:tc>
        <w:tc>
          <w:tcPr>
            <w:tcW w:w="1994" w:type="dxa"/>
            <w:vAlign w:val="center"/>
          </w:tcPr>
          <w:p w14:paraId="00100512" w14:textId="00100513">
            <w:r/>
            <w:r>
              <w:rPr>
                <w:rFonts w:ascii="Arial" w:hAnsi="Arial"/>
                <w:b w:val="0"/>
                <w:sz w:val="18"/>
              </w:rPr>
              <w:t>BRD-BR-011</w:t>
            </w:r>
          </w:p>
        </w:tc>
        <w:tc>
          <w:tcPr>
            <w:tcW w:w="1994" w:type="dxa"/>
            <w:vAlign w:val="center"/>
          </w:tcPr>
          <w:p w14:paraId="00100514" w14:textId="00100515">
            <w:r/>
            <w:r>
              <w:rPr>
                <w:rFonts w:ascii="Arial" w:hAnsi="Arial"/>
                <w:b w:val="0"/>
                <w:sz w:val="18"/>
              </w:rPr>
              <w:t>BR-RULE-013</w:t>
            </w:r>
          </w:p>
        </w:tc>
        <w:tc>
          <w:tcPr>
            <w:tcW w:w="1994" w:type="dxa"/>
            <w:vAlign w:val="center"/>
          </w:tcPr>
          <w:p w14:paraId="00100516" w14:textId="00100517">
            <w:r/>
            <w:r>
              <w:rPr>
                <w:rFonts w:ascii="Arial" w:hAnsi="Arial"/>
                <w:b w:val="0"/>
                <w:sz w:val="18"/>
              </w:rPr>
              <w:t>Important actions are recorded in history.</w:t>
            </w:r>
          </w:p>
        </w:tc>
      </w:tr>
      <w:tr>
        <w:tc>
          <w:tcPr>
            <w:tcW w:w="1994" w:type="dxa"/>
            <w:vAlign w:val="center"/>
          </w:tcPr>
          <w:p w14:paraId="00100518" w14:textId="00100519">
            <w:r/>
            <w:r>
              <w:rPr>
                <w:rFonts w:ascii="Arial" w:hAnsi="Arial"/>
                <w:b w:val="0"/>
                <w:sz w:val="18"/>
              </w:rPr>
              <w:t>Improve PM visibility</w:t>
            </w:r>
          </w:p>
        </w:tc>
        <w:tc>
          <w:tcPr>
            <w:tcW w:w="1994" w:type="dxa"/>
            <w:vAlign w:val="center"/>
          </w:tcPr>
          <w:p w14:paraId="0010051A" w14:textId="0010051B">
            <w:r/>
            <w:r>
              <w:rPr>
                <w:rFonts w:ascii="Arial" w:hAnsi="Arial"/>
                <w:b w:val="0"/>
                <w:sz w:val="18"/>
              </w:rPr>
              <w:t>PM Monitoring</w:t>
            </w:r>
          </w:p>
        </w:tc>
        <w:tc>
          <w:tcPr>
            <w:tcW w:w="1994" w:type="dxa"/>
            <w:vAlign w:val="center"/>
          </w:tcPr>
          <w:p w14:paraId="0010051C" w14:textId="0010051D">
            <w:r/>
            <w:r>
              <w:rPr>
                <w:rFonts w:ascii="Arial" w:hAnsi="Arial"/>
                <w:b w:val="0"/>
                <w:sz w:val="18"/>
              </w:rPr>
              <w:t>BRD-BR-013</w:t>
            </w:r>
          </w:p>
        </w:tc>
        <w:tc>
          <w:tcPr>
            <w:tcW w:w="1994" w:type="dxa"/>
            <w:vAlign w:val="center"/>
          </w:tcPr>
          <w:p w14:paraId="0010051E" w14:textId="0010051F">
            <w:r/>
            <w:r>
              <w:rPr>
                <w:rFonts w:ascii="Arial" w:hAnsi="Arial"/>
                <w:b w:val="0"/>
                <w:sz w:val="18"/>
              </w:rPr>
              <w:t>BR-RULE-014</w:t>
            </w:r>
          </w:p>
        </w:tc>
        <w:tc>
          <w:tcPr>
            <w:tcW w:w="1994" w:type="dxa"/>
            <w:vAlign w:val="center"/>
          </w:tcPr>
          <w:p w14:paraId="00100520" w14:textId="00100521">
            <w:r/>
            <w:r>
              <w:rPr>
                <w:rFonts w:ascii="Arial" w:hAnsi="Arial"/>
                <w:b w:val="0"/>
                <w:sz w:val="18"/>
              </w:rPr>
              <w:t>PM can monitor workload, queues, overdue bugs, and follow-up.</w:t>
            </w:r>
          </w:p>
        </w:tc>
      </w:tr>
    </w:tbl>
    <w:p w14:paraId="00100522" w14:textId="00100523">
      <w:pPr>
        <w:pStyle w:val="Heading2"/>
      </w:pPr>
      <w:r>
        <w:t>24. Source Traceability</w:t>
      </w:r>
    </w:p>
    <w:p w14:paraId="00100524" w14:textId="00100525">
      <w:pPr>
        <w:pStyle w:val="ListBullet"/>
      </w:pPr>
      <w:r>
        <w:t>Scope, roles, and features: IDTS-SUMMARY.md, IDTS-PROJECT-SCOPE-SAP01.md, docs/project-context.md.</w:t>
      </w:r>
    </w:p>
    <w:p w14:paraId="00100526" w14:textId="00100527">
      <w:pPr>
        <w:pStyle w:val="ListBullet"/>
      </w:pPr>
      <w:r>
        <w:t>Business rules: IDTS-Business-Rule.md, docs/ba/03-status-transition-matrix.md, docs/ba/06-authorization-matrix.md.</w:t>
      </w:r>
    </w:p>
    <w:p w14:paraId="00100528" w14:textId="00100529">
      <w:pPr>
        <w:pStyle w:val="ListBullet"/>
      </w:pPr>
      <w:r>
        <w:t>MVP requirements: docs/ba/01-mvp-scope.md, docs/ba/04-requirement-backlog.md.</w:t>
      </w:r>
    </w:p>
    <w:p w14:paraId="0010052A" w14:textId="0010052B">
      <w:pPr>
        <w:pStyle w:val="ListBullet"/>
      </w:pPr>
      <w:r>
        <w:t>Classification and data concepts: docs/ba/02-glossary.md, docs/ba/05-data-dictionary.md.</w:t>
      </w:r>
    </w:p>
    <w:p w14:paraId="0010052C" w14:textId="0010052D">
      <w:pPr>
        <w:pStyle w:val="ListBullet"/>
      </w:pPr>
      <w:r>
        <w:t>Fiori business UX expectations: docs/ba/07-fiori-ux-requirements.md.</w:t>
      </w:r>
    </w:p>
    <w:p w14:paraId="0010052E" w14:textId="0010052F">
      <w:pPr>
        <w:pStyle w:val="ListBullet"/>
      </w:pPr>
      <w:r>
        <w:t>Implementation gaps and risks: docs/ba/08-implementation-gap-analysis.md, docs/pm/risk-decision-log.md.</w:t>
      </w:r>
    </w:p>
    <w:p w14:paraId="00100530" w14:textId="00100531">
      <w:pPr>
        <w:pStyle w:val="ListBullet"/>
      </w:pPr>
      <w:r>
        <w:t>SAP490 deliverable alignment: docs/knowledge/sap490-deliverable-guidance.md.</w:t>
      </w:r>
    </w:p>
    <w:sectPr w:rsidRPr="0006063C" w:rsidR="00FC693F" w:rsidSect="00034616">
      <w:footerReference w:type="default" r:id="rId12"/>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0100532" w14:textId="00100533">
    <w:pPr>
      <w:pStyle w:val="Footer"/>
      <w:jc w:val="center"/>
    </w:pPr>
    <w:r>
      <w:t xml:space="preserve">IDTS SAP490 Review | Page </w:t>
    </w: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asciiTheme="majorHAnsi" w:hAnsiTheme="majorHAnsi" w:eastAsiaTheme="majorEastAsia"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asciiTheme="majorHAnsi" w:hAnsiTheme="majorHAnsi" w:eastAsiaTheme="majorEastAsia"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asciiTheme="majorHAnsi" w:hAnsiTheme="majorHAnsi" w:eastAsiaTheme="majorEastAsia"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asciiTheme="majorHAnsi" w:hAnsiTheme="majorHAnsi" w:eastAsiaTheme="majorEastAsia" w:cstheme="majorBidi"/>
      <w:b/>
      <w:bCs/>
      <w:i/>
      <w:iCs/>
      <w:color w:val="1F4E79"/>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