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Functional Requirements Specification</w:t>
      </w:r>
    </w:p>
    <w:p>
      <w:pPr>
        <w:jc w:val="center"/>
      </w:pPr>
      <w:r>
        <w:t>Project: Issue and Defect Tracking System in SAP</w:t>
      </w:r>
    </w:p>
    <w:p>
      <w:pPr>
        <w:jc w:val="center"/>
      </w:pPr>
      <w:r>
        <w:t>Document type: Functional Requirements Specification (FRS)</w:t>
      </w:r>
    </w:p>
    <w:p>
      <w:pPr>
        <w:jc w:val="center"/>
      </w:pPr>
      <w:r>
        <w:t>Language: English</w:t>
      </w:r>
    </w:p>
    <w:p>
      <w:pPr>
        <w:jc w:val="center"/>
      </w:pPr>
      <w:r>
        <w:t>Status: Draft v1.6</w:t>
      </w:r>
    </w:p>
    <w:p>
      <w:pPr>
        <w:jc w:val="center"/>
      </w:pPr>
      <w:r>
        <w:t>Last updated: 2026-07-24</w:t>
      </w:r>
    </w:p>
    <w:p>
      <w:pPr>
        <w:jc w:val="center"/>
      </w:pPr>
      <w:r>
        <w:t>Prepared for: SAP490 project delivery, mentor review, implementation evidence, and QA test design</w:t>
      </w:r>
    </w:p>
    <w:p>
      <w:r>
        <w:br w:type="page"/>
      </w:r>
    </w:p>
    <w:p>
      <w:r>
        <w:t>Document style: SAP490 hybrid, function-detail-first, aligned with BRD v1.6 and SRS v1.5</w:t>
      </w:r>
    </w:p>
    <w:p>
      <w:pPr>
        <w:pStyle w:val="Heading2"/>
      </w:pPr>
      <w:r>
        <w:t>1. Document Control</w:t>
      </w:r>
    </w:p>
    <w:p>
      <w:pPr>
        <w:pStyle w:val="Heading3"/>
      </w:pPr>
      <w:r>
        <w:t>1.1 Version History</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Version</w:t>
            </w:r>
          </w:p>
        </w:tc>
        <w:tc>
          <w:tcPr>
            <w:tcW w:type="dxa" w:w="1662"/>
            <w:shd w:val="clear" w:fill="D9E2F3"/>
            <w:vAlign w:val="center"/>
          </w:tcPr>
          <w:p>
            <w:r/>
            <w:r>
              <w:rPr>
                <w:rFonts w:ascii="Arial" w:hAnsi="Arial"/>
                <w:b/>
                <w:sz w:val="18"/>
              </w:rPr>
              <w:t>Date</w:t>
            </w:r>
          </w:p>
        </w:tc>
        <w:tc>
          <w:tcPr>
            <w:tcW w:type="dxa" w:w="1662"/>
            <w:shd w:val="clear" w:fill="D9E2F3"/>
            <w:vAlign w:val="center"/>
          </w:tcPr>
          <w:p>
            <w:r/>
            <w:r>
              <w:rPr>
                <w:rFonts w:ascii="Arial" w:hAnsi="Arial"/>
                <w:b/>
                <w:sz w:val="18"/>
              </w:rPr>
              <w:t>Author</w:t>
            </w:r>
          </w:p>
        </w:tc>
        <w:tc>
          <w:tcPr>
            <w:tcW w:type="dxa" w:w="1662"/>
            <w:shd w:val="clear" w:fill="D9E2F3"/>
            <w:vAlign w:val="center"/>
          </w:tcPr>
          <w:p>
            <w:r/>
            <w:r>
              <w:rPr>
                <w:rFonts w:ascii="Arial" w:hAnsi="Arial"/>
                <w:b/>
                <w:sz w:val="18"/>
              </w:rPr>
              <w:t>Reviewer</w:t>
            </w:r>
          </w:p>
        </w:tc>
        <w:tc>
          <w:tcPr>
            <w:tcW w:type="dxa" w:w="1662"/>
            <w:shd w:val="clear" w:fill="D9E2F3"/>
            <w:vAlign w:val="center"/>
          </w:tcPr>
          <w:p>
            <w:r/>
            <w:r>
              <w:rPr>
                <w:rFonts w:ascii="Arial" w:hAnsi="Arial"/>
                <w:b/>
                <w:sz w:val="18"/>
              </w:rPr>
              <w:t>Change Summary</w:t>
            </w:r>
          </w:p>
        </w:tc>
        <w:tc>
          <w:tcPr>
            <w:tcW w:type="dxa" w:w="1662"/>
            <w:shd w:val="clear" w:fill="D9E2F3"/>
            <w:vAlign w:val="center"/>
          </w:tcPr>
          <w:p>
            <w:r/>
            <w:r>
              <w:rPr>
                <w:rFonts w:ascii="Arial" w:hAnsi="Arial"/>
                <w:b/>
                <w:sz w:val="18"/>
              </w:rPr>
              <w:t>Approval Status</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Initial FRS created from BRD v1.1, SRS v1.0, BA baseline, diagrams, and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Fixed Mermaid syntax in rejected follow-up sequence and added missing workflow diagrams for create/assign, developer review, request information, retest/closure, and PM monitoring.</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Updated functional actors and workflows to the MVP role baseline: Tester, Developer, and PM. Reporter and Admin are deferred as separate roles.</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Synced real draft attachment behavior and optional advisory-AI review behavior with the implemented CAP/Fiori baseline.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Replaced eight review-facing Mermaid blocks with rendered workflow figures and closed the visual-submission open issue.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v1.5</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Aligned authentication/session, shared QA data/storage, asynchronous email-outbox, and normalized human-reviewed AI audit behavior with the current implementation baseline.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v1.6</w:t>
            </w:r>
          </w:p>
        </w:tc>
        <w:tc>
          <w:tcPr>
            <w:tcW w:type="dxa" w:w="1662"/>
            <w:vAlign w:val="center"/>
          </w:tcPr>
          <w:p>
            <w:r/>
            <w:r>
              <w:rPr>
                <w:rFonts w:ascii="Arial" w:hAnsi="Arial"/>
                <w:b w:val="0"/>
                <w:sz w:val="18"/>
              </w:rPr>
              <w:t>2026-07-24</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Aligned OData/draft handler traceability and exact action audit codes; corrected AI review-state wording to the implemented PENDING-only audit behavior.</w:t>
            </w:r>
          </w:p>
        </w:tc>
        <w:tc>
          <w:tcPr>
            <w:tcW w:type="dxa" w:w="1662"/>
            <w:vAlign w:val="center"/>
          </w:tcPr>
          <w:p>
            <w:r/>
            <w:r>
              <w:rPr>
                <w:rFonts w:ascii="Arial" w:hAnsi="Arial"/>
                <w:b w:val="0"/>
                <w:sz w:val="18"/>
              </w:rPr>
              <w:t>Draft</w:t>
            </w:r>
          </w:p>
        </w:tc>
      </w:tr>
    </w:tbl>
    <w:p>
      <w:pPr>
        <w:pStyle w:val="Heading3"/>
      </w:pPr>
      <w:r>
        <w:t>1.2 Review and Sign-Off</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Role</w:t>
            </w:r>
          </w:p>
        </w:tc>
        <w:tc>
          <w:tcPr>
            <w:tcW w:type="dxa" w:w="1994"/>
            <w:shd w:val="clear" w:fill="D9E2F3"/>
            <w:vAlign w:val="center"/>
          </w:tcPr>
          <w:p>
            <w:r/>
            <w:r>
              <w:rPr>
                <w:rFonts w:ascii="Arial" w:hAnsi="Arial"/>
                <w:b/>
                <w:sz w:val="18"/>
              </w:rPr>
              <w:t>Name</w:t>
            </w:r>
          </w:p>
        </w:tc>
        <w:tc>
          <w:tcPr>
            <w:tcW w:type="dxa" w:w="1994"/>
            <w:shd w:val="clear" w:fill="D9E2F3"/>
            <w:vAlign w:val="center"/>
          </w:tcPr>
          <w:p>
            <w:r/>
            <w:r>
              <w:rPr>
                <w:rFonts w:ascii="Arial" w:hAnsi="Arial"/>
                <w:b/>
                <w:sz w:val="18"/>
              </w:rPr>
              <w:t>Responsibility</w:t>
            </w:r>
          </w:p>
        </w:tc>
        <w:tc>
          <w:tcPr>
            <w:tcW w:type="dxa" w:w="1994"/>
            <w:shd w:val="clear" w:fill="D9E2F3"/>
            <w:vAlign w:val="center"/>
          </w:tcPr>
          <w:p>
            <w:r/>
            <w:r>
              <w:rPr>
                <w:rFonts w:ascii="Arial" w:hAnsi="Arial"/>
                <w:b/>
                <w:sz w:val="18"/>
              </w:rPr>
              <w:t>Status</w:t>
            </w:r>
          </w:p>
        </w:tc>
        <w:tc>
          <w:tcPr>
            <w:tcW w:type="dxa" w:w="1994"/>
            <w:shd w:val="clear" w:fill="D9E2F3"/>
            <w:vAlign w:val="center"/>
          </w:tcPr>
          <w:p>
            <w:r/>
            <w:r>
              <w:rPr>
                <w:rFonts w:ascii="Arial" w:hAnsi="Arial"/>
                <w:b/>
                <w:sz w:val="18"/>
              </w:rPr>
              <w:t>Date</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Prepare and maintain FRS</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2026-06-02</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functional completeness and SAP490 fit</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Approve FRS for implementation and test case design</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Confirm MVP functional priority</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2"/>
      </w:pPr>
      <w:r>
        <w:t>2. Purpose and Scope</w:t>
      </w:r>
    </w:p>
    <w:p>
      <w:r>
        <w:t>This FRS specifies detailed functional behavior for the IDTS MVP. It describes how users and the system shall perform bug creation, duplicate checking, classification, assignment, developer review, request for information, rejection follow-up, status transitions, comments, history logs, notification records, and PM monitoring.</w:t>
      </w:r>
    </w:p>
    <w:p>
      <w:r>
        <w:t>The FRS is more detailed than the BRD and more workflow-oriented than the SRS. It is intended for CAP/Fiori implementation planning and QA test case design. It does not contain source code, final CDS schema, Fiori annotation code, UI5 controller code, or deployment credentials.</w:t>
      </w:r>
    </w:p>
    <w:p>
      <w:pPr>
        <w:pStyle w:val="Heading2"/>
      </w:pPr>
      <w:r>
        <w:t>3. Functional Scope Summary</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Functional Area</w:t>
            </w:r>
          </w:p>
        </w:tc>
        <w:tc>
          <w:tcPr>
            <w:tcW w:type="dxa" w:w="3324"/>
            <w:shd w:val="clear" w:fill="D9E2F3"/>
            <w:vAlign w:val="center"/>
          </w:tcPr>
          <w:p>
            <w:r/>
            <w:r>
              <w:rPr>
                <w:rFonts w:ascii="Arial" w:hAnsi="Arial"/>
                <w:b/>
                <w:sz w:val="18"/>
              </w:rPr>
              <w:t>Included in MVP</w:t>
            </w:r>
          </w:p>
        </w:tc>
        <w:tc>
          <w:tcPr>
            <w:tcW w:type="dxa" w:w="3324"/>
            <w:shd w:val="clear" w:fill="D9E2F3"/>
            <w:vAlign w:val="center"/>
          </w:tcPr>
          <w:p>
            <w:r/>
            <w:r>
              <w:rPr>
                <w:rFonts w:ascii="Arial" w:hAnsi="Arial"/>
                <w:b/>
                <w:sz w:val="18"/>
              </w:rPr>
              <w:t>Notes</w:t>
            </w:r>
          </w:p>
        </w:tc>
      </w:tr>
      <w:tr>
        <w:tc>
          <w:tcPr>
            <w:tcW w:type="dxa" w:w="3324"/>
            <w:vAlign w:val="center"/>
          </w:tcPr>
          <w:p>
            <w:r/>
            <w:r>
              <w:rPr>
                <w:rFonts w:ascii="Arial" w:hAnsi="Arial"/>
                <w:b w:val="0"/>
                <w:sz w:val="18"/>
              </w:rPr>
              <w:t>Bug creation</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Structured report with required fields and unique bug number.</w:t>
            </w:r>
          </w:p>
        </w:tc>
      </w:tr>
      <w:tr>
        <w:tc>
          <w:tcPr>
            <w:tcW w:type="dxa" w:w="3324"/>
            <w:vAlign w:val="center"/>
          </w:tcPr>
          <w:p>
            <w:r/>
            <w:r>
              <w:rPr>
                <w:rFonts w:ascii="Arial" w:hAnsi="Arial"/>
                <w:b w:val="0"/>
                <w:sz w:val="18"/>
              </w:rPr>
              <w:t>Duplicate checking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Manual search/filter remains the core flow; advisory AI similar-bug suggestion is optional and review-only.</w:t>
            </w:r>
          </w:p>
        </w:tc>
      </w:tr>
      <w:tr>
        <w:tc>
          <w:tcPr>
            <w:tcW w:type="dxa" w:w="3324"/>
            <w:vAlign w:val="center"/>
          </w:tcPr>
          <w:p>
            <w:r/>
            <w:r>
              <w:rPr>
                <w:rFonts w:ascii="Arial" w:hAnsi="Arial"/>
                <w:b w:val="0"/>
                <w:sz w:val="18"/>
              </w:rPr>
              <w:t>Classification</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SAP Module optional; Application Component and Defect Category required.</w:t>
            </w:r>
          </w:p>
        </w:tc>
      </w:tr>
      <w:tr>
        <w:tc>
          <w:tcPr>
            <w:tcW w:type="dxa" w:w="3324"/>
            <w:vAlign w:val="center"/>
          </w:tcPr>
          <w:p>
            <w:r/>
            <w:r>
              <w:rPr>
                <w:rFonts w:ascii="Arial" w:hAnsi="Arial"/>
                <w:b w:val="0"/>
                <w:sz w:val="18"/>
              </w:rPr>
              <w:t>Developer matching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Based on Component Category and optional SAP Module.</w:t>
            </w:r>
          </w:p>
        </w:tc>
      </w:tr>
      <w:tr>
        <w:tc>
          <w:tcPr>
            <w:tcW w:type="dxa" w:w="3324"/>
            <w:vAlign w:val="center"/>
          </w:tcPr>
          <w:p>
            <w:r/>
            <w:r>
              <w:rPr>
                <w:rFonts w:ascii="Arial" w:hAnsi="Arial"/>
                <w:b w:val="0"/>
                <w:sz w:val="18"/>
              </w:rPr>
              <w:t>Assignment</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Assigned or Pending Assignment.</w:t>
            </w:r>
          </w:p>
        </w:tc>
      </w:tr>
      <w:tr>
        <w:tc>
          <w:tcPr>
            <w:tcW w:type="dxa" w:w="3324"/>
            <w:vAlign w:val="center"/>
          </w:tcPr>
          <w:p>
            <w:r/>
            <w:r>
              <w:rPr>
                <w:rFonts w:ascii="Arial" w:hAnsi="Arial"/>
                <w:b w:val="0"/>
                <w:sz w:val="18"/>
              </w:rPr>
              <w:t>Developer review</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Start review, request information, reject, progress, resolve.</w:t>
            </w:r>
          </w:p>
        </w:tc>
      </w:tr>
      <w:tr>
        <w:tc>
          <w:tcPr>
            <w:tcW w:type="dxa" w:w="3324"/>
            <w:vAlign w:val="center"/>
          </w:tcPr>
          <w:p>
            <w:r/>
            <w:r>
              <w:rPr>
                <w:rFonts w:ascii="Arial" w:hAnsi="Arial"/>
                <w:b w:val="0"/>
                <w:sz w:val="18"/>
              </w:rPr>
              <w:t>Rejected follow-up</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Rejected is not final; reason and nextProcessor required.</w:t>
            </w:r>
          </w:p>
        </w:tc>
      </w:tr>
      <w:tr>
        <w:tc>
          <w:tcPr>
            <w:tcW w:type="dxa" w:w="3324"/>
            <w:vAlign w:val="center"/>
          </w:tcPr>
          <w:p>
            <w:r/>
            <w:r>
              <w:rPr>
                <w:rFonts w:ascii="Arial" w:hAnsi="Arial"/>
                <w:b w:val="0"/>
                <w:sz w:val="18"/>
              </w:rPr>
              <w:t>Retest and closure</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Retest Required before close when verification is needed.</w:t>
            </w:r>
          </w:p>
        </w:tc>
      </w:tr>
      <w:tr>
        <w:tc>
          <w:tcPr>
            <w:tcW w:type="dxa" w:w="3324"/>
            <w:vAlign w:val="center"/>
          </w:tcPr>
          <w:p>
            <w:r/>
            <w:r>
              <w:rPr>
                <w:rFonts w:ascii="Arial" w:hAnsi="Arial"/>
                <w:b w:val="0"/>
                <w:sz w:val="18"/>
              </w:rPr>
              <w:t>Comments</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Discussion attached to bug; no direct status change.</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Important actions recorded.</w:t>
            </w:r>
          </w:p>
        </w:tc>
      </w:tr>
      <w:tr>
        <w:tc>
          <w:tcPr>
            <w:tcW w:type="dxa" w:w="3324"/>
            <w:vAlign w:val="center"/>
          </w:tcPr>
          <w:p>
            <w:r/>
            <w:r>
              <w:rPr>
                <w:rFonts w:ascii="Arial" w:hAnsi="Arial"/>
                <w:b w:val="0"/>
                <w:sz w:val="18"/>
              </w:rPr>
              <w:t>Notifications and email delivery</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In-app Notifications plus asynchronous NotificationDeliveries email-outbox work items for applicable events.</w:t>
            </w:r>
          </w:p>
        </w:tc>
      </w:tr>
      <w:tr>
        <w:tc>
          <w:tcPr>
            <w:tcW w:type="dxa" w:w="3324"/>
            <w:vAlign w:val="center"/>
          </w:tcPr>
          <w:p>
            <w:r/>
            <w:r>
              <w:rPr>
                <w:rFonts w:ascii="Arial" w:hAnsi="Arial"/>
                <w:b w:val="0"/>
                <w:sz w:val="18"/>
              </w:rPr>
              <w:t>PM monitoring</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Workload, overdue, queues, nextProcessor, status filters.</w:t>
            </w:r>
          </w:p>
        </w:tc>
      </w:tr>
      <w:tr>
        <w:tc>
          <w:tcPr>
            <w:tcW w:type="dxa" w:w="3324"/>
            <w:vAlign w:val="center"/>
          </w:tcPr>
          <w:p>
            <w:r/>
            <w:r>
              <w:rPr>
                <w:rFonts w:ascii="Arial" w:hAnsi="Arial"/>
                <w:b w:val="0"/>
                <w:sz w:val="18"/>
              </w:rPr>
              <w:t>Attachments</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Draft upload/download uses the supported attachment composition, with local DB fallback and externally bound object storage for shared QA; attachment bytes are never sent to AI.</w:t>
            </w:r>
          </w:p>
        </w:tc>
      </w:tr>
      <w:tr>
        <w:tc>
          <w:tcPr>
            <w:tcW w:type="dxa" w:w="3324"/>
            <w:vAlign w:val="center"/>
          </w:tcPr>
          <w:p>
            <w:r/>
            <w:r>
              <w:rPr>
                <w:rFonts w:ascii="Arial" w:hAnsi="Arial"/>
                <w:b w:val="0"/>
                <w:sz w:val="18"/>
              </w:rPr>
              <w:t>Advisory AI</w:t>
            </w:r>
          </w:p>
        </w:tc>
        <w:tc>
          <w:tcPr>
            <w:tcW w:type="dxa" w:w="3324"/>
            <w:vAlign w:val="center"/>
          </w:tcPr>
          <w:p>
            <w:r/>
            <w:r>
              <w:rPr>
                <w:rFonts w:ascii="Arial" w:hAnsi="Arial"/>
                <w:b w:val="0"/>
                <w:sz w:val="18"/>
              </w:rPr>
              <w:t>Optional</w:t>
            </w:r>
          </w:p>
        </w:tc>
        <w:tc>
          <w:tcPr>
            <w:tcW w:type="dxa" w:w="3324"/>
            <w:vAlign w:val="center"/>
          </w:tcPr>
          <w:p>
            <w:r/>
            <w:r>
              <w:rPr>
                <w:rFonts w:ascii="Arial" w:hAnsi="Arial"/>
                <w:b w:val="0"/>
                <w:sz w:val="18"/>
              </w:rPr>
              <w:t>Similar-bug, classification, summary, and Smart Assign explanations require human review and never mutate the bug.</w:t>
            </w:r>
          </w:p>
        </w:tc>
      </w:tr>
      <w:tr>
        <w:tc>
          <w:tcPr>
            <w:tcW w:type="dxa" w:w="3324"/>
            <w:vAlign w:val="center"/>
          </w:tcPr>
          <w:p>
            <w:r/>
            <w:r>
              <w:rPr>
                <w:rFonts w:ascii="Arial" w:hAnsi="Arial"/>
                <w:b w:val="0"/>
                <w:sz w:val="18"/>
              </w:rPr>
              <w:t>Runtime profiles</w:t>
            </w:r>
          </w:p>
        </w:tc>
        <w:tc>
          <w:tcPr>
            <w:tcW w:type="dxa" w:w="3324"/>
            <w:vAlign w:val="center"/>
          </w:tcPr>
          <w:p>
            <w:r/>
            <w:r>
              <w:rPr>
                <w:rFonts w:ascii="Arial" w:hAnsi="Arial"/>
                <w:b w:val="0"/>
                <w:sz w:val="18"/>
              </w:rPr>
              <w:t>Yes</w:t>
            </w:r>
          </w:p>
        </w:tc>
        <w:tc>
          <w:tcPr>
            <w:tcW w:type="dxa" w:w="3324"/>
            <w:vAlign w:val="center"/>
          </w:tcPr>
          <w:p>
            <w:r/>
            <w:r>
              <w:rPr>
                <w:rFonts w:ascii="Arial" w:hAnsi="Arial"/>
                <w:b w:val="0"/>
                <w:sz w:val="18"/>
              </w:rPr>
              <w:t>SQLite for local development; shared QA on Render with PostgreSQL and externally bound S3 object storage.</w:t>
            </w:r>
          </w:p>
        </w:tc>
      </w:tr>
    </w:tbl>
    <w:p>
      <w:pPr>
        <w:pStyle w:val="Heading2"/>
      </w:pPr>
      <w:r>
        <w:t>4. Functional Workflow Diagrams</w:t>
      </w:r>
    </w:p>
    <w:p>
      <w:pPr>
        <w:pStyle w:val="Heading3"/>
      </w:pPr>
      <w:r>
        <w:t>4.1 Main Defect Tracking Flow</w:t>
      </w:r>
    </w:p>
    <w:p>
      <w:pPr>
        <w:jc w:val="center"/>
      </w:pPr>
      <w:r>
        <w:drawing>
          <wp:inline xmlns:a="http://schemas.openxmlformats.org/drawingml/2006/main" xmlns:pic="http://schemas.openxmlformats.org/drawingml/2006/picture">
            <wp:extent cx="5760720" cy="9608381"/>
            <wp:docPr id="1" name="Picture 1"/>
            <wp:cNvGraphicFramePr>
              <a:graphicFrameLocks noChangeAspect="1"/>
            </wp:cNvGraphicFramePr>
            <a:graphic>
              <a:graphicData uri="http://schemas.openxmlformats.org/drawingml/2006/picture">
                <pic:pic>
                  <pic:nvPicPr>
                    <pic:cNvPr id="0" name="14-frs-main-defect-flow.png"/>
                    <pic:cNvPicPr/>
                  </pic:nvPicPr>
                  <pic:blipFill>
                    <a:blip r:embed="rId9"/>
                    <a:stretch>
                      <a:fillRect/>
                    </a:stretch>
                  </pic:blipFill>
                  <pic:spPr>
                    <a:xfrm>
                      <a:off x="0" y="0"/>
                      <a:ext cx="5760720" cy="9608381"/>
                    </a:xfrm>
                    <a:prstGeom prst="rect"/>
                  </pic:spPr>
                </pic:pic>
              </a:graphicData>
            </a:graphic>
          </wp:inline>
        </w:drawing>
      </w:r>
    </w:p>
    <w:p>
      <w:pPr>
        <w:jc w:val="center"/>
      </w:pPr>
      <w:r>
        <w:rPr>
          <w:i/>
          <w:sz w:val="18"/>
        </w:rPr>
        <w:t>Figure. Main Defect Tracking Flow</w:t>
      </w:r>
    </w:p>
    <w:p>
      <w:pPr>
        <w:pStyle w:val="Heading3"/>
      </w:pPr>
      <w:r>
        <w:t>4.2 Rejected Follow-up Flow</w:t>
      </w:r>
    </w:p>
    <w:p>
      <w:pPr>
        <w:jc w:val="center"/>
      </w:pPr>
      <w:r>
        <w:drawing>
          <wp:inline xmlns:a="http://schemas.openxmlformats.org/drawingml/2006/main" xmlns:pic="http://schemas.openxmlformats.org/drawingml/2006/picture">
            <wp:extent cx="5760720" cy="3243290"/>
            <wp:docPr id="2" name="Picture 2"/>
            <wp:cNvGraphicFramePr>
              <a:graphicFrameLocks noChangeAspect="1"/>
            </wp:cNvGraphicFramePr>
            <a:graphic>
              <a:graphicData uri="http://schemas.openxmlformats.org/drawingml/2006/picture">
                <pic:pic>
                  <pic:nvPicPr>
                    <pic:cNvPr id="0" name="15-frs-rejected-follow-up.png"/>
                    <pic:cNvPicPr/>
                  </pic:nvPicPr>
                  <pic:blipFill>
                    <a:blip r:embed="rId10"/>
                    <a:stretch>
                      <a:fillRect/>
                    </a:stretch>
                  </pic:blipFill>
                  <pic:spPr>
                    <a:xfrm>
                      <a:off x="0" y="0"/>
                      <a:ext cx="5760720" cy="3243290"/>
                    </a:xfrm>
                    <a:prstGeom prst="rect"/>
                  </pic:spPr>
                </pic:pic>
              </a:graphicData>
            </a:graphic>
          </wp:inline>
        </w:drawing>
      </w:r>
    </w:p>
    <w:p>
      <w:pPr>
        <w:jc w:val="center"/>
      </w:pPr>
      <w:r>
        <w:rPr>
          <w:i/>
          <w:sz w:val="18"/>
        </w:rPr>
        <w:t>Figure. Rejected Follow-up Flow</w:t>
      </w:r>
    </w:p>
    <w:p>
      <w:pPr>
        <w:pStyle w:val="Heading3"/>
      </w:pPr>
      <w:r>
        <w:t>4.3 Status Lifecycle</w:t>
      </w:r>
    </w:p>
    <w:p>
      <w:pPr>
        <w:jc w:val="center"/>
      </w:pPr>
      <w:r>
        <w:drawing>
          <wp:inline xmlns:a="http://schemas.openxmlformats.org/drawingml/2006/main" xmlns:pic="http://schemas.openxmlformats.org/drawingml/2006/picture">
            <wp:extent cx="5760720" cy="3885378"/>
            <wp:docPr id="3" name="Picture 3"/>
            <wp:cNvGraphicFramePr>
              <a:graphicFrameLocks noChangeAspect="1"/>
            </wp:cNvGraphicFramePr>
            <a:graphic>
              <a:graphicData uri="http://schemas.openxmlformats.org/drawingml/2006/picture">
                <pic:pic>
                  <pic:nvPicPr>
                    <pic:cNvPr id="0" name="16-frs-status-lifecycle.png"/>
                    <pic:cNvPicPr/>
                  </pic:nvPicPr>
                  <pic:blipFill>
                    <a:blip r:embed="rId11"/>
                    <a:stretch>
                      <a:fillRect/>
                    </a:stretch>
                  </pic:blipFill>
                  <pic:spPr>
                    <a:xfrm>
                      <a:off x="0" y="0"/>
                      <a:ext cx="5760720" cy="3885378"/>
                    </a:xfrm>
                    <a:prstGeom prst="rect"/>
                  </pic:spPr>
                </pic:pic>
              </a:graphicData>
            </a:graphic>
          </wp:inline>
        </w:drawing>
      </w:r>
    </w:p>
    <w:p>
      <w:pPr>
        <w:jc w:val="center"/>
      </w:pPr>
      <w:r>
        <w:rPr>
          <w:i/>
          <w:sz w:val="18"/>
        </w:rPr>
        <w:t>Figure. Status Lifecycle</w:t>
      </w:r>
    </w:p>
    <w:p>
      <w:pPr>
        <w:pStyle w:val="Heading3"/>
      </w:pPr>
      <w:r>
        <w:t>4.4 Bug Creation and Assignment Activity Flow</w:t>
      </w:r>
    </w:p>
    <w:p>
      <w:pPr>
        <w:jc w:val="center"/>
      </w:pPr>
      <w:r>
        <w:drawing>
          <wp:inline xmlns:a="http://schemas.openxmlformats.org/drawingml/2006/main" xmlns:pic="http://schemas.openxmlformats.org/drawingml/2006/picture">
            <wp:extent cx="5760720" cy="9865867"/>
            <wp:docPr id="4" name="Picture 4"/>
            <wp:cNvGraphicFramePr>
              <a:graphicFrameLocks noChangeAspect="1"/>
            </wp:cNvGraphicFramePr>
            <a:graphic>
              <a:graphicData uri="http://schemas.openxmlformats.org/drawingml/2006/picture">
                <pic:pic>
                  <pic:nvPicPr>
                    <pic:cNvPr id="0" name="17-frs-create-assignment.png"/>
                    <pic:cNvPicPr/>
                  </pic:nvPicPr>
                  <pic:blipFill>
                    <a:blip r:embed="rId12"/>
                    <a:stretch>
                      <a:fillRect/>
                    </a:stretch>
                  </pic:blipFill>
                  <pic:spPr>
                    <a:xfrm>
                      <a:off x="0" y="0"/>
                      <a:ext cx="5760720" cy="9865867"/>
                    </a:xfrm>
                    <a:prstGeom prst="rect"/>
                  </pic:spPr>
                </pic:pic>
              </a:graphicData>
            </a:graphic>
          </wp:inline>
        </w:drawing>
      </w:r>
    </w:p>
    <w:p>
      <w:pPr>
        <w:jc w:val="center"/>
      </w:pPr>
      <w:r>
        <w:rPr>
          <w:i/>
          <w:sz w:val="18"/>
        </w:rPr>
        <w:t>Figure. Bug Creation and Assignment Activity Flow</w:t>
      </w:r>
    </w:p>
    <w:p>
      <w:pPr>
        <w:pStyle w:val="Heading3"/>
      </w:pPr>
      <w:r>
        <w:t>4.5 Developer Review Decision Flow</w:t>
      </w:r>
    </w:p>
    <w:p>
      <w:pPr>
        <w:jc w:val="center"/>
      </w:pPr>
      <w:r>
        <w:drawing>
          <wp:inline xmlns:a="http://schemas.openxmlformats.org/drawingml/2006/main" xmlns:pic="http://schemas.openxmlformats.org/drawingml/2006/picture">
            <wp:extent cx="5760720" cy="6813878"/>
            <wp:docPr id="5" name="Picture 5"/>
            <wp:cNvGraphicFramePr>
              <a:graphicFrameLocks noChangeAspect="1"/>
            </wp:cNvGraphicFramePr>
            <a:graphic>
              <a:graphicData uri="http://schemas.openxmlformats.org/drawingml/2006/picture">
                <pic:pic>
                  <pic:nvPicPr>
                    <pic:cNvPr id="0" name="18-frs-developer-review.png"/>
                    <pic:cNvPicPr/>
                  </pic:nvPicPr>
                  <pic:blipFill>
                    <a:blip r:embed="rId13"/>
                    <a:stretch>
                      <a:fillRect/>
                    </a:stretch>
                  </pic:blipFill>
                  <pic:spPr>
                    <a:xfrm>
                      <a:off x="0" y="0"/>
                      <a:ext cx="5760720" cy="6813878"/>
                    </a:xfrm>
                    <a:prstGeom prst="rect"/>
                  </pic:spPr>
                </pic:pic>
              </a:graphicData>
            </a:graphic>
          </wp:inline>
        </w:drawing>
      </w:r>
    </w:p>
    <w:p>
      <w:pPr>
        <w:jc w:val="center"/>
      </w:pPr>
      <w:r>
        <w:rPr>
          <w:i/>
          <w:sz w:val="18"/>
        </w:rPr>
        <w:t>Figure. Developer Review Decision Flow</w:t>
      </w:r>
    </w:p>
    <w:p>
      <w:pPr>
        <w:pStyle w:val="Heading3"/>
      </w:pPr>
      <w:r>
        <w:t>4.6 Request More Information Flow</w:t>
      </w:r>
    </w:p>
    <w:p>
      <w:pPr>
        <w:jc w:val="center"/>
      </w:pPr>
      <w:r>
        <w:drawing>
          <wp:inline xmlns:a="http://schemas.openxmlformats.org/drawingml/2006/main" xmlns:pic="http://schemas.openxmlformats.org/drawingml/2006/picture">
            <wp:extent cx="5760720" cy="4204757"/>
            <wp:docPr id="6" name="Picture 6"/>
            <wp:cNvGraphicFramePr>
              <a:graphicFrameLocks noChangeAspect="1"/>
            </wp:cNvGraphicFramePr>
            <a:graphic>
              <a:graphicData uri="http://schemas.openxmlformats.org/drawingml/2006/picture">
                <pic:pic>
                  <pic:nvPicPr>
                    <pic:cNvPr id="0" name="19-frs-request-more-information.png"/>
                    <pic:cNvPicPr/>
                  </pic:nvPicPr>
                  <pic:blipFill>
                    <a:blip r:embed="rId14"/>
                    <a:stretch>
                      <a:fillRect/>
                    </a:stretch>
                  </pic:blipFill>
                  <pic:spPr>
                    <a:xfrm>
                      <a:off x="0" y="0"/>
                      <a:ext cx="5760720" cy="4204757"/>
                    </a:xfrm>
                    <a:prstGeom prst="rect"/>
                  </pic:spPr>
                </pic:pic>
              </a:graphicData>
            </a:graphic>
          </wp:inline>
        </w:drawing>
      </w:r>
    </w:p>
    <w:p>
      <w:pPr>
        <w:jc w:val="center"/>
      </w:pPr>
      <w:r>
        <w:rPr>
          <w:i/>
          <w:sz w:val="18"/>
        </w:rPr>
        <w:t>Figure. Request More Information Flow</w:t>
      </w:r>
    </w:p>
    <w:p>
      <w:pPr>
        <w:pStyle w:val="Heading3"/>
      </w:pPr>
      <w:r>
        <w:t>4.7 Resolve, Retest, Close, and Reopen Flow</w:t>
      </w:r>
    </w:p>
    <w:p>
      <w:pPr>
        <w:jc w:val="center"/>
      </w:pPr>
      <w:r>
        <w:drawing>
          <wp:inline xmlns:a="http://schemas.openxmlformats.org/drawingml/2006/main" xmlns:pic="http://schemas.openxmlformats.org/drawingml/2006/picture">
            <wp:extent cx="5760720" cy="12204039"/>
            <wp:docPr id="7" name="Picture 7"/>
            <wp:cNvGraphicFramePr>
              <a:graphicFrameLocks noChangeAspect="1"/>
            </wp:cNvGraphicFramePr>
            <a:graphic>
              <a:graphicData uri="http://schemas.openxmlformats.org/drawingml/2006/picture">
                <pic:pic>
                  <pic:nvPicPr>
                    <pic:cNvPr id="0" name="20-frs-resolve-retest-close-reopen.png"/>
                    <pic:cNvPicPr/>
                  </pic:nvPicPr>
                  <pic:blipFill>
                    <a:blip r:embed="rId15"/>
                    <a:stretch>
                      <a:fillRect/>
                    </a:stretch>
                  </pic:blipFill>
                  <pic:spPr>
                    <a:xfrm>
                      <a:off x="0" y="0"/>
                      <a:ext cx="5760720" cy="12204039"/>
                    </a:xfrm>
                    <a:prstGeom prst="rect"/>
                  </pic:spPr>
                </pic:pic>
              </a:graphicData>
            </a:graphic>
          </wp:inline>
        </w:drawing>
      </w:r>
    </w:p>
    <w:p>
      <w:pPr>
        <w:jc w:val="center"/>
      </w:pPr>
      <w:r>
        <w:rPr>
          <w:i/>
          <w:sz w:val="18"/>
        </w:rPr>
        <w:t>Figure. Resolve, Retest, Close, and Reopen Flow</w:t>
      </w:r>
    </w:p>
    <w:p>
      <w:pPr>
        <w:pStyle w:val="Heading3"/>
      </w:pPr>
      <w:r>
        <w:t>4.8 PM Monitoring and Escalation Flow</w:t>
      </w:r>
    </w:p>
    <w:p>
      <w:pPr>
        <w:jc w:val="center"/>
      </w:pPr>
      <w:r>
        <w:drawing>
          <wp:inline xmlns:a="http://schemas.openxmlformats.org/drawingml/2006/main" xmlns:pic="http://schemas.openxmlformats.org/drawingml/2006/picture">
            <wp:extent cx="5760720" cy="6553655"/>
            <wp:docPr id="8" name="Picture 8"/>
            <wp:cNvGraphicFramePr>
              <a:graphicFrameLocks noChangeAspect="1"/>
            </wp:cNvGraphicFramePr>
            <a:graphic>
              <a:graphicData uri="http://schemas.openxmlformats.org/drawingml/2006/picture">
                <pic:pic>
                  <pic:nvPicPr>
                    <pic:cNvPr id="0" name="21-frs-pm-monitoring.png"/>
                    <pic:cNvPicPr/>
                  </pic:nvPicPr>
                  <pic:blipFill>
                    <a:blip r:embed="rId16"/>
                    <a:stretch>
                      <a:fillRect/>
                    </a:stretch>
                  </pic:blipFill>
                  <pic:spPr>
                    <a:xfrm>
                      <a:off x="0" y="0"/>
                      <a:ext cx="5760720" cy="6553655"/>
                    </a:xfrm>
                    <a:prstGeom prst="rect"/>
                  </pic:spPr>
                </pic:pic>
              </a:graphicData>
            </a:graphic>
          </wp:inline>
        </w:drawing>
      </w:r>
    </w:p>
    <w:p>
      <w:pPr>
        <w:jc w:val="center"/>
      </w:pPr>
      <w:r>
        <w:rPr>
          <w:i/>
          <w:sz w:val="18"/>
        </w:rPr>
        <w:t>Figure. PM Monitoring and Escalation Flow</w:t>
      </w:r>
    </w:p>
    <w:p>
      <w:pPr>
        <w:pStyle w:val="Heading2"/>
      </w:pPr>
      <w:r>
        <w:t>5. Detailed Functional Requirements</w:t>
      </w:r>
    </w:p>
    <w:p>
      <w:pPr>
        <w:pStyle w:val="Heading3"/>
      </w:pPr>
      <w:r>
        <w:t>5.1 FRS-BUG-001 - Create Bug Report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Capture a structured defect report so the team can review, assign, process, and verify it.</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chooses to create a new bug after checking existing bugs or deciding no existing bug is suitable.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is authorized to create bugs; required value-help data is available; duplicate search has been performed or intentionally skipped with user decision.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enters title, description, priority, severity, environment, steps to reproduce, actual result, expected result, optional SAP Module, Application Component, Defect Category, optional testCaseRef, optional testRunRef, and optional evidence metadata; system validates required fields; user selects Developer or No suitable developer; system submits the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the user finds a similar open bug, the user follows, comments, or updates that existing bug instead of creating a new record.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Title, description, priority, severity, Application Component, Defect Category, steps to reproduce, actual result, expected result, and assignment decision are required for submit. SAP Module is optional.</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Selected Developer creates status Assigned. No suitable Developer creates status Pending Assignment.</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Create and assignment decision must be logged.</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Assigned bug creates a Developer notification record. Pending Assignment creates a PM or Tester queue notification record.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Bug is created with unique bugNumber; required fields block invalid submit; Assigned and Pending Assignment outcomes work; history log exists.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SRS-FR-BUG-001, SRS-FR-BUG-002, SRS-DATA-001, SRS-DATA-002.</w:t>
            </w:r>
          </w:p>
        </w:tc>
      </w:tr>
    </w:tbl>
    <w:p>
      <w:pPr>
        <w:pStyle w:val="Heading3"/>
      </w:pPr>
      <w:r>
        <w:t>5.2 FRS-BUG-002 - Check Existing Bugs and Duplicate Support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Reduce duplicate reports and guide users to existing bug records when appropriate.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starts bug creation or searches bug list.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list is accessible to the user according to authorization.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searches by title, keyword, status, priority, severity, SAP Module, Application Component, Defect Category, assignee, reporter, created date, or updated date; user reviews similar results; user decides whether to create new, follow existing open bug, or reopen/update closed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similar bug is found, user continues bug creation.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Reopen closed bug requires reason and authorized role.</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Existing open bug keeps its status unless a separate authorized action changes it. Closed bug can move to Reopened if allowed.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Reopen or duplicate-link action must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Search/filter works; user can avoid new duplicate; closed bug reopen path is controlled; duplicate link can be added when implemented.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SRS-FR-BUG-003, SRS-FR-BUG-004.</w:t>
            </w:r>
          </w:p>
        </w:tc>
      </w:tr>
    </w:tbl>
    <w:p>
      <w:pPr>
        <w:pStyle w:val="Heading3"/>
      </w:pPr>
      <w:r>
        <w:t>5.3 FRS-CLASS-001 - Classify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Classify the bug clearly for assignment and PM reporting.</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creates or edits a non-closed bug.</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Classification master data is active and available.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selects SAP Module if the bug belongs to a SAP business context; user selects Application Component; user selects Defect Category; system resolves Component Category.</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For pure IDTS bugs, SAP Module should remain empty.</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Application Component and Defect Category are required; Component Category must be an active valid pair; invalid pairs are rejected.</w:t>
            </w:r>
          </w:p>
        </w:tc>
      </w:tr>
      <w:tr>
        <w:tc>
          <w:tcPr>
            <w:tcW w:type="dxa" w:w="4986"/>
            <w:vAlign w:val="center"/>
          </w:tcPr>
          <w:p>
            <w:r/>
            <w:r>
              <w:rPr>
                <w:rFonts w:ascii="Arial" w:hAnsi="Arial"/>
                <w:b w:val="0"/>
                <w:sz w:val="18"/>
              </w:rPr>
              <w:t>UI behavior</w:t>
            </w:r>
          </w:p>
        </w:tc>
        <w:tc>
          <w:tcPr>
            <w:tcW w:type="dxa" w:w="4986"/>
            <w:vAlign w:val="center"/>
          </w:tcPr>
          <w:p>
            <w:r/>
            <w:r>
              <w:rPr>
                <w:rFonts w:ascii="Arial" w:hAnsi="Arial"/>
                <w:b w:val="0"/>
                <w:sz w:val="18"/>
              </w:rPr>
              <w:t>Application Component value help can be filtered by selected SAP Module; Defect Category value help can be filtered by Application Component.</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Classification changes do not automatically close or resolve a bug.</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Important classification changes must be logged, especially after Rejected follow-up.</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SAP Module, Application Component, and Defect Category are separate; invalid component/category pair is not accepted; Developer candidate list reflects selected classification.</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SRS-FR-CLASS-001 to SRS-FR-CLASS-005.</w:t>
            </w:r>
          </w:p>
        </w:tc>
      </w:tr>
    </w:tbl>
    <w:p>
      <w:pPr>
        <w:pStyle w:val="Heading3"/>
      </w:pPr>
      <w:r>
        <w:t>5.4 FRS-ASSIGN-001 - Filter and Assign Developer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Assign a bug to a suitable Developer using responsibility mapping.</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PM if direct assignment is approved.</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submits a bug or chooses Assign/Reassign.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has valid Application Component and Defect Category; Component Category can be resolved.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uses Component Category and optional SAP Module to filter active Developer Responsibilities; UI shows suitable Developer candidates; user selects one Developer; system assigns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Developer matches or all candidates are unsuitable, user selects No suitable developer.</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Selected Developer must have an active profile and active responsibility for the Component Category and optional SAP Module scope; one bug has one main assignee at a time.</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Assignment from New or Pending Assignment sets status Assigned. Reassignment keeps status meaningful to the current flow unless a specific allowed transition is chosen.</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Assign and reassign actions must log old assignee, new assignee, actor, timestamp, and reason when applicable.</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Assigned or reassigned Developer gets a notification record.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Candidate list is filtered; invalid assignee is rejected by backend; assignment creates history and notification records.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SRS-FR-ASSIGN-001, SRS-FR-ASSIGN-002.</w:t>
            </w:r>
          </w:p>
        </w:tc>
      </w:tr>
    </w:tbl>
    <w:p>
      <w:pPr>
        <w:pStyle w:val="Heading3"/>
      </w:pPr>
      <w:r>
        <w:t>5.5 FRS-ASSIGN-002 - Submit as Pending Assignment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Keep valid bugs visible when no suitable Developer is available.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submits a valid bug with No suitable developer.</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Required bug fields and classification are valid.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chooses No suitable developer; system submits bug; system sets status Pending Assignment; system sets nextProcessor to PM queue or Tester; system creates history and notification records.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or Tester later assigns a suitable Developer and moves bug to Assigned.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Pending Assignment is allowed only for valid bug reports, not as a way to bypass required fields.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New to Pending Assignment. Pending Assignment to Assigned when a suitable Developer is selected.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Pending Assignment entry and later assignment must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Bug is not lost; Pending Assignment appears in monitoring; follow-up assignment works.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SRS-FR-ASSIGN-003, SRS-FR-PM-003.</w:t>
            </w:r>
          </w:p>
        </w:tc>
      </w:tr>
    </w:tbl>
    <w:p>
      <w:pPr>
        <w:pStyle w:val="Heading3"/>
      </w:pPr>
      <w:r>
        <w:t>5.6 FRS-ASSIGN-003 - Reassign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Move responsibility to another Developer when the current assignment is unsuitable or capacity changes.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PM if direct reassignment is approved.</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chooses Reassign or handles rejected follow-up.</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not Closed or user has reopen authority; new Developer passes responsibility validation.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enters reason when required; user selects new Developer from filtered candidates; system updates assignee, nextProcessor, history, and notification records.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suitable Developer exists, user moves bug to Pending Assignment.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Reassign is an action/history event, not a primary status. Reason is required for rejected follow-up, wrong assignment, or PM escalation.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Status can remain Assigned/In Review/In Progress when only assignee changes; Rejected can move to Assigned or Pending Assignment after correction.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Old and new assignee are visible in history; new assignee is valid; Rejected follow-up cannot be left without owner.</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SRS-FR-ASSIGN-004, SRS-FR-STATUS-004.</w:t>
            </w:r>
          </w:p>
        </w:tc>
      </w:tr>
    </w:tbl>
    <w:p>
      <w:pPr>
        <w:pStyle w:val="Heading3"/>
      </w:pPr>
      <w:r>
        <w:t>5.7 FRS-DEV-001 - Developer Review, Progress, and Resolve</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Let Developer review and process assigned bugs without treating IDTS as a code fixing tool.</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opens My Assigned Bugs or receives notification.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assigned to Developer or Developer is otherwise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opens bug details; reviews classification, reproduction steps, evidence, comments, and history; starts review; adds note or comment; moves valid bug to In Progress; marks Resolved when response or resolution result is complete.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Developer requests more information or rejects unsuitable classification/assignment.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Developer cannot close bug directly in recommended MVP; Developer can only update assigned or authorized bugs.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 to In Review; In Review to In Progress; In Progress to Resolved.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Start review, progress, developer note, and resolved actions should be logged where meaningful.</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Status update or resolved event creates Tester/PM notification record when applicable.</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Developer can perform review flow; direct close is not available for Developer; history records status changes.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SRS-FR-STATUS-001, SRS-FR-STATUS-005.</w:t>
            </w:r>
          </w:p>
        </w:tc>
      </w:tr>
    </w:tbl>
    <w:p>
      <w:pPr>
        <w:pStyle w:val="Heading3"/>
      </w:pPr>
      <w:r>
        <w:t>5.8 FRS-INFO-001 - Request More Information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Prevent unclear bugs from being processed without enough information.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identifies missing or unclear information.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Assigned or In Review and Developer is assigned or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selects Request More Information; system requires reason; system sets status Need More Information; system sets nextProcessor to Tester; system writes history and notification record.</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Tester updates missing information and returns bug to Assigned or In Review.</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Reason is required; closed bugs cannot enter Need More Information without Reopen.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 or In Review to Need More Information; then Need More Information to Assigned or In Review after Tester action.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Reason is required; Tester can see required action; Developer can continue review after information is supplied.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SRS-FR-STATUS-002, SRS-FR-STATUS-009.</w:t>
            </w:r>
          </w:p>
        </w:tc>
      </w:tr>
    </w:tbl>
    <w:p>
      <w:pPr>
        <w:pStyle w:val="Heading3"/>
      </w:pPr>
      <w:r>
        <w:t>5.9 FRS-REJECT-001 - Reject Unsuitable Assignment or Classification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Give Developer a controlled rejection path without making Rejected a final state.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 then Tester or PM as follow-up owner.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determines the bug is wrongly classified, wrongly assigned, or outside responsibility.</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Assigned or In Review; Developer is assigned or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selects Reject; system requires rejection reason; system sets status Rejected; system sets nextProcessor to Tester or PM; system writes history and notification record; follow-up owner reviews reason, corrects classification or information, then reassigns to a suitable Developer or moves bug to Pending Assignment.</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comments or requests reassignment if PM direct reassignment is not approved.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Rejection reason is required; nextProcessor is required unless represented by a configured role queue; Rejected cannot transition directly to Closed; follow-up transition must be Assigned or Pending Assignment.</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Assigned/In Review to Rejected; Rejected to Assigned or Pending Assignment after correction.</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Reject reason, actor, old status, new status, and follow-up action must be logged.</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Tester and PM when applicable receive notification records.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Rejected bug is visible as a follow-up queue; reason is shown on Object Page; no rejected bug is left without owner/action.</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SRS-FR-STATUS-003, SRS-FR-STATUS-004, SRS-FR-STATUS-009.</w:t>
            </w:r>
          </w:p>
        </w:tc>
      </w:tr>
    </w:tbl>
    <w:p>
      <w:pPr>
        <w:pStyle w:val="Heading3"/>
      </w:pPr>
      <w:r>
        <w:t>5.10 FRS-STATUS-002 - Resolve, Retest, and Close</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Prevent bug closure before verification when retest is needed.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 Tester/PM.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marks a bug Resolved.</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is In Progress and Developer is assigned or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marks Resolved with note when needed; system sets nextProcessor to Tester/PM; Tester/PM sends bug to Retest Required if verification is needed; if retest passes, Tester/PM closes the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no retest is needed and result is accepted, Tester/PM can close directly from Resolved when rule allows.</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Developer should not close directly in recommended MVP. Close requires authorized Tester/PM.</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In Progress to Resolved; Resolved to Retest Required or Closed; Retest Required to Closed.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Resolve, retest, and close actions must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Resolved does not silently become Closed; retest pass closes; action history is visible.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SRS-FR-STATUS-006, SRS-FR-STATUS-007.</w:t>
            </w:r>
          </w:p>
        </w:tc>
      </w:tr>
    </w:tbl>
    <w:p>
      <w:pPr>
        <w:pStyle w:val="Heading3"/>
      </w:pPr>
      <w:r>
        <w:t>5.11 FRS-STATUS-003 - Reopen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Continue processing when a resolved or closed bug still exists.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Retest fails or user discovers the issue still exists after closure.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is authorized to reopen.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selects Reopen; system requires reason; system sets status Reopened; user updates information or assigns Developer; system logs history and notification.</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the bug is still under Retest Required, retest failure moves to Reopened.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Reopen reason is required; Closed bugs should not be freely edited without Reopen.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Resolved, Retest Required, or Closed to Reopened; Reopened to Assigned after reassignment.</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Reason is captured; processing can continue; history preserves closure and reopen path.</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SRS-FR-BUG-005, SRS-FR-STATUS-007.</w:t>
            </w:r>
          </w:p>
        </w:tc>
      </w:tr>
    </w:tbl>
    <w:p>
      <w:pPr>
        <w:pStyle w:val="Heading3"/>
      </w:pPr>
      <w:r>
        <w:t>5.12 FRS-STATUS-005 - Status Transition Validation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Ensure lifecycle consistency across UI and backend.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Any status-changing action or update.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Current bug status is known.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checks requested transition against the status transition matrix; system validates actor role and required reason; system rejects invalid transition with actionable error message.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escalation override can be considered only if explicitly approved later.</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Backend validation is authoritative; hidden Fiori actions do not replace backend checks.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Only allowed transitions persist.</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Invalid transitions fail; required reason is enforced; accepted transition logs history.</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SRS-FR-STATUS-008, SRS-NFR-INT-001.</w:t>
            </w:r>
          </w:p>
        </w:tc>
      </w:tr>
    </w:tbl>
    <w:p>
      <w:pPr>
        <w:pStyle w:val="Heading3"/>
      </w:pPr>
      <w:r>
        <w:t>5.13 FRS-NEXTP-001 - Maintain nextProcessor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Show who or which queue must act next.</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Bug creation, assignment, reassignment, status change, request information, reject, resolve, retest, close, or reopen.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Action and target status are known.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sets nextProcessor using mapping rules: Assigned/In Review/In Progress to assigned Developer; Need More Information to Tester; Pending Assignment to PM queue or Tester; Rejected to Tester or PM; Resolved/Retest Required to Tester/PM; Closed to empty.</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may override nextProcessor only for escalation or exceptional reassignment if approved.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nextProcessor does not replace assignee. Rejected must have nextProcessor or a configured follow-up queue.</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Important nextProcessor changes should be logged.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My Action Items and PM queues reflect nextProcessor; Closed has no nextProcessor; Rejected has a clear follow-up owner.</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SRS-FR-STATUS-009.</w:t>
            </w:r>
          </w:p>
        </w:tc>
      </w:tr>
    </w:tbl>
    <w:p>
      <w:pPr>
        <w:pStyle w:val="Heading3"/>
      </w:pPr>
      <w:r>
        <w:t>5.14 FRS-COMMENT-001 - Add Comments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Keep collaboration attached to a bug record.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Authorized user adds a comment on Object Page.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can view the bug and is allowed to comment.</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enters comment content; system stores content, author, author role, timestamp, and bug reference; system displays comment list in chronological order.</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Comment can support a later status action, but status must be changed through a separate authorized action.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Comment content is required; comment cannot directly change status.</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Comment event may be logged when audit policy requires.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Comment is visible on bug; status remains unchanged; author and timestamp are stored.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SRS-FR-COMMENT-001, SRS-FR-COMMENT-002.</w:t>
            </w:r>
          </w:p>
        </w:tc>
      </w:tr>
    </w:tbl>
    <w:p>
      <w:pPr>
        <w:pStyle w:val="Heading3"/>
      </w:pPr>
      <w:r>
        <w:t>5.15 FRS-AUDIT-001 - History Log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Preserve traceability of important changes.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Important business action occurs.</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and actor context are available.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records bug reference, actor, actor role, timestamp, action type, old value, new value, and reason when applicable.</w:t>
            </w:r>
          </w:p>
        </w:tc>
      </w:tr>
      <w:tr>
        <w:tc>
          <w:tcPr>
            <w:tcW w:type="dxa" w:w="4986"/>
            <w:vAlign w:val="center"/>
          </w:tcPr>
          <w:p>
            <w:r/>
            <w:r>
              <w:rPr>
                <w:rFonts w:ascii="Arial" w:hAnsi="Arial"/>
                <w:b w:val="0"/>
                <w:sz w:val="18"/>
              </w:rPr>
              <w:t>Logged actions</w:t>
            </w:r>
          </w:p>
        </w:tc>
        <w:tc>
          <w:tcPr>
            <w:tcW w:type="dxa" w:w="4986"/>
            <w:vAlign w:val="center"/>
          </w:tcPr>
          <w:p>
            <w:r/>
            <w:r>
              <w:rPr>
                <w:rFonts w:ascii="Arial" w:hAnsi="Arial"/>
                <w:b w:val="0"/>
                <w:sz w:val="18"/>
              </w:rPr>
              <w:t>Create, edit, assign, reassign, status change, request information, reject, resolve, retest, close, reopen, comment event, attachment event, notification event.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Reason is required for reject, reopen, request information, and selected reassignment cases.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History answers who did what, when, and why where applicable.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SRS-FR-AUDIT-001, SRS-FR-AUDIT-002.</w:t>
            </w:r>
          </w:p>
        </w:tc>
      </w:tr>
    </w:tbl>
    <w:p>
      <w:r>
        <w:t>The deployed audit baseline keeps one exact action code for each bound workflow command so a reviewer can trace the OData request to the stored event without translating it into a broader legacy label:</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Bound OData action</w:t>
            </w:r>
          </w:p>
        </w:tc>
        <w:tc>
          <w:tcPr>
            <w:tcW w:type="dxa" w:w="4986"/>
            <w:shd w:val="clear" w:fill="D9E2F3"/>
            <w:vAlign w:val="center"/>
          </w:tcPr>
          <w:p>
            <w:r/>
            <w:r>
              <w:rPr>
                <w:rFonts w:ascii="Arial" w:hAnsi="Arial"/>
                <w:b/>
                <w:sz w:val="18"/>
              </w:rPr>
              <w:t>Persisted exact ActionTypes.code</w:t>
            </w:r>
          </w:p>
        </w:tc>
      </w:tr>
      <w:tr>
        <w:tc>
          <w:tcPr>
            <w:tcW w:type="dxa" w:w="4986"/>
            <w:vAlign w:val="center"/>
          </w:tcPr>
          <w:p>
            <w:r/>
            <w:r>
              <w:rPr>
                <w:rFonts w:ascii="Arial" w:hAnsi="Arial"/>
                <w:b w:val="0"/>
                <w:sz w:val="18"/>
              </w:rPr>
              <w:t>assignToDeveloper</w:t>
            </w:r>
          </w:p>
        </w:tc>
        <w:tc>
          <w:tcPr>
            <w:tcW w:type="dxa" w:w="4986"/>
            <w:vAlign w:val="center"/>
          </w:tcPr>
          <w:p>
            <w:r/>
            <w:r>
              <w:rPr>
                <w:rFonts w:ascii="Arial" w:hAnsi="Arial"/>
                <w:b w:val="0"/>
                <w:sz w:val="18"/>
              </w:rPr>
              <w:t>ASSIGN_TO_DEVELOPER</w:t>
            </w:r>
          </w:p>
        </w:tc>
      </w:tr>
      <w:tr>
        <w:tc>
          <w:tcPr>
            <w:tcW w:type="dxa" w:w="4986"/>
            <w:vAlign w:val="center"/>
          </w:tcPr>
          <w:p>
            <w:r/>
            <w:r>
              <w:rPr>
                <w:rFonts w:ascii="Arial" w:hAnsi="Arial"/>
                <w:b w:val="0"/>
                <w:sz w:val="18"/>
              </w:rPr>
              <w:t>moveToPendingAssignment</w:t>
            </w:r>
          </w:p>
        </w:tc>
        <w:tc>
          <w:tcPr>
            <w:tcW w:type="dxa" w:w="4986"/>
            <w:vAlign w:val="center"/>
          </w:tcPr>
          <w:p>
            <w:r/>
            <w:r>
              <w:rPr>
                <w:rFonts w:ascii="Arial" w:hAnsi="Arial"/>
                <w:b w:val="0"/>
                <w:sz w:val="18"/>
              </w:rPr>
              <w:t>MOVE_TO_PENDING_ASSIGNMENT</w:t>
            </w:r>
          </w:p>
        </w:tc>
      </w:tr>
      <w:tr>
        <w:tc>
          <w:tcPr>
            <w:tcW w:type="dxa" w:w="4986"/>
            <w:vAlign w:val="center"/>
          </w:tcPr>
          <w:p>
            <w:r/>
            <w:r>
              <w:rPr>
                <w:rFonts w:ascii="Arial" w:hAnsi="Arial"/>
                <w:b w:val="0"/>
                <w:sz w:val="18"/>
              </w:rPr>
              <w:t>markInReview</w:t>
            </w:r>
          </w:p>
        </w:tc>
        <w:tc>
          <w:tcPr>
            <w:tcW w:type="dxa" w:w="4986"/>
            <w:vAlign w:val="center"/>
          </w:tcPr>
          <w:p>
            <w:r/>
            <w:r>
              <w:rPr>
                <w:rFonts w:ascii="Arial" w:hAnsi="Arial"/>
                <w:b w:val="0"/>
                <w:sz w:val="18"/>
              </w:rPr>
              <w:t>MARK_IN_REVIEW</w:t>
            </w:r>
          </w:p>
        </w:tc>
      </w:tr>
      <w:tr>
        <w:tc>
          <w:tcPr>
            <w:tcW w:type="dxa" w:w="4986"/>
            <w:vAlign w:val="center"/>
          </w:tcPr>
          <w:p>
            <w:r/>
            <w:r>
              <w:rPr>
                <w:rFonts w:ascii="Arial" w:hAnsi="Arial"/>
                <w:b w:val="0"/>
                <w:sz w:val="18"/>
              </w:rPr>
              <w:t>requestMoreInformation</w:t>
            </w:r>
          </w:p>
        </w:tc>
        <w:tc>
          <w:tcPr>
            <w:tcW w:type="dxa" w:w="4986"/>
            <w:vAlign w:val="center"/>
          </w:tcPr>
          <w:p>
            <w:r/>
            <w:r>
              <w:rPr>
                <w:rFonts w:ascii="Arial" w:hAnsi="Arial"/>
                <w:b w:val="0"/>
                <w:sz w:val="18"/>
              </w:rPr>
              <w:t>REQUEST_MORE_INFORMATION</w:t>
            </w:r>
          </w:p>
        </w:tc>
      </w:tr>
      <w:tr>
        <w:tc>
          <w:tcPr>
            <w:tcW w:type="dxa" w:w="4986"/>
            <w:vAlign w:val="center"/>
          </w:tcPr>
          <w:p>
            <w:r/>
            <w:r>
              <w:rPr>
                <w:rFonts w:ascii="Arial" w:hAnsi="Arial"/>
                <w:b w:val="0"/>
                <w:sz w:val="18"/>
              </w:rPr>
              <w:t>resubmitToDeveloper</w:t>
            </w:r>
          </w:p>
        </w:tc>
        <w:tc>
          <w:tcPr>
            <w:tcW w:type="dxa" w:w="4986"/>
            <w:vAlign w:val="center"/>
          </w:tcPr>
          <w:p>
            <w:r/>
            <w:r>
              <w:rPr>
                <w:rFonts w:ascii="Arial" w:hAnsi="Arial"/>
                <w:b w:val="0"/>
                <w:sz w:val="18"/>
              </w:rPr>
              <w:t>RESUBMIT_TO_DEVELOPER</w:t>
            </w:r>
          </w:p>
        </w:tc>
      </w:tr>
      <w:tr>
        <w:tc>
          <w:tcPr>
            <w:tcW w:type="dxa" w:w="4986"/>
            <w:vAlign w:val="center"/>
          </w:tcPr>
          <w:p>
            <w:r/>
            <w:r>
              <w:rPr>
                <w:rFonts w:ascii="Arial" w:hAnsi="Arial"/>
                <w:b w:val="0"/>
                <w:sz w:val="18"/>
              </w:rPr>
              <w:t>rejectBug</w:t>
            </w:r>
          </w:p>
        </w:tc>
        <w:tc>
          <w:tcPr>
            <w:tcW w:type="dxa" w:w="4986"/>
            <w:vAlign w:val="center"/>
          </w:tcPr>
          <w:p>
            <w:r/>
            <w:r>
              <w:rPr>
                <w:rFonts w:ascii="Arial" w:hAnsi="Arial"/>
                <w:b w:val="0"/>
                <w:sz w:val="18"/>
              </w:rPr>
              <w:t>REJECT_BUG</w:t>
            </w:r>
          </w:p>
        </w:tc>
      </w:tr>
      <w:tr>
        <w:tc>
          <w:tcPr>
            <w:tcW w:type="dxa" w:w="4986"/>
            <w:vAlign w:val="center"/>
          </w:tcPr>
          <w:p>
            <w:r/>
            <w:r>
              <w:rPr>
                <w:rFonts w:ascii="Arial" w:hAnsi="Arial"/>
                <w:b w:val="0"/>
                <w:sz w:val="18"/>
              </w:rPr>
              <w:t>startProgress</w:t>
            </w:r>
          </w:p>
        </w:tc>
        <w:tc>
          <w:tcPr>
            <w:tcW w:type="dxa" w:w="4986"/>
            <w:vAlign w:val="center"/>
          </w:tcPr>
          <w:p>
            <w:r/>
            <w:r>
              <w:rPr>
                <w:rFonts w:ascii="Arial" w:hAnsi="Arial"/>
                <w:b w:val="0"/>
                <w:sz w:val="18"/>
              </w:rPr>
              <w:t>START_PROGRESS</w:t>
            </w:r>
          </w:p>
        </w:tc>
      </w:tr>
      <w:tr>
        <w:tc>
          <w:tcPr>
            <w:tcW w:type="dxa" w:w="4986"/>
            <w:vAlign w:val="center"/>
          </w:tcPr>
          <w:p>
            <w:r/>
            <w:r>
              <w:rPr>
                <w:rFonts w:ascii="Arial" w:hAnsi="Arial"/>
                <w:b w:val="0"/>
                <w:sz w:val="18"/>
              </w:rPr>
              <w:t>resolveBug</w:t>
            </w:r>
          </w:p>
        </w:tc>
        <w:tc>
          <w:tcPr>
            <w:tcW w:type="dxa" w:w="4986"/>
            <w:vAlign w:val="center"/>
          </w:tcPr>
          <w:p>
            <w:r/>
            <w:r>
              <w:rPr>
                <w:rFonts w:ascii="Arial" w:hAnsi="Arial"/>
                <w:b w:val="0"/>
                <w:sz w:val="18"/>
              </w:rPr>
              <w:t>RESOLVE_BUG</w:t>
            </w:r>
          </w:p>
        </w:tc>
      </w:tr>
      <w:tr>
        <w:tc>
          <w:tcPr>
            <w:tcW w:type="dxa" w:w="4986"/>
            <w:vAlign w:val="center"/>
          </w:tcPr>
          <w:p>
            <w:r/>
            <w:r>
              <w:rPr>
                <w:rFonts w:ascii="Arial" w:hAnsi="Arial"/>
                <w:b w:val="0"/>
                <w:sz w:val="18"/>
              </w:rPr>
              <w:t>sendToRetest</w:t>
            </w:r>
          </w:p>
        </w:tc>
        <w:tc>
          <w:tcPr>
            <w:tcW w:type="dxa" w:w="4986"/>
            <w:vAlign w:val="center"/>
          </w:tcPr>
          <w:p>
            <w:r/>
            <w:r>
              <w:rPr>
                <w:rFonts w:ascii="Arial" w:hAnsi="Arial"/>
                <w:b w:val="0"/>
                <w:sz w:val="18"/>
              </w:rPr>
              <w:t>SEND_TO_RETEST</w:t>
            </w:r>
          </w:p>
        </w:tc>
      </w:tr>
      <w:tr>
        <w:tc>
          <w:tcPr>
            <w:tcW w:type="dxa" w:w="4986"/>
            <w:vAlign w:val="center"/>
          </w:tcPr>
          <w:p>
            <w:r/>
            <w:r>
              <w:rPr>
                <w:rFonts w:ascii="Arial" w:hAnsi="Arial"/>
                <w:b w:val="0"/>
                <w:sz w:val="18"/>
              </w:rPr>
              <w:t>closeBug</w:t>
            </w:r>
          </w:p>
        </w:tc>
        <w:tc>
          <w:tcPr>
            <w:tcW w:type="dxa" w:w="4986"/>
            <w:vAlign w:val="center"/>
          </w:tcPr>
          <w:p>
            <w:r/>
            <w:r>
              <w:rPr>
                <w:rFonts w:ascii="Arial" w:hAnsi="Arial"/>
                <w:b w:val="0"/>
                <w:sz w:val="18"/>
              </w:rPr>
              <w:t>CLOSE_BUG</w:t>
            </w:r>
          </w:p>
        </w:tc>
      </w:tr>
      <w:tr>
        <w:tc>
          <w:tcPr>
            <w:tcW w:type="dxa" w:w="4986"/>
            <w:vAlign w:val="center"/>
          </w:tcPr>
          <w:p>
            <w:r/>
            <w:r>
              <w:rPr>
                <w:rFonts w:ascii="Arial" w:hAnsi="Arial"/>
                <w:b w:val="0"/>
                <w:sz w:val="18"/>
              </w:rPr>
              <w:t>reopenBug</w:t>
            </w:r>
          </w:p>
        </w:tc>
        <w:tc>
          <w:tcPr>
            <w:tcW w:type="dxa" w:w="4986"/>
            <w:vAlign w:val="center"/>
          </w:tcPr>
          <w:p>
            <w:r/>
            <w:r>
              <w:rPr>
                <w:rFonts w:ascii="Arial" w:hAnsi="Arial"/>
                <w:b w:val="0"/>
                <w:sz w:val="18"/>
              </w:rPr>
              <w:t>REOPEN_BUG</w:t>
            </w:r>
          </w:p>
        </w:tc>
      </w:tr>
    </w:tbl>
    <w:p>
      <w:r>
        <w:t>The runtime also preserves legacy action categories for historical compatibility. New exact-command evidence must use the exact code above.</w:t>
      </w:r>
    </w:p>
    <w:p>
      <w:pPr>
        <w:pStyle w:val="Heading3"/>
      </w:pPr>
      <w:r>
        <w:t>5.16 FRS-NOTIF-001 - Notification Records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Record important in-app events and queue applicable email delivery without hardcoding provider configuration.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Assignment, reassignment, request information, bug update, rejection, overdue, resolved, retest, or close event.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Event and recipient can be determined.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persists the in-app Notifications row; when email applies, it creates a separate NotificationDeliveries outbox row with a safe payload snapshot. A background worker processes eligible rows and records attempts, retry timing, delivery status, locking, and sanitized failure details.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email configuration is disabled, incomplete, or the provider fails, the outbox row records a safe unavailable/failed state; the original bug action, in-app notification, and history remain committed.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No private endpoint, SMTP credential, token, or service key is stored in repo code or copied into user-visible failure text. Historical notifications are not automatically backfilled into the email outbox.</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In-app notification records exist for important events; applicable email events create separate outbox rows; worker failure does not roll back workflow state; Rejected notification makes the follow-up owner clear. Live-provider success requires separate approved evidence.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SRS-FR-NOTIF-001, SRS-FR-NOTIF-002.</w:t>
            </w:r>
          </w:p>
        </w:tc>
      </w:tr>
    </w:tbl>
    <w:p>
      <w:pPr>
        <w:pStyle w:val="Heading3"/>
      </w:pPr>
      <w:r>
        <w:t>5.17 FRS-PM-001 - PM Monitoring Dashboard and Lists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Help PM monitor risk, workload, overdue items, and ownership.</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PM opens List Report, dashboard, or monitoring view.</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PM has monitoring authorization.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PM filters bugs by status, priority, severity, SAP Module, Application Component, Defect Category, assignee, nextProcessor, created date, updated date, due date, and overdue state; PM reviews workload by Developer and queues.</w:t>
            </w:r>
          </w:p>
        </w:tc>
      </w:tr>
      <w:tr>
        <w:tc>
          <w:tcPr>
            <w:tcW w:type="dxa" w:w="4986"/>
            <w:vAlign w:val="center"/>
          </w:tcPr>
          <w:p>
            <w:r/>
            <w:r>
              <w:rPr>
                <w:rFonts w:ascii="Arial" w:hAnsi="Arial"/>
                <w:b w:val="0"/>
                <w:sz w:val="18"/>
              </w:rPr>
              <w:t>Queue views</w:t>
            </w:r>
          </w:p>
        </w:tc>
        <w:tc>
          <w:tcPr>
            <w:tcW w:type="dxa" w:w="4986"/>
            <w:vAlign w:val="center"/>
          </w:tcPr>
          <w:p>
            <w:r/>
            <w:r>
              <w:rPr>
                <w:rFonts w:ascii="Arial" w:hAnsi="Arial"/>
                <w:b w:val="0"/>
                <w:sz w:val="18"/>
              </w:rPr>
              <w:t>All Bugs, My Action Items, Pending Assignment, Need More Information, Retest Required, Rejected Follow-up, Overdue, My Assigned Bugs where relevant.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PM can view all bugs; PM direct reassignment depends on authorization decision.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PM can identify unassigned, overdue, rejected, stale, and overloaded areas quickly.</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SRS-FR-PM-001, SRS-FR-PM-002, SRS-FR-PM-003.</w:t>
            </w:r>
          </w:p>
        </w:tc>
      </w:tr>
    </w:tbl>
    <w:p>
      <w:pPr>
        <w:pStyle w:val="Heading3"/>
      </w:pPr>
      <w:r>
        <w:t>5.18 FRS-PM-002 - PM Reassignment Request or Direct Reassignment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Let PM coordinate reassignment without replacing Developer or Tester responsibilities.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PM detects overload, overdue, wrong assignment, repeated rejection, or long pending item.</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PM can view the bug.</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PM comments or requests reassignment; Tester performs reassignment by default.</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If mentor/team approves PM direct reassignment, PM selects a valid Developer and system logs the action.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PM direct reassignment must be explicitly enabled in authorization; reason should be recorded.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PM can coordinate reassignment; ownership stays clear; action is logged.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SRS-FR-PM-004.</w:t>
            </w:r>
          </w:p>
        </w:tc>
      </w:tr>
    </w:tbl>
    <w:p>
      <w:pPr>
        <w:pStyle w:val="Heading3"/>
      </w:pPr>
      <w:r>
        <w:t>5.19 FRS-UX-001 - Fiori List Report and Object Page Behavior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Provide a usable enterprise UI aligned with Fiori Elements.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opens bug management app.</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OData service and annotations are available.</w:t>
            </w:r>
          </w:p>
        </w:tc>
      </w:tr>
      <w:tr>
        <w:tc>
          <w:tcPr>
            <w:tcW w:type="dxa" w:w="4986"/>
            <w:vAlign w:val="center"/>
          </w:tcPr>
          <w:p>
            <w:r/>
            <w:r>
              <w:rPr>
                <w:rFonts w:ascii="Arial" w:hAnsi="Arial"/>
                <w:b w:val="0"/>
                <w:sz w:val="18"/>
              </w:rPr>
              <w:t>List Report behavior</w:t>
            </w:r>
          </w:p>
        </w:tc>
        <w:tc>
          <w:tcPr>
            <w:tcW w:type="dxa" w:w="4986"/>
            <w:vAlign w:val="center"/>
          </w:tcPr>
          <w:p>
            <w:r/>
            <w:r>
              <w:rPr>
                <w:rFonts w:ascii="Arial" w:hAnsi="Arial"/>
                <w:b w:val="0"/>
                <w:sz w:val="18"/>
              </w:rPr>
              <w:t>Show bugNumber, title, status, priority, severity, SAP Module, Application Component, Defect Category, assignee, nextProcessor, due date, updatedAt, and createdAt where available.</w:t>
            </w:r>
          </w:p>
        </w:tc>
      </w:tr>
      <w:tr>
        <w:tc>
          <w:tcPr>
            <w:tcW w:type="dxa" w:w="4986"/>
            <w:vAlign w:val="center"/>
          </w:tcPr>
          <w:p>
            <w:r/>
            <w:r>
              <w:rPr>
                <w:rFonts w:ascii="Arial" w:hAnsi="Arial"/>
                <w:b w:val="0"/>
                <w:sz w:val="18"/>
              </w:rPr>
              <w:t>Filter behavior</w:t>
            </w:r>
          </w:p>
        </w:tc>
        <w:tc>
          <w:tcPr>
            <w:tcW w:type="dxa" w:w="4986"/>
            <w:vAlign w:val="center"/>
          </w:tcPr>
          <w:p>
            <w:r/>
            <w:r>
              <w:rPr>
                <w:rFonts w:ascii="Arial" w:hAnsi="Arial"/>
                <w:b w:val="0"/>
                <w:sz w:val="18"/>
              </w:rPr>
              <w:t>Support status, priority, severity, SAP Module, Application Component, Defect Category, assignee, nextProcessor, overdue, created date, and updated date filters.</w:t>
            </w:r>
          </w:p>
        </w:tc>
      </w:tr>
      <w:tr>
        <w:tc>
          <w:tcPr>
            <w:tcW w:type="dxa" w:w="4986"/>
            <w:vAlign w:val="center"/>
          </w:tcPr>
          <w:p>
            <w:r/>
            <w:r>
              <w:rPr>
                <w:rFonts w:ascii="Arial" w:hAnsi="Arial"/>
                <w:b w:val="0"/>
                <w:sz w:val="18"/>
              </w:rPr>
              <w:t>Object Page sections</w:t>
            </w:r>
          </w:p>
        </w:tc>
        <w:tc>
          <w:tcPr>
            <w:tcW w:type="dxa" w:w="4986"/>
            <w:vAlign w:val="center"/>
          </w:tcPr>
          <w:p>
            <w:r/>
            <w:r>
              <w:rPr>
                <w:rFonts w:ascii="Arial" w:hAnsi="Arial"/>
                <w:b w:val="0"/>
                <w:sz w:val="18"/>
              </w:rPr>
              <w:t>Bug Details, Classification, Assignment, Reproduction, Comments, Attachments, History, Notifications, PM Monitoring.</w:t>
            </w:r>
          </w:p>
        </w:tc>
      </w:tr>
      <w:tr>
        <w:tc>
          <w:tcPr>
            <w:tcW w:type="dxa" w:w="4986"/>
            <w:vAlign w:val="center"/>
          </w:tcPr>
          <w:p>
            <w:r/>
            <w:r>
              <w:rPr>
                <w:rFonts w:ascii="Arial" w:hAnsi="Arial"/>
                <w:b w:val="0"/>
                <w:sz w:val="18"/>
              </w:rPr>
              <w:t>Message behavior</w:t>
            </w:r>
          </w:p>
        </w:tc>
        <w:tc>
          <w:tcPr>
            <w:tcW w:type="dxa" w:w="4986"/>
            <w:vAlign w:val="center"/>
          </w:tcPr>
          <w:p>
            <w:r/>
            <w:r>
              <w:rPr>
                <w:rFonts w:ascii="Arial" w:hAnsi="Arial"/>
                <w:b w:val="0"/>
                <w:sz w:val="18"/>
              </w:rPr>
              <w:t>Use inline value states for missing fields, Message Popover for multiple issues, and confirmation dialogs for Reject, Reopen, Close, or destructive attachment removal.</w:t>
            </w:r>
          </w:p>
        </w:tc>
      </w:tr>
      <w:tr>
        <w:tc>
          <w:tcPr>
            <w:tcW w:type="dxa" w:w="4986"/>
            <w:vAlign w:val="center"/>
          </w:tcPr>
          <w:p>
            <w:r/>
            <w:r>
              <w:rPr>
                <w:rFonts w:ascii="Arial" w:hAnsi="Arial"/>
                <w:b w:val="0"/>
                <w:sz w:val="18"/>
              </w:rPr>
              <w:t>Semantic colors</w:t>
            </w:r>
          </w:p>
        </w:tc>
        <w:tc>
          <w:tcPr>
            <w:tcW w:type="dxa" w:w="4986"/>
            <w:vAlign w:val="center"/>
          </w:tcPr>
          <w:p>
            <w:r/>
            <w:r>
              <w:rPr>
                <w:rFonts w:ascii="Arial" w:hAnsi="Arial"/>
                <w:b w:val="0"/>
                <w:sz w:val="18"/>
              </w:rPr>
              <w:t>Positive for Resolved and Closed; Critical for Pending Assignment, Need More Information, Retest Required, Overdue; Negative for Rejected; Neutral or Information for New, Assigned, In Review, In Progress, Reopened.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Core fields are visible; dependent value helps are understandable; actions match role/status; Rejected details are visible; validation messages are actionable.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SRS-IF-UI-001 to SRS-IF-UI-005, SRS-NFR-USE-001, SRS-NFR-USE-002.</w:t>
            </w:r>
          </w:p>
        </w:tc>
      </w:tr>
    </w:tbl>
    <w:p>
      <w:pPr>
        <w:pStyle w:val="Heading3"/>
      </w:pPr>
      <w:r>
        <w:t>5.20 FRS-AI-001 - Optional Advisory AI Review</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Help users inspect similar bugs, possible classification, concise bug/handoff context, and Smart Assign rationale without automating a business decision.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An authorized user explicitly requests an AI suggestion from its relevant business context.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The feature is enabled with approved private configuration, or the UI presents the safe unavailable state while the normal workflow remains usable.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CAP allowlists and sanitizes permitted bug/context fields; the provider or deterministic fallback returns normalized advisory output; the UI renders it as text requiring review; source-linked output is stored as a safe AiSuggestions audit row in PENDING. The user may review or ignore the displayed advice and may separately use a normal authorized CAP action. The current service does not persist accept/reject/ignore review outcomes.</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AI cannot bypass role authorization, catalog validation, Developer Responsibility eligibility, required reasons, or status transition rules. It does not create, edit, assign, reclassify, or transition bugs.</w:t>
            </w:r>
          </w:p>
        </w:tc>
      </w:tr>
      <w:tr>
        <w:tc>
          <w:tcPr>
            <w:tcW w:type="dxa" w:w="4986"/>
            <w:vAlign w:val="center"/>
          </w:tcPr>
          <w:p>
            <w:r/>
            <w:r>
              <w:rPr>
                <w:rFonts w:ascii="Arial" w:hAnsi="Arial"/>
                <w:b w:val="0"/>
                <w:sz w:val="18"/>
              </w:rPr>
              <w:t>Data protection</w:t>
            </w:r>
          </w:p>
        </w:tc>
        <w:tc>
          <w:tcPr>
            <w:tcW w:type="dxa" w:w="4986"/>
            <w:vAlign w:val="center"/>
          </w:tcPr>
          <w:p>
            <w:r/>
            <w:r>
              <w:rPr>
                <w:rFonts w:ascii="Arial" w:hAnsi="Arial"/>
                <w:b w:val="0"/>
                <w:sz w:val="18"/>
              </w:rPr>
              <w:t>Do not send credentials, tokens, private endpoints, attachment bytes, raw logs, or unnecessary personal data. Do not persist raw prompts/provider responses or hidden reasoning.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Disabled, timeout, malformed, unsafe, and provider-failure states are safe; suggestions are visibly review-only; AiSuggestions contains normalized review/audit data but no raw prompt, raw provider response, attachment content, credential, or hidden reasoning; normal non-AI workflow continues.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SRS-FR-AI-001 to SRS-FR-AI-004; docs/ba/discovery/idts-63-ai-assistance-guardrails.md.</w:t>
            </w:r>
          </w:p>
        </w:tc>
      </w:tr>
    </w:tbl>
    <w:p>
      <w:pPr>
        <w:pStyle w:val="Heading3"/>
      </w:pPr>
      <w:r>
        <w:t>5.21 FRS-AUTH-001 - Login and Server-Managed Session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Authenticate an IDTS user and establish the identity and business role used by backend authorization.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submits email and password to AuthService.login, then sends the returned bearer token to BugService.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An active internal user exists with a password hash and one supported business role.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The service verifies the password hash, creates an expiring AuthSessions row, returns a bearer token, and maps later requests to the internal user and role.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Invalid credentials, expired/revoked session, missing token, or unsupported role returns an authorization error without revealing credential detail.</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Plain-text passwords and bearer tokens are not written to logs or source; backend role checks remain authoritative even when the UI hides an action.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Valid login creates a usable session; invalid or expired sessions are rejected; authorized actions reflect the mapped Tester, Developer, or PM role.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SRS-FR-AUTH-001, SRS-FR-AUTH-002.</w:t>
            </w:r>
          </w:p>
        </w:tc>
      </w:tr>
    </w:tbl>
    <w:p>
      <w:pPr>
        <w:pStyle w:val="Heading3"/>
      </w:pPr>
      <w:r>
        <w:t>5.22 FRS-ATTACH-001 - Draft Attachment Handling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Let authorized users attach, download, and remove defect evidence while keeping storage configuration private.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 where authorized.</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uploads or manages evidence in the bug draft or persisted bug context.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The bug/draft context is available and the configured attachment storage is reachable.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The attachment composition stores metadata and routes content to local DB fallback or the externally bound object store for shared QA.</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Storage failure returns an actionable error and does not falsely report a completed upload; the normal non-attachment bug workflow remains available where valid.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File metadata and authorization are validated; storage credentials/references are not exposed to AI provider payloads or committed to source.</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Authorized upload/download works in the configured profile; unauthorized access is rejected; storage failure is visible and does not fabricate evidence.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SRS-DATA-007, SRS-IF-UI-003.</w:t>
            </w:r>
          </w:p>
        </w:tc>
      </w:tr>
    </w:tbl>
    <w:p>
      <w:pPr>
        <w:pStyle w:val="Heading2"/>
      </w:pPr>
      <w:r>
        <w:t>6. Functional Data Rules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Rule ID</w:t>
            </w:r>
          </w:p>
        </w:tc>
        <w:tc>
          <w:tcPr>
            <w:tcW w:type="dxa" w:w="4986"/>
            <w:shd w:val="clear" w:fill="D9E2F3"/>
            <w:vAlign w:val="center"/>
          </w:tcPr>
          <w:p>
            <w:r/>
            <w:r>
              <w:rPr>
                <w:rFonts w:ascii="Arial" w:hAnsi="Arial"/>
                <w:b/>
                <w:sz w:val="18"/>
              </w:rPr>
              <w:t>Rule</w:t>
            </w:r>
          </w:p>
        </w:tc>
      </w:tr>
      <w:tr>
        <w:tc>
          <w:tcPr>
            <w:tcW w:type="dxa" w:w="4986"/>
            <w:vAlign w:val="center"/>
          </w:tcPr>
          <w:p>
            <w:r/>
            <w:r>
              <w:rPr>
                <w:rFonts w:ascii="Arial" w:hAnsi="Arial"/>
                <w:b w:val="0"/>
                <w:sz w:val="18"/>
              </w:rPr>
              <w:t>FRS-DATA-RULE-001</w:t>
            </w:r>
          </w:p>
        </w:tc>
        <w:tc>
          <w:tcPr>
            <w:tcW w:type="dxa" w:w="4986"/>
            <w:vAlign w:val="center"/>
          </w:tcPr>
          <w:p>
            <w:r/>
            <w:r>
              <w:rPr>
                <w:rFonts w:ascii="Arial" w:hAnsi="Arial"/>
                <w:b w:val="0"/>
                <w:sz w:val="18"/>
              </w:rPr>
              <w:t>Application Component and Defect Category are required for submit.</w:t>
            </w:r>
          </w:p>
        </w:tc>
      </w:tr>
      <w:tr>
        <w:tc>
          <w:tcPr>
            <w:tcW w:type="dxa" w:w="4986"/>
            <w:vAlign w:val="center"/>
          </w:tcPr>
          <w:p>
            <w:r/>
            <w:r>
              <w:rPr>
                <w:rFonts w:ascii="Arial" w:hAnsi="Arial"/>
                <w:b w:val="0"/>
                <w:sz w:val="18"/>
              </w:rPr>
              <w:t>FRS-DATA-RULE-002</w:t>
            </w:r>
          </w:p>
        </w:tc>
        <w:tc>
          <w:tcPr>
            <w:tcW w:type="dxa" w:w="4986"/>
            <w:vAlign w:val="center"/>
          </w:tcPr>
          <w:p>
            <w:r/>
            <w:r>
              <w:rPr>
                <w:rFonts w:ascii="Arial" w:hAnsi="Arial"/>
                <w:b w:val="0"/>
                <w:sz w:val="18"/>
              </w:rPr>
              <w:t>SAP Module is optional and must not be confused with IDTS Application Component.</w:t>
            </w:r>
          </w:p>
        </w:tc>
      </w:tr>
      <w:tr>
        <w:tc>
          <w:tcPr>
            <w:tcW w:type="dxa" w:w="4986"/>
            <w:vAlign w:val="center"/>
          </w:tcPr>
          <w:p>
            <w:r/>
            <w:r>
              <w:rPr>
                <w:rFonts w:ascii="Arial" w:hAnsi="Arial"/>
                <w:b w:val="0"/>
                <w:sz w:val="18"/>
              </w:rPr>
              <w:t>FRS-DATA-RULE-003</w:t>
            </w:r>
          </w:p>
        </w:tc>
        <w:tc>
          <w:tcPr>
            <w:tcW w:type="dxa" w:w="4986"/>
            <w:vAlign w:val="center"/>
          </w:tcPr>
          <w:p>
            <w:r/>
            <w:r>
              <w:rPr>
                <w:rFonts w:ascii="Arial" w:hAnsi="Arial"/>
                <w:b w:val="0"/>
                <w:sz w:val="18"/>
              </w:rPr>
              <w:t>Component Category must be a valid active pair.</w:t>
            </w:r>
          </w:p>
        </w:tc>
      </w:tr>
      <w:tr>
        <w:tc>
          <w:tcPr>
            <w:tcW w:type="dxa" w:w="4986"/>
            <w:vAlign w:val="center"/>
          </w:tcPr>
          <w:p>
            <w:r/>
            <w:r>
              <w:rPr>
                <w:rFonts w:ascii="Arial" w:hAnsi="Arial"/>
                <w:b w:val="0"/>
                <w:sz w:val="18"/>
              </w:rPr>
              <w:t>FRS-DATA-RULE-004</w:t>
            </w:r>
          </w:p>
        </w:tc>
        <w:tc>
          <w:tcPr>
            <w:tcW w:type="dxa" w:w="4986"/>
            <w:vAlign w:val="center"/>
          </w:tcPr>
          <w:p>
            <w:r/>
            <w:r>
              <w:rPr>
                <w:rFonts w:ascii="Arial" w:hAnsi="Arial"/>
                <w:b w:val="0"/>
                <w:sz w:val="18"/>
              </w:rPr>
              <w:t>Developer candidate must have active Developer Responsibility.</w:t>
            </w:r>
          </w:p>
        </w:tc>
      </w:tr>
      <w:tr>
        <w:tc>
          <w:tcPr>
            <w:tcW w:type="dxa" w:w="4986"/>
            <w:vAlign w:val="center"/>
          </w:tcPr>
          <w:p>
            <w:r/>
            <w:r>
              <w:rPr>
                <w:rFonts w:ascii="Arial" w:hAnsi="Arial"/>
                <w:b w:val="0"/>
                <w:sz w:val="18"/>
              </w:rPr>
              <w:t>FRS-DATA-RULE-005</w:t>
            </w:r>
          </w:p>
        </w:tc>
        <w:tc>
          <w:tcPr>
            <w:tcW w:type="dxa" w:w="4986"/>
            <w:vAlign w:val="center"/>
          </w:tcPr>
          <w:p>
            <w:r/>
            <w:r>
              <w:rPr>
                <w:rFonts w:ascii="Arial" w:hAnsi="Arial"/>
                <w:b w:val="0"/>
                <w:sz w:val="18"/>
              </w:rPr>
              <w:t>A bug has one main assignee at a time.</w:t>
            </w:r>
          </w:p>
        </w:tc>
      </w:tr>
      <w:tr>
        <w:tc>
          <w:tcPr>
            <w:tcW w:type="dxa" w:w="4986"/>
            <w:vAlign w:val="center"/>
          </w:tcPr>
          <w:p>
            <w:r/>
            <w:r>
              <w:rPr>
                <w:rFonts w:ascii="Arial" w:hAnsi="Arial"/>
                <w:b w:val="0"/>
                <w:sz w:val="18"/>
              </w:rPr>
              <w:t>FRS-DATA-RULE-006</w:t>
            </w:r>
          </w:p>
        </w:tc>
        <w:tc>
          <w:tcPr>
            <w:tcW w:type="dxa" w:w="4986"/>
            <w:vAlign w:val="center"/>
          </w:tcPr>
          <w:p>
            <w:r/>
            <w:r>
              <w:rPr>
                <w:rFonts w:ascii="Arial" w:hAnsi="Arial"/>
                <w:b w:val="0"/>
                <w:sz w:val="18"/>
              </w:rPr>
              <w:t>Rejected requires reason and nextProcessor or configured follow-up queue.</w:t>
            </w:r>
          </w:p>
        </w:tc>
      </w:tr>
      <w:tr>
        <w:tc>
          <w:tcPr>
            <w:tcW w:type="dxa" w:w="4986"/>
            <w:vAlign w:val="center"/>
          </w:tcPr>
          <w:p>
            <w:r/>
            <w:r>
              <w:rPr>
                <w:rFonts w:ascii="Arial" w:hAnsi="Arial"/>
                <w:b w:val="0"/>
                <w:sz w:val="18"/>
              </w:rPr>
              <w:t>FRS-DATA-RULE-007</w:t>
            </w:r>
          </w:p>
        </w:tc>
        <w:tc>
          <w:tcPr>
            <w:tcW w:type="dxa" w:w="4986"/>
            <w:vAlign w:val="center"/>
          </w:tcPr>
          <w:p>
            <w:r/>
            <w:r>
              <w:rPr>
                <w:rFonts w:ascii="Arial" w:hAnsi="Arial"/>
                <w:b w:val="0"/>
                <w:sz w:val="18"/>
              </w:rPr>
              <w:t>Closed bugs are not freely edited; Reopen is used when processing continues.</w:t>
            </w:r>
          </w:p>
        </w:tc>
      </w:tr>
      <w:tr>
        <w:tc>
          <w:tcPr>
            <w:tcW w:type="dxa" w:w="4986"/>
            <w:vAlign w:val="center"/>
          </w:tcPr>
          <w:p>
            <w:r/>
            <w:r>
              <w:rPr>
                <w:rFonts w:ascii="Arial" w:hAnsi="Arial"/>
                <w:b w:val="0"/>
                <w:sz w:val="18"/>
              </w:rPr>
              <w:t>FRS-DATA-RULE-008</w:t>
            </w:r>
          </w:p>
        </w:tc>
        <w:tc>
          <w:tcPr>
            <w:tcW w:type="dxa" w:w="4986"/>
            <w:vAlign w:val="center"/>
          </w:tcPr>
          <w:p>
            <w:r/>
            <w:r>
              <w:rPr>
                <w:rFonts w:ascii="Arial" w:hAnsi="Arial"/>
                <w:b w:val="0"/>
                <w:sz w:val="18"/>
              </w:rPr>
              <w:t>Comments do not directly change status.</w:t>
            </w:r>
          </w:p>
        </w:tc>
      </w:tr>
      <w:tr>
        <w:tc>
          <w:tcPr>
            <w:tcW w:type="dxa" w:w="4986"/>
            <w:vAlign w:val="center"/>
          </w:tcPr>
          <w:p>
            <w:r/>
            <w:r>
              <w:rPr>
                <w:rFonts w:ascii="Arial" w:hAnsi="Arial"/>
                <w:b w:val="0"/>
                <w:sz w:val="18"/>
              </w:rPr>
              <w:t>FRS-DATA-RULE-009</w:t>
            </w:r>
          </w:p>
        </w:tc>
        <w:tc>
          <w:tcPr>
            <w:tcW w:type="dxa" w:w="4986"/>
            <w:vAlign w:val="center"/>
          </w:tcPr>
          <w:p>
            <w:r/>
            <w:r>
              <w:rPr>
                <w:rFonts w:ascii="Arial" w:hAnsi="Arial"/>
                <w:b w:val="0"/>
                <w:sz w:val="18"/>
              </w:rPr>
              <w:t>History log must record important actions.</w:t>
            </w:r>
          </w:p>
        </w:tc>
      </w:tr>
      <w:tr>
        <w:tc>
          <w:tcPr>
            <w:tcW w:type="dxa" w:w="4986"/>
            <w:vAlign w:val="center"/>
          </w:tcPr>
          <w:p>
            <w:r/>
            <w:r>
              <w:rPr>
                <w:rFonts w:ascii="Arial" w:hAnsi="Arial"/>
                <w:b w:val="0"/>
                <w:sz w:val="18"/>
              </w:rPr>
              <w:t>FRS-DATA-RULE-010</w:t>
            </w:r>
          </w:p>
        </w:tc>
        <w:tc>
          <w:tcPr>
            <w:tcW w:type="dxa" w:w="4986"/>
            <w:vAlign w:val="center"/>
          </w:tcPr>
          <w:p>
            <w:r/>
            <w:r>
              <w:rPr>
                <w:rFonts w:ascii="Arial" w:hAnsi="Arial"/>
                <w:b w:val="0"/>
                <w:sz w:val="18"/>
              </w:rPr>
              <w:t>AuthSessions stores session lifecycle data without plain-text passwords; revoked or expired sessions cannot authorize BugService requests.</w:t>
            </w:r>
          </w:p>
        </w:tc>
      </w:tr>
      <w:tr>
        <w:tc>
          <w:tcPr>
            <w:tcW w:type="dxa" w:w="4986"/>
            <w:vAlign w:val="center"/>
          </w:tcPr>
          <w:p>
            <w:r/>
            <w:r>
              <w:rPr>
                <w:rFonts w:ascii="Arial" w:hAnsi="Arial"/>
                <w:b w:val="0"/>
                <w:sz w:val="18"/>
              </w:rPr>
              <w:t>FRS-DATA-RULE-011</w:t>
            </w:r>
          </w:p>
        </w:tc>
        <w:tc>
          <w:tcPr>
            <w:tcW w:type="dxa" w:w="4986"/>
            <w:vAlign w:val="center"/>
          </w:tcPr>
          <w:p>
            <w:r/>
            <w:r>
              <w:rPr>
                <w:rFonts w:ascii="Arial" w:hAnsi="Arial"/>
                <w:b w:val="0"/>
                <w:sz w:val="18"/>
              </w:rPr>
              <w:t>NotificationDeliveries is a separate email outbox; provider failure does not roll back the originating bug action or in-app notification.</w:t>
            </w:r>
          </w:p>
        </w:tc>
      </w:tr>
      <w:tr>
        <w:tc>
          <w:tcPr>
            <w:tcW w:type="dxa" w:w="4986"/>
            <w:vAlign w:val="center"/>
          </w:tcPr>
          <w:p>
            <w:r/>
            <w:r>
              <w:rPr>
                <w:rFonts w:ascii="Arial" w:hAnsi="Arial"/>
                <w:b w:val="0"/>
                <w:sz w:val="18"/>
              </w:rPr>
              <w:t>FRS-DATA-RULE-012</w:t>
            </w:r>
          </w:p>
        </w:tc>
        <w:tc>
          <w:tcPr>
            <w:tcW w:type="dxa" w:w="4986"/>
            <w:vAlign w:val="center"/>
          </w:tcPr>
          <w:p>
            <w:r/>
            <w:r>
              <w:rPr>
                <w:rFonts w:ascii="Arial" w:hAnsi="Arial"/>
                <w:b w:val="0"/>
                <w:sz w:val="18"/>
              </w:rPr>
              <w:t>AiSuggestions stores only normalized safe suggestion/audit data. Current source-linked rows are persisted in PENDING; no public action currently persists ACCEPTED, REJECTED, or IGNORED.</w:t>
            </w:r>
          </w:p>
        </w:tc>
      </w:tr>
      <w:tr>
        <w:tc>
          <w:tcPr>
            <w:tcW w:type="dxa" w:w="4986"/>
            <w:vAlign w:val="center"/>
          </w:tcPr>
          <w:p>
            <w:r/>
            <w:r>
              <w:rPr>
                <w:rFonts w:ascii="Arial" w:hAnsi="Arial"/>
                <w:b w:val="0"/>
                <w:sz w:val="18"/>
              </w:rPr>
              <w:t>FRS-DATA-RULE-013</w:t>
            </w:r>
          </w:p>
        </w:tc>
        <w:tc>
          <w:tcPr>
            <w:tcW w:type="dxa" w:w="4986"/>
            <w:vAlign w:val="center"/>
          </w:tcPr>
          <w:p>
            <w:r/>
            <w:r>
              <w:rPr>
                <w:rFonts w:ascii="Arial" w:hAnsi="Arial"/>
                <w:b w:val="0"/>
                <w:sz w:val="18"/>
              </w:rPr>
              <w:t>Attachment content uses the configured DB fallback or external object store; no storage credential is exposed in user-visible data.</w:t>
            </w:r>
          </w:p>
        </w:tc>
      </w:tr>
    </w:tbl>
    <w:p>
      <w:pPr>
        <w:pStyle w:val="Heading2"/>
      </w:pPr>
      <w:r>
        <w:t>7. Acceptance Criteria Summary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Functional Area</w:t>
            </w:r>
          </w:p>
        </w:tc>
        <w:tc>
          <w:tcPr>
            <w:tcW w:type="dxa" w:w="4986"/>
            <w:shd w:val="clear" w:fill="D9E2F3"/>
            <w:vAlign w:val="center"/>
          </w:tcPr>
          <w:p>
            <w:r/>
            <w:r>
              <w:rPr>
                <w:rFonts w:ascii="Arial" w:hAnsi="Arial"/>
                <w:b/>
                <w:sz w:val="18"/>
              </w:rPr>
              <w:t>Minimum acceptance criteria</w:t>
            </w:r>
          </w:p>
        </w:tc>
      </w:tr>
      <w:tr>
        <w:tc>
          <w:tcPr>
            <w:tcW w:type="dxa" w:w="4986"/>
            <w:vAlign w:val="center"/>
          </w:tcPr>
          <w:p>
            <w:r/>
            <w:r>
              <w:rPr>
                <w:rFonts w:ascii="Arial" w:hAnsi="Arial"/>
                <w:b w:val="0"/>
                <w:sz w:val="18"/>
              </w:rPr>
              <w:t>Bug creation</w:t>
            </w:r>
          </w:p>
        </w:tc>
        <w:tc>
          <w:tcPr>
            <w:tcW w:type="dxa" w:w="4986"/>
            <w:vAlign w:val="center"/>
          </w:tcPr>
          <w:p>
            <w:r/>
            <w:r>
              <w:rPr>
                <w:rFonts w:ascii="Arial" w:hAnsi="Arial"/>
                <w:b w:val="0"/>
                <w:sz w:val="18"/>
              </w:rPr>
              <w:t>Valid bug can be submitted as Assigned or Pending Assignment; invalid bug is blocked.</w:t>
            </w:r>
          </w:p>
        </w:tc>
      </w:tr>
      <w:tr>
        <w:tc>
          <w:tcPr>
            <w:tcW w:type="dxa" w:w="4986"/>
            <w:vAlign w:val="center"/>
          </w:tcPr>
          <w:p>
            <w:r/>
            <w:r>
              <w:rPr>
                <w:rFonts w:ascii="Arial" w:hAnsi="Arial"/>
                <w:b w:val="0"/>
                <w:sz w:val="18"/>
              </w:rPr>
              <w:t>Duplicate support</w:t>
            </w:r>
          </w:p>
        </w:tc>
        <w:tc>
          <w:tcPr>
            <w:tcW w:type="dxa" w:w="4986"/>
            <w:vAlign w:val="center"/>
          </w:tcPr>
          <w:p>
            <w:r/>
            <w:r>
              <w:rPr>
                <w:rFonts w:ascii="Arial" w:hAnsi="Arial"/>
                <w:b w:val="0"/>
                <w:sz w:val="18"/>
              </w:rPr>
              <w:t>User can search existing bugs before creation and decide follow, reopen, or create new.</w:t>
            </w:r>
          </w:p>
        </w:tc>
      </w:tr>
      <w:tr>
        <w:tc>
          <w:tcPr>
            <w:tcW w:type="dxa" w:w="4986"/>
            <w:vAlign w:val="center"/>
          </w:tcPr>
          <w:p>
            <w:r/>
            <w:r>
              <w:rPr>
                <w:rFonts w:ascii="Arial" w:hAnsi="Arial"/>
                <w:b w:val="0"/>
                <w:sz w:val="18"/>
              </w:rPr>
              <w:t>Classification</w:t>
            </w:r>
          </w:p>
        </w:tc>
        <w:tc>
          <w:tcPr>
            <w:tcW w:type="dxa" w:w="4986"/>
            <w:vAlign w:val="center"/>
          </w:tcPr>
          <w:p>
            <w:r/>
            <w:r>
              <w:rPr>
                <w:rFonts w:ascii="Arial" w:hAnsi="Arial"/>
                <w:b w:val="0"/>
                <w:sz w:val="18"/>
              </w:rPr>
              <w:t>Required classification fields and valid pair rules work.</w:t>
            </w:r>
          </w:p>
        </w:tc>
      </w:tr>
      <w:tr>
        <w:tc>
          <w:tcPr>
            <w:tcW w:type="dxa" w:w="4986"/>
            <w:vAlign w:val="center"/>
          </w:tcPr>
          <w:p>
            <w:r/>
            <w:r>
              <w:rPr>
                <w:rFonts w:ascii="Arial" w:hAnsi="Arial"/>
                <w:b w:val="0"/>
                <w:sz w:val="18"/>
              </w:rPr>
              <w:t>Assignment</w:t>
            </w:r>
          </w:p>
        </w:tc>
        <w:tc>
          <w:tcPr>
            <w:tcW w:type="dxa" w:w="4986"/>
            <w:vAlign w:val="center"/>
          </w:tcPr>
          <w:p>
            <w:r/>
            <w:r>
              <w:rPr>
                <w:rFonts w:ascii="Arial" w:hAnsi="Arial"/>
                <w:b w:val="0"/>
                <w:sz w:val="18"/>
              </w:rPr>
              <w:t>Developer list filters by responsibility and rejects invalid assignee.</w:t>
            </w:r>
          </w:p>
        </w:tc>
      </w:tr>
      <w:tr>
        <w:tc>
          <w:tcPr>
            <w:tcW w:type="dxa" w:w="4986"/>
            <w:vAlign w:val="center"/>
          </w:tcPr>
          <w:p>
            <w:r/>
            <w:r>
              <w:rPr>
                <w:rFonts w:ascii="Arial" w:hAnsi="Arial"/>
                <w:b w:val="0"/>
                <w:sz w:val="18"/>
              </w:rPr>
              <w:t>Pending Assignment</w:t>
            </w:r>
          </w:p>
        </w:tc>
        <w:tc>
          <w:tcPr>
            <w:tcW w:type="dxa" w:w="4986"/>
            <w:vAlign w:val="center"/>
          </w:tcPr>
          <w:p>
            <w:r/>
            <w:r>
              <w:rPr>
                <w:rFonts w:ascii="Arial" w:hAnsi="Arial"/>
                <w:b w:val="0"/>
                <w:sz w:val="18"/>
              </w:rPr>
              <w:t>Queue is visible to PM/Tester and can later be assigned.</w:t>
            </w:r>
          </w:p>
        </w:tc>
      </w:tr>
      <w:tr>
        <w:tc>
          <w:tcPr>
            <w:tcW w:type="dxa" w:w="4986"/>
            <w:vAlign w:val="center"/>
          </w:tcPr>
          <w:p>
            <w:r/>
            <w:r>
              <w:rPr>
                <w:rFonts w:ascii="Arial" w:hAnsi="Arial"/>
                <w:b w:val="0"/>
                <w:sz w:val="18"/>
              </w:rPr>
              <w:t>Developer review</w:t>
            </w:r>
          </w:p>
        </w:tc>
        <w:tc>
          <w:tcPr>
            <w:tcW w:type="dxa" w:w="4986"/>
            <w:vAlign w:val="center"/>
          </w:tcPr>
          <w:p>
            <w:r/>
            <w:r>
              <w:rPr>
                <w:rFonts w:ascii="Arial" w:hAnsi="Arial"/>
                <w:b w:val="0"/>
                <w:sz w:val="18"/>
              </w:rPr>
              <w:t>Developer can review, request information, reject, progress, and resolve.</w:t>
            </w:r>
          </w:p>
        </w:tc>
      </w:tr>
      <w:tr>
        <w:tc>
          <w:tcPr>
            <w:tcW w:type="dxa" w:w="4986"/>
            <w:vAlign w:val="center"/>
          </w:tcPr>
          <w:p>
            <w:r/>
            <w:r>
              <w:rPr>
                <w:rFonts w:ascii="Arial" w:hAnsi="Arial"/>
                <w:b w:val="0"/>
                <w:sz w:val="18"/>
              </w:rPr>
              <w:t>Rejected follow-up</w:t>
            </w:r>
          </w:p>
        </w:tc>
        <w:tc>
          <w:tcPr>
            <w:tcW w:type="dxa" w:w="4986"/>
            <w:vAlign w:val="center"/>
          </w:tcPr>
          <w:p>
            <w:r/>
            <w:r>
              <w:rPr>
                <w:rFonts w:ascii="Arial" w:hAnsi="Arial"/>
                <w:b w:val="0"/>
                <w:sz w:val="18"/>
              </w:rPr>
              <w:t>Rejected bug always has reason, nextProcessor, history, notification, and follow-up transition.</w:t>
            </w:r>
          </w:p>
        </w:tc>
      </w:tr>
      <w:tr>
        <w:tc>
          <w:tcPr>
            <w:tcW w:type="dxa" w:w="4986"/>
            <w:vAlign w:val="center"/>
          </w:tcPr>
          <w:p>
            <w:r/>
            <w:r>
              <w:rPr>
                <w:rFonts w:ascii="Arial" w:hAnsi="Arial"/>
                <w:b w:val="0"/>
                <w:sz w:val="18"/>
              </w:rPr>
              <w:t>Retest and closure</w:t>
            </w:r>
          </w:p>
        </w:tc>
        <w:tc>
          <w:tcPr>
            <w:tcW w:type="dxa" w:w="4986"/>
            <w:vAlign w:val="center"/>
          </w:tcPr>
          <w:p>
            <w:r/>
            <w:r>
              <w:rPr>
                <w:rFonts w:ascii="Arial" w:hAnsi="Arial"/>
                <w:b w:val="0"/>
                <w:sz w:val="18"/>
              </w:rPr>
              <w:t>Resolved bug can go to Retest Required; pass closes; fail reopens.</w:t>
            </w:r>
          </w:p>
        </w:tc>
      </w:tr>
      <w:tr>
        <w:tc>
          <w:tcPr>
            <w:tcW w:type="dxa" w:w="4986"/>
            <w:vAlign w:val="center"/>
          </w:tcPr>
          <w:p>
            <w:r/>
            <w:r>
              <w:rPr>
                <w:rFonts w:ascii="Arial" w:hAnsi="Arial"/>
                <w:b w:val="0"/>
                <w:sz w:val="18"/>
              </w:rPr>
              <w:t>Comments</w:t>
            </w:r>
          </w:p>
        </w:tc>
        <w:tc>
          <w:tcPr>
            <w:tcW w:type="dxa" w:w="4986"/>
            <w:vAlign w:val="center"/>
          </w:tcPr>
          <w:p>
            <w:r/>
            <w:r>
              <w:rPr>
                <w:rFonts w:ascii="Arial" w:hAnsi="Arial"/>
                <w:b w:val="0"/>
                <w:sz w:val="18"/>
              </w:rPr>
              <w:t>Comment stores author, role, timestamp, and content without status change.</w:t>
            </w:r>
          </w:p>
        </w:tc>
      </w:tr>
      <w:tr>
        <w:tc>
          <w:tcPr>
            <w:tcW w:type="dxa" w:w="4986"/>
            <w:vAlign w:val="center"/>
          </w:tcPr>
          <w:p>
            <w:r/>
            <w:r>
              <w:rPr>
                <w:rFonts w:ascii="Arial" w:hAnsi="Arial"/>
                <w:b w:val="0"/>
                <w:sz w:val="18"/>
              </w:rPr>
              <w:t>History</w:t>
            </w:r>
          </w:p>
        </w:tc>
        <w:tc>
          <w:tcPr>
            <w:tcW w:type="dxa" w:w="4986"/>
            <w:vAlign w:val="center"/>
          </w:tcPr>
          <w:p>
            <w:r/>
            <w:r>
              <w:rPr>
                <w:rFonts w:ascii="Arial" w:hAnsi="Arial"/>
                <w:b w:val="0"/>
                <w:sz w:val="18"/>
              </w:rPr>
              <w:t>Important actions show actor, time, old/new value, and reason where applicable.</w:t>
            </w:r>
          </w:p>
        </w:tc>
      </w:tr>
      <w:tr>
        <w:tc>
          <w:tcPr>
            <w:tcW w:type="dxa" w:w="4986"/>
            <w:vAlign w:val="center"/>
          </w:tcPr>
          <w:p>
            <w:r/>
            <w:r>
              <w:rPr>
                <w:rFonts w:ascii="Arial" w:hAnsi="Arial"/>
                <w:b w:val="0"/>
                <w:sz w:val="18"/>
              </w:rPr>
              <w:t>Notifications</w:t>
            </w:r>
          </w:p>
        </w:tc>
        <w:tc>
          <w:tcPr>
            <w:tcW w:type="dxa" w:w="4986"/>
            <w:vAlign w:val="center"/>
          </w:tcPr>
          <w:p>
            <w:r/>
            <w:r>
              <w:rPr>
                <w:rFonts w:ascii="Arial" w:hAnsi="Arial"/>
                <w:b w:val="0"/>
                <w:sz w:val="18"/>
              </w:rPr>
              <w:t>In-app event records and applicable email-outbox rows exist without hardcoded external endpoints; provider failure does not roll back the workflow.</w:t>
            </w:r>
          </w:p>
        </w:tc>
      </w:tr>
      <w:tr>
        <w:tc>
          <w:tcPr>
            <w:tcW w:type="dxa" w:w="4986"/>
            <w:vAlign w:val="center"/>
          </w:tcPr>
          <w:p>
            <w:r/>
            <w:r>
              <w:rPr>
                <w:rFonts w:ascii="Arial" w:hAnsi="Arial"/>
                <w:b w:val="0"/>
                <w:sz w:val="18"/>
              </w:rPr>
              <w:t>Authentication</w:t>
            </w:r>
          </w:p>
        </w:tc>
        <w:tc>
          <w:tcPr>
            <w:tcW w:type="dxa" w:w="4986"/>
            <w:vAlign w:val="center"/>
          </w:tcPr>
          <w:p>
            <w:r/>
            <w:r>
              <w:rPr>
                <w:rFonts w:ascii="Arial" w:hAnsi="Arial"/>
                <w:b w:val="0"/>
                <w:sz w:val="18"/>
              </w:rPr>
              <w:t>Valid login creates an expiring server-managed session; invalid, expired, or revoked sessions cannot authorize BugService requests.</w:t>
            </w:r>
          </w:p>
        </w:tc>
      </w:tr>
      <w:tr>
        <w:tc>
          <w:tcPr>
            <w:tcW w:type="dxa" w:w="4986"/>
            <w:vAlign w:val="center"/>
          </w:tcPr>
          <w:p>
            <w:r/>
            <w:r>
              <w:rPr>
                <w:rFonts w:ascii="Arial" w:hAnsi="Arial"/>
                <w:b w:val="0"/>
                <w:sz w:val="18"/>
              </w:rPr>
              <w:t>Attachments</w:t>
            </w:r>
          </w:p>
        </w:tc>
        <w:tc>
          <w:tcPr>
            <w:tcW w:type="dxa" w:w="4986"/>
            <w:vAlign w:val="center"/>
          </w:tcPr>
          <w:p>
            <w:r/>
            <w:r>
              <w:rPr>
                <w:rFonts w:ascii="Arial" w:hAnsi="Arial"/>
                <w:b w:val="0"/>
                <w:sz w:val="18"/>
              </w:rPr>
              <w:t>Authorized users can manage evidence in the configured profile; storage failure is visible and does not create false evidence.</w:t>
            </w:r>
          </w:p>
        </w:tc>
      </w:tr>
      <w:tr>
        <w:tc>
          <w:tcPr>
            <w:tcW w:type="dxa" w:w="4986"/>
            <w:vAlign w:val="center"/>
          </w:tcPr>
          <w:p>
            <w:r/>
            <w:r>
              <w:rPr>
                <w:rFonts w:ascii="Arial" w:hAnsi="Arial"/>
                <w:b w:val="0"/>
                <w:sz w:val="18"/>
              </w:rPr>
              <w:t>PM monitoring</w:t>
            </w:r>
          </w:p>
        </w:tc>
        <w:tc>
          <w:tcPr>
            <w:tcW w:type="dxa" w:w="4986"/>
            <w:vAlign w:val="center"/>
          </w:tcPr>
          <w:p>
            <w:r/>
            <w:r>
              <w:rPr>
                <w:rFonts w:ascii="Arial" w:hAnsi="Arial"/>
                <w:b w:val="0"/>
                <w:sz w:val="18"/>
              </w:rPr>
              <w:t>PM can identify workload, overdue, pending, rejected, retest, and nextProcessor queues.</w:t>
            </w:r>
          </w:p>
        </w:tc>
      </w:tr>
      <w:tr>
        <w:tc>
          <w:tcPr>
            <w:tcW w:type="dxa" w:w="4986"/>
            <w:vAlign w:val="center"/>
          </w:tcPr>
          <w:p>
            <w:r/>
            <w:r>
              <w:rPr>
                <w:rFonts w:ascii="Arial" w:hAnsi="Arial"/>
                <w:b w:val="0"/>
                <w:sz w:val="18"/>
              </w:rPr>
              <w:t>Advisory AI</w:t>
            </w:r>
          </w:p>
        </w:tc>
        <w:tc>
          <w:tcPr>
            <w:tcW w:type="dxa" w:w="4986"/>
            <w:vAlign w:val="center"/>
          </w:tcPr>
          <w:p>
            <w:r/>
            <w:r>
              <w:rPr>
                <w:rFonts w:ascii="Arial" w:hAnsi="Arial"/>
                <w:b w:val="0"/>
                <w:sz w:val="18"/>
              </w:rPr>
              <w:t>Suggestions remain optional, review-only, safe on failure, and cannot mutate the bug.</w:t>
            </w:r>
          </w:p>
        </w:tc>
      </w:tr>
    </w:tbl>
    <w:p>
      <w:pPr>
        <w:pStyle w:val="Heading2"/>
      </w:pPr>
      <w:r>
        <w:t>8. Traceability to SRS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FRS ID</w:t>
            </w:r>
          </w:p>
        </w:tc>
        <w:tc>
          <w:tcPr>
            <w:tcW w:type="dxa" w:w="4986"/>
            <w:shd w:val="clear" w:fill="D9E2F3"/>
            <w:vAlign w:val="center"/>
          </w:tcPr>
          <w:p>
            <w:r/>
            <w:r>
              <w:rPr>
                <w:rFonts w:ascii="Arial" w:hAnsi="Arial"/>
                <w:b/>
                <w:sz w:val="18"/>
              </w:rPr>
              <w:t>Related SRS IDs</w:t>
            </w:r>
          </w:p>
        </w:tc>
      </w:tr>
      <w:tr>
        <w:tc>
          <w:tcPr>
            <w:tcW w:type="dxa" w:w="4986"/>
            <w:vAlign w:val="center"/>
          </w:tcPr>
          <w:p>
            <w:r/>
            <w:r>
              <w:rPr>
                <w:rFonts w:ascii="Arial" w:hAnsi="Arial"/>
                <w:b w:val="0"/>
                <w:sz w:val="18"/>
              </w:rPr>
              <w:t>FRS-BUG-001</w:t>
            </w:r>
          </w:p>
        </w:tc>
        <w:tc>
          <w:tcPr>
            <w:tcW w:type="dxa" w:w="4986"/>
            <w:vAlign w:val="center"/>
          </w:tcPr>
          <w:p>
            <w:r/>
            <w:r>
              <w:rPr>
                <w:rFonts w:ascii="Arial" w:hAnsi="Arial"/>
                <w:b w:val="0"/>
                <w:sz w:val="18"/>
              </w:rPr>
              <w:t>SRS-FR-BUG-001, SRS-FR-BUG-002, SRS-DATA-001, SRS-DATA-002</w:t>
            </w:r>
          </w:p>
        </w:tc>
      </w:tr>
      <w:tr>
        <w:tc>
          <w:tcPr>
            <w:tcW w:type="dxa" w:w="4986"/>
            <w:vAlign w:val="center"/>
          </w:tcPr>
          <w:p>
            <w:r/>
            <w:r>
              <w:rPr>
                <w:rFonts w:ascii="Arial" w:hAnsi="Arial"/>
                <w:b w:val="0"/>
                <w:sz w:val="18"/>
              </w:rPr>
              <w:t>FRS-BUG-002</w:t>
            </w:r>
          </w:p>
        </w:tc>
        <w:tc>
          <w:tcPr>
            <w:tcW w:type="dxa" w:w="4986"/>
            <w:vAlign w:val="center"/>
          </w:tcPr>
          <w:p>
            <w:r/>
            <w:r>
              <w:rPr>
                <w:rFonts w:ascii="Arial" w:hAnsi="Arial"/>
                <w:b w:val="0"/>
                <w:sz w:val="18"/>
              </w:rPr>
              <w:t>SRS-FR-BUG-003, SRS-FR-BUG-004</w:t>
            </w:r>
          </w:p>
        </w:tc>
      </w:tr>
      <w:tr>
        <w:tc>
          <w:tcPr>
            <w:tcW w:type="dxa" w:w="4986"/>
            <w:vAlign w:val="center"/>
          </w:tcPr>
          <w:p>
            <w:r/>
            <w:r>
              <w:rPr>
                <w:rFonts w:ascii="Arial" w:hAnsi="Arial"/>
                <w:b w:val="0"/>
                <w:sz w:val="18"/>
              </w:rPr>
              <w:t>FRS-CLASS-001</w:t>
            </w:r>
          </w:p>
        </w:tc>
        <w:tc>
          <w:tcPr>
            <w:tcW w:type="dxa" w:w="4986"/>
            <w:vAlign w:val="center"/>
          </w:tcPr>
          <w:p>
            <w:r/>
            <w:r>
              <w:rPr>
                <w:rFonts w:ascii="Arial" w:hAnsi="Arial"/>
                <w:b w:val="0"/>
                <w:sz w:val="18"/>
              </w:rPr>
              <w:t>SRS-FR-CLASS-001 to SRS-FR-CLASS-005</w:t>
            </w:r>
          </w:p>
        </w:tc>
      </w:tr>
      <w:tr>
        <w:tc>
          <w:tcPr>
            <w:tcW w:type="dxa" w:w="4986"/>
            <w:vAlign w:val="center"/>
          </w:tcPr>
          <w:p>
            <w:r/>
            <w:r>
              <w:rPr>
                <w:rFonts w:ascii="Arial" w:hAnsi="Arial"/>
                <w:b w:val="0"/>
                <w:sz w:val="18"/>
              </w:rPr>
              <w:t>FRS-ASSIGN-001</w:t>
            </w:r>
          </w:p>
        </w:tc>
        <w:tc>
          <w:tcPr>
            <w:tcW w:type="dxa" w:w="4986"/>
            <w:vAlign w:val="center"/>
          </w:tcPr>
          <w:p>
            <w:r/>
            <w:r>
              <w:rPr>
                <w:rFonts w:ascii="Arial" w:hAnsi="Arial"/>
                <w:b w:val="0"/>
                <w:sz w:val="18"/>
              </w:rPr>
              <w:t>SRS-FR-ASSIGN-001, SRS-FR-ASSIGN-002</w:t>
            </w:r>
          </w:p>
        </w:tc>
      </w:tr>
      <w:tr>
        <w:tc>
          <w:tcPr>
            <w:tcW w:type="dxa" w:w="4986"/>
            <w:vAlign w:val="center"/>
          </w:tcPr>
          <w:p>
            <w:r/>
            <w:r>
              <w:rPr>
                <w:rFonts w:ascii="Arial" w:hAnsi="Arial"/>
                <w:b w:val="0"/>
                <w:sz w:val="18"/>
              </w:rPr>
              <w:t>FRS-ASSIGN-002</w:t>
            </w:r>
          </w:p>
        </w:tc>
        <w:tc>
          <w:tcPr>
            <w:tcW w:type="dxa" w:w="4986"/>
            <w:vAlign w:val="center"/>
          </w:tcPr>
          <w:p>
            <w:r/>
            <w:r>
              <w:rPr>
                <w:rFonts w:ascii="Arial" w:hAnsi="Arial"/>
                <w:b w:val="0"/>
                <w:sz w:val="18"/>
              </w:rPr>
              <w:t>SRS-FR-ASSIGN-003, SRS-FR-PM-003</w:t>
            </w:r>
          </w:p>
        </w:tc>
      </w:tr>
      <w:tr>
        <w:tc>
          <w:tcPr>
            <w:tcW w:type="dxa" w:w="4986"/>
            <w:vAlign w:val="center"/>
          </w:tcPr>
          <w:p>
            <w:r/>
            <w:r>
              <w:rPr>
                <w:rFonts w:ascii="Arial" w:hAnsi="Arial"/>
                <w:b w:val="0"/>
                <w:sz w:val="18"/>
              </w:rPr>
              <w:t>FRS-ASSIGN-003</w:t>
            </w:r>
          </w:p>
        </w:tc>
        <w:tc>
          <w:tcPr>
            <w:tcW w:type="dxa" w:w="4986"/>
            <w:vAlign w:val="center"/>
          </w:tcPr>
          <w:p>
            <w:r/>
            <w:r>
              <w:rPr>
                <w:rFonts w:ascii="Arial" w:hAnsi="Arial"/>
                <w:b w:val="0"/>
                <w:sz w:val="18"/>
              </w:rPr>
              <w:t>SRS-FR-ASSIGN-004, SRS-FR-STATUS-004</w:t>
            </w:r>
          </w:p>
        </w:tc>
      </w:tr>
      <w:tr>
        <w:tc>
          <w:tcPr>
            <w:tcW w:type="dxa" w:w="4986"/>
            <w:vAlign w:val="center"/>
          </w:tcPr>
          <w:p>
            <w:r/>
            <w:r>
              <w:rPr>
                <w:rFonts w:ascii="Arial" w:hAnsi="Arial"/>
                <w:b w:val="0"/>
                <w:sz w:val="18"/>
              </w:rPr>
              <w:t>FRS-DEV-001</w:t>
            </w:r>
          </w:p>
        </w:tc>
        <w:tc>
          <w:tcPr>
            <w:tcW w:type="dxa" w:w="4986"/>
            <w:vAlign w:val="center"/>
          </w:tcPr>
          <w:p>
            <w:r/>
            <w:r>
              <w:rPr>
                <w:rFonts w:ascii="Arial" w:hAnsi="Arial"/>
                <w:b w:val="0"/>
                <w:sz w:val="18"/>
              </w:rPr>
              <w:t>SRS-FR-STATUS-001, SRS-FR-STATUS-005</w:t>
            </w:r>
          </w:p>
        </w:tc>
      </w:tr>
      <w:tr>
        <w:tc>
          <w:tcPr>
            <w:tcW w:type="dxa" w:w="4986"/>
            <w:vAlign w:val="center"/>
          </w:tcPr>
          <w:p>
            <w:r/>
            <w:r>
              <w:rPr>
                <w:rFonts w:ascii="Arial" w:hAnsi="Arial"/>
                <w:b w:val="0"/>
                <w:sz w:val="18"/>
              </w:rPr>
              <w:t>FRS-INFO-001</w:t>
            </w:r>
          </w:p>
        </w:tc>
        <w:tc>
          <w:tcPr>
            <w:tcW w:type="dxa" w:w="4986"/>
            <w:vAlign w:val="center"/>
          </w:tcPr>
          <w:p>
            <w:r/>
            <w:r>
              <w:rPr>
                <w:rFonts w:ascii="Arial" w:hAnsi="Arial"/>
                <w:b w:val="0"/>
                <w:sz w:val="18"/>
              </w:rPr>
              <w:t>SRS-FR-STATUS-002, SRS-FR-STATUS-009</w:t>
            </w:r>
          </w:p>
        </w:tc>
      </w:tr>
      <w:tr>
        <w:tc>
          <w:tcPr>
            <w:tcW w:type="dxa" w:w="4986"/>
            <w:vAlign w:val="center"/>
          </w:tcPr>
          <w:p>
            <w:r/>
            <w:r>
              <w:rPr>
                <w:rFonts w:ascii="Arial" w:hAnsi="Arial"/>
                <w:b w:val="0"/>
                <w:sz w:val="18"/>
              </w:rPr>
              <w:t>FRS-REJECT-001</w:t>
            </w:r>
          </w:p>
        </w:tc>
        <w:tc>
          <w:tcPr>
            <w:tcW w:type="dxa" w:w="4986"/>
            <w:vAlign w:val="center"/>
          </w:tcPr>
          <w:p>
            <w:r/>
            <w:r>
              <w:rPr>
                <w:rFonts w:ascii="Arial" w:hAnsi="Arial"/>
                <w:b w:val="0"/>
                <w:sz w:val="18"/>
              </w:rPr>
              <w:t>SRS-FR-STATUS-003, SRS-FR-STATUS-004, SRS-FR-STATUS-009</w:t>
            </w:r>
          </w:p>
        </w:tc>
      </w:tr>
      <w:tr>
        <w:tc>
          <w:tcPr>
            <w:tcW w:type="dxa" w:w="4986"/>
            <w:vAlign w:val="center"/>
          </w:tcPr>
          <w:p>
            <w:r/>
            <w:r>
              <w:rPr>
                <w:rFonts w:ascii="Arial" w:hAnsi="Arial"/>
                <w:b w:val="0"/>
                <w:sz w:val="18"/>
              </w:rPr>
              <w:t>FRS-STATUS-002</w:t>
            </w:r>
          </w:p>
        </w:tc>
        <w:tc>
          <w:tcPr>
            <w:tcW w:type="dxa" w:w="4986"/>
            <w:vAlign w:val="center"/>
          </w:tcPr>
          <w:p>
            <w:r/>
            <w:r>
              <w:rPr>
                <w:rFonts w:ascii="Arial" w:hAnsi="Arial"/>
                <w:b w:val="0"/>
                <w:sz w:val="18"/>
              </w:rPr>
              <w:t>SRS-FR-STATUS-006, SRS-FR-STATUS-007</w:t>
            </w:r>
          </w:p>
        </w:tc>
      </w:tr>
      <w:tr>
        <w:tc>
          <w:tcPr>
            <w:tcW w:type="dxa" w:w="4986"/>
            <w:vAlign w:val="center"/>
          </w:tcPr>
          <w:p>
            <w:r/>
            <w:r>
              <w:rPr>
                <w:rFonts w:ascii="Arial" w:hAnsi="Arial"/>
                <w:b w:val="0"/>
                <w:sz w:val="18"/>
              </w:rPr>
              <w:t>FRS-STATUS-003</w:t>
            </w:r>
          </w:p>
        </w:tc>
        <w:tc>
          <w:tcPr>
            <w:tcW w:type="dxa" w:w="4986"/>
            <w:vAlign w:val="center"/>
          </w:tcPr>
          <w:p>
            <w:r/>
            <w:r>
              <w:rPr>
                <w:rFonts w:ascii="Arial" w:hAnsi="Arial"/>
                <w:b w:val="0"/>
                <w:sz w:val="18"/>
              </w:rPr>
              <w:t>SRS-FR-BUG-005, SRS-FR-STATUS-007</w:t>
            </w:r>
          </w:p>
        </w:tc>
      </w:tr>
      <w:tr>
        <w:tc>
          <w:tcPr>
            <w:tcW w:type="dxa" w:w="4986"/>
            <w:vAlign w:val="center"/>
          </w:tcPr>
          <w:p>
            <w:r/>
            <w:r>
              <w:rPr>
                <w:rFonts w:ascii="Arial" w:hAnsi="Arial"/>
                <w:b w:val="0"/>
                <w:sz w:val="18"/>
              </w:rPr>
              <w:t>FRS-STATUS-005</w:t>
            </w:r>
          </w:p>
        </w:tc>
        <w:tc>
          <w:tcPr>
            <w:tcW w:type="dxa" w:w="4986"/>
            <w:vAlign w:val="center"/>
          </w:tcPr>
          <w:p>
            <w:r/>
            <w:r>
              <w:rPr>
                <w:rFonts w:ascii="Arial" w:hAnsi="Arial"/>
                <w:b w:val="0"/>
                <w:sz w:val="18"/>
              </w:rPr>
              <w:t>SRS-FR-STATUS-008, SRS-NFR-INT-001</w:t>
            </w:r>
          </w:p>
        </w:tc>
      </w:tr>
      <w:tr>
        <w:tc>
          <w:tcPr>
            <w:tcW w:type="dxa" w:w="4986"/>
            <w:vAlign w:val="center"/>
          </w:tcPr>
          <w:p>
            <w:r/>
            <w:r>
              <w:rPr>
                <w:rFonts w:ascii="Arial" w:hAnsi="Arial"/>
                <w:b w:val="0"/>
                <w:sz w:val="18"/>
              </w:rPr>
              <w:t>FRS-NEXTP-001</w:t>
            </w:r>
          </w:p>
        </w:tc>
        <w:tc>
          <w:tcPr>
            <w:tcW w:type="dxa" w:w="4986"/>
            <w:vAlign w:val="center"/>
          </w:tcPr>
          <w:p>
            <w:r/>
            <w:r>
              <w:rPr>
                <w:rFonts w:ascii="Arial" w:hAnsi="Arial"/>
                <w:b w:val="0"/>
                <w:sz w:val="18"/>
              </w:rPr>
              <w:t>SRS-FR-STATUS-009</w:t>
            </w:r>
          </w:p>
        </w:tc>
      </w:tr>
      <w:tr>
        <w:tc>
          <w:tcPr>
            <w:tcW w:type="dxa" w:w="4986"/>
            <w:vAlign w:val="center"/>
          </w:tcPr>
          <w:p>
            <w:r/>
            <w:r>
              <w:rPr>
                <w:rFonts w:ascii="Arial" w:hAnsi="Arial"/>
                <w:b w:val="0"/>
                <w:sz w:val="18"/>
              </w:rPr>
              <w:t>FRS-COMMENT-001</w:t>
            </w:r>
          </w:p>
        </w:tc>
        <w:tc>
          <w:tcPr>
            <w:tcW w:type="dxa" w:w="4986"/>
            <w:vAlign w:val="center"/>
          </w:tcPr>
          <w:p>
            <w:r/>
            <w:r>
              <w:rPr>
                <w:rFonts w:ascii="Arial" w:hAnsi="Arial"/>
                <w:b w:val="0"/>
                <w:sz w:val="18"/>
              </w:rPr>
              <w:t>SRS-FR-COMMENT-001, SRS-FR-COMMENT-002</w:t>
            </w:r>
          </w:p>
        </w:tc>
      </w:tr>
      <w:tr>
        <w:tc>
          <w:tcPr>
            <w:tcW w:type="dxa" w:w="4986"/>
            <w:vAlign w:val="center"/>
          </w:tcPr>
          <w:p>
            <w:r/>
            <w:r>
              <w:rPr>
                <w:rFonts w:ascii="Arial" w:hAnsi="Arial"/>
                <w:b w:val="0"/>
                <w:sz w:val="18"/>
              </w:rPr>
              <w:t>FRS-AUDIT-001</w:t>
            </w:r>
          </w:p>
        </w:tc>
        <w:tc>
          <w:tcPr>
            <w:tcW w:type="dxa" w:w="4986"/>
            <w:vAlign w:val="center"/>
          </w:tcPr>
          <w:p>
            <w:r/>
            <w:r>
              <w:rPr>
                <w:rFonts w:ascii="Arial" w:hAnsi="Arial"/>
                <w:b w:val="0"/>
                <w:sz w:val="18"/>
              </w:rPr>
              <w:t>SRS-FR-AUDIT-001, SRS-FR-AUDIT-002</w:t>
            </w:r>
          </w:p>
        </w:tc>
      </w:tr>
      <w:tr>
        <w:tc>
          <w:tcPr>
            <w:tcW w:type="dxa" w:w="4986"/>
            <w:vAlign w:val="center"/>
          </w:tcPr>
          <w:p>
            <w:r/>
            <w:r>
              <w:rPr>
                <w:rFonts w:ascii="Arial" w:hAnsi="Arial"/>
                <w:b w:val="0"/>
                <w:sz w:val="18"/>
              </w:rPr>
              <w:t>FRS-NOTIF-001</w:t>
            </w:r>
          </w:p>
        </w:tc>
        <w:tc>
          <w:tcPr>
            <w:tcW w:type="dxa" w:w="4986"/>
            <w:vAlign w:val="center"/>
          </w:tcPr>
          <w:p>
            <w:r/>
            <w:r>
              <w:rPr>
                <w:rFonts w:ascii="Arial" w:hAnsi="Arial"/>
                <w:b w:val="0"/>
                <w:sz w:val="18"/>
              </w:rPr>
              <w:t>SRS-FR-NOTIF-001, SRS-FR-NOTIF-002</w:t>
            </w:r>
          </w:p>
        </w:tc>
      </w:tr>
      <w:tr>
        <w:tc>
          <w:tcPr>
            <w:tcW w:type="dxa" w:w="4986"/>
            <w:vAlign w:val="center"/>
          </w:tcPr>
          <w:p>
            <w:r/>
            <w:r>
              <w:rPr>
                <w:rFonts w:ascii="Arial" w:hAnsi="Arial"/>
                <w:b w:val="0"/>
                <w:sz w:val="18"/>
              </w:rPr>
              <w:t>FRS-PM-001</w:t>
            </w:r>
          </w:p>
        </w:tc>
        <w:tc>
          <w:tcPr>
            <w:tcW w:type="dxa" w:w="4986"/>
            <w:vAlign w:val="center"/>
          </w:tcPr>
          <w:p>
            <w:r/>
            <w:r>
              <w:rPr>
                <w:rFonts w:ascii="Arial" w:hAnsi="Arial"/>
                <w:b w:val="0"/>
                <w:sz w:val="18"/>
              </w:rPr>
              <w:t>SRS-FR-PM-001, SRS-FR-PM-002, SRS-FR-PM-003</w:t>
            </w:r>
          </w:p>
        </w:tc>
      </w:tr>
      <w:tr>
        <w:tc>
          <w:tcPr>
            <w:tcW w:type="dxa" w:w="4986"/>
            <w:vAlign w:val="center"/>
          </w:tcPr>
          <w:p>
            <w:r/>
            <w:r>
              <w:rPr>
                <w:rFonts w:ascii="Arial" w:hAnsi="Arial"/>
                <w:b w:val="0"/>
                <w:sz w:val="18"/>
              </w:rPr>
              <w:t>FRS-PM-002</w:t>
            </w:r>
          </w:p>
        </w:tc>
        <w:tc>
          <w:tcPr>
            <w:tcW w:type="dxa" w:w="4986"/>
            <w:vAlign w:val="center"/>
          </w:tcPr>
          <w:p>
            <w:r/>
            <w:r>
              <w:rPr>
                <w:rFonts w:ascii="Arial" w:hAnsi="Arial"/>
                <w:b w:val="0"/>
                <w:sz w:val="18"/>
              </w:rPr>
              <w:t>SRS-FR-PM-004</w:t>
            </w:r>
          </w:p>
        </w:tc>
      </w:tr>
      <w:tr>
        <w:tc>
          <w:tcPr>
            <w:tcW w:type="dxa" w:w="4986"/>
            <w:vAlign w:val="center"/>
          </w:tcPr>
          <w:p>
            <w:r/>
            <w:r>
              <w:rPr>
                <w:rFonts w:ascii="Arial" w:hAnsi="Arial"/>
                <w:b w:val="0"/>
                <w:sz w:val="18"/>
              </w:rPr>
              <w:t>FRS-UX-001</w:t>
            </w:r>
          </w:p>
        </w:tc>
        <w:tc>
          <w:tcPr>
            <w:tcW w:type="dxa" w:w="4986"/>
            <w:vAlign w:val="center"/>
          </w:tcPr>
          <w:p>
            <w:r/>
            <w:r>
              <w:rPr>
                <w:rFonts w:ascii="Arial" w:hAnsi="Arial"/>
                <w:b w:val="0"/>
                <w:sz w:val="18"/>
              </w:rPr>
              <w:t>SRS-IF-UI-001 to SRS-IF-UI-005, SRS-NFR-USE-001, SRS-NFR-USE-002</w:t>
            </w:r>
          </w:p>
        </w:tc>
      </w:tr>
      <w:tr>
        <w:tc>
          <w:tcPr>
            <w:tcW w:type="dxa" w:w="4986"/>
            <w:vAlign w:val="center"/>
          </w:tcPr>
          <w:p>
            <w:r/>
            <w:r>
              <w:rPr>
                <w:rFonts w:ascii="Arial" w:hAnsi="Arial"/>
                <w:b w:val="0"/>
                <w:sz w:val="18"/>
              </w:rPr>
              <w:t>FRS-AI-001</w:t>
            </w:r>
          </w:p>
        </w:tc>
        <w:tc>
          <w:tcPr>
            <w:tcW w:type="dxa" w:w="4986"/>
            <w:vAlign w:val="center"/>
          </w:tcPr>
          <w:p>
            <w:r/>
            <w:r>
              <w:rPr>
                <w:rFonts w:ascii="Arial" w:hAnsi="Arial"/>
                <w:b w:val="0"/>
                <w:sz w:val="18"/>
              </w:rPr>
              <w:t>SRS-FR-AI-001 to SRS-FR-AI-004</w:t>
            </w:r>
          </w:p>
        </w:tc>
      </w:tr>
      <w:tr>
        <w:tc>
          <w:tcPr>
            <w:tcW w:type="dxa" w:w="4986"/>
            <w:vAlign w:val="center"/>
          </w:tcPr>
          <w:p>
            <w:r/>
            <w:r>
              <w:rPr>
                <w:rFonts w:ascii="Arial" w:hAnsi="Arial"/>
                <w:b w:val="0"/>
                <w:sz w:val="18"/>
              </w:rPr>
              <w:t>FRS-AUTH-001</w:t>
            </w:r>
          </w:p>
        </w:tc>
        <w:tc>
          <w:tcPr>
            <w:tcW w:type="dxa" w:w="4986"/>
            <w:vAlign w:val="center"/>
          </w:tcPr>
          <w:p>
            <w:r/>
            <w:r>
              <w:rPr>
                <w:rFonts w:ascii="Arial" w:hAnsi="Arial"/>
                <w:b w:val="0"/>
                <w:sz w:val="18"/>
              </w:rPr>
              <w:t>SRS-FR-AUTH-001, SRS-FR-AUTH-002</w:t>
            </w:r>
          </w:p>
        </w:tc>
      </w:tr>
    </w:tbl>
    <w:p>
      <w:pPr>
        <w:pStyle w:val="Heading2"/>
      </w:pPr>
      <w:r>
        <w:t>9. Open Issues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Open Issue</w:t>
            </w:r>
          </w:p>
        </w:tc>
        <w:tc>
          <w:tcPr>
            <w:tcW w:type="dxa" w:w="2493"/>
            <w:shd w:val="clear" w:fill="D9E2F3"/>
            <w:vAlign w:val="center"/>
          </w:tcPr>
          <w:p>
            <w:r/>
            <w:r>
              <w:rPr>
                <w:rFonts w:ascii="Arial" w:hAnsi="Arial"/>
                <w:b/>
                <w:sz w:val="18"/>
              </w:rPr>
              <w:t>Owner</w:t>
            </w:r>
          </w:p>
        </w:tc>
        <w:tc>
          <w:tcPr>
            <w:tcW w:type="dxa" w:w="2493"/>
            <w:shd w:val="clear" w:fill="D9E2F3"/>
            <w:vAlign w:val="center"/>
          </w:tcPr>
          <w:p>
            <w:r/>
            <w:r>
              <w:rPr>
                <w:rFonts w:ascii="Arial" w:hAnsi="Arial"/>
                <w:b/>
                <w:sz w:val="18"/>
              </w:rPr>
              <w:t>Functional Impact</w:t>
            </w:r>
          </w:p>
        </w:tc>
      </w:tr>
      <w:tr>
        <w:tc>
          <w:tcPr>
            <w:tcW w:type="dxa" w:w="2493"/>
            <w:vAlign w:val="center"/>
          </w:tcPr>
          <w:p>
            <w:r/>
            <w:r>
              <w:rPr>
                <w:rFonts w:ascii="Arial" w:hAnsi="Arial"/>
                <w:b w:val="0"/>
                <w:sz w:val="18"/>
              </w:rPr>
              <w:t>OI-FRS-001</w:t>
            </w:r>
          </w:p>
        </w:tc>
        <w:tc>
          <w:tcPr>
            <w:tcW w:type="dxa" w:w="2493"/>
            <w:vAlign w:val="center"/>
          </w:tcPr>
          <w:p>
            <w:r/>
            <w:r>
              <w:rPr>
                <w:rFonts w:ascii="Arial" w:hAnsi="Arial"/>
                <w:b w:val="0"/>
                <w:sz w:val="18"/>
              </w:rPr>
              <w:t>Confirm PM direct reassignment permission.</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Determines whether PM sees Assign/Reassign actions or only request/comment actions.</w:t>
            </w:r>
          </w:p>
        </w:tc>
      </w:tr>
      <w:tr>
        <w:tc>
          <w:tcPr>
            <w:tcW w:type="dxa" w:w="2493"/>
            <w:vAlign w:val="center"/>
          </w:tcPr>
          <w:p>
            <w:r/>
            <w:r>
              <w:rPr>
                <w:rFonts w:ascii="Arial" w:hAnsi="Arial"/>
                <w:b w:val="0"/>
                <w:sz w:val="18"/>
              </w:rPr>
              <w:t>OI-FRS-002</w:t>
            </w:r>
          </w:p>
        </w:tc>
        <w:tc>
          <w:tcPr>
            <w:tcW w:type="dxa" w:w="2493"/>
            <w:vAlign w:val="center"/>
          </w:tcPr>
          <w:p>
            <w:r/>
            <w:r>
              <w:rPr>
                <w:rFonts w:ascii="Arial" w:hAnsi="Arial"/>
                <w:b w:val="0"/>
                <w:sz w:val="18"/>
              </w:rPr>
              <w:t>Confirm mentor evidence required for the implemented in-app notification and asynchronous email-outbox flow.</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Live-provider success remains a separate acceptance item and is not inferred from local/outbox tests.</w:t>
            </w:r>
          </w:p>
        </w:tc>
      </w:tr>
      <w:tr>
        <w:tc>
          <w:tcPr>
            <w:tcW w:type="dxa" w:w="2493"/>
            <w:vAlign w:val="center"/>
          </w:tcPr>
          <w:p>
            <w:r/>
            <w:r>
              <w:rPr>
                <w:rFonts w:ascii="Arial" w:hAnsi="Arial"/>
                <w:b w:val="0"/>
                <w:sz w:val="18"/>
              </w:rPr>
              <w:t>OI-FRS-003</w:t>
            </w:r>
          </w:p>
        </w:tc>
        <w:tc>
          <w:tcPr>
            <w:tcW w:type="dxa" w:w="2493"/>
            <w:vAlign w:val="center"/>
          </w:tcPr>
          <w:p>
            <w:r/>
            <w:r>
              <w:rPr>
                <w:rFonts w:ascii="Arial" w:hAnsi="Arial"/>
                <w:b w:val="0"/>
                <w:sz w:val="18"/>
              </w:rPr>
              <w:t>Confirm mentor evidence required for externally bound attachment storage in shared QA.</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Actual file handling is implemented; final acceptance depends on active binding and test evidence.</w:t>
            </w:r>
          </w:p>
        </w:tc>
      </w:tr>
      <w:tr>
        <w:tc>
          <w:tcPr>
            <w:tcW w:type="dxa" w:w="2493"/>
            <w:vAlign w:val="center"/>
          </w:tcPr>
          <w:p>
            <w:r/>
            <w:r>
              <w:rPr>
                <w:rFonts w:ascii="Arial" w:hAnsi="Arial"/>
                <w:b w:val="0"/>
                <w:sz w:val="18"/>
              </w:rPr>
              <w:t>OI-FRS-004</w:t>
            </w:r>
          </w:p>
        </w:tc>
        <w:tc>
          <w:tcPr>
            <w:tcW w:type="dxa" w:w="2493"/>
            <w:vAlign w:val="center"/>
          </w:tcPr>
          <w:p>
            <w:r/>
            <w:r>
              <w:rPr>
                <w:rFonts w:ascii="Arial" w:hAnsi="Arial"/>
                <w:b w:val="0"/>
                <w:sz w:val="18"/>
              </w:rPr>
              <w:t>Confirm overdue thresholds and workload limits.</w:t>
            </w:r>
          </w:p>
        </w:tc>
        <w:tc>
          <w:tcPr>
            <w:tcW w:type="dxa" w:w="2493"/>
            <w:vAlign w:val="center"/>
          </w:tcPr>
          <w:p>
            <w:r/>
            <w:r>
              <w:rPr>
                <w:rFonts w:ascii="Arial" w:hAnsi="Arial"/>
                <w:b w:val="0"/>
                <w:sz w:val="18"/>
              </w:rPr>
              <w:t>Team / PM</w:t>
            </w:r>
          </w:p>
        </w:tc>
        <w:tc>
          <w:tcPr>
            <w:tcW w:type="dxa" w:w="2493"/>
            <w:vAlign w:val="center"/>
          </w:tcPr>
          <w:p>
            <w:r/>
            <w:r>
              <w:rPr>
                <w:rFonts w:ascii="Arial" w:hAnsi="Arial"/>
                <w:b w:val="0"/>
                <w:sz w:val="18"/>
              </w:rPr>
              <w:t>Determines PM dashboard calculations.</w:t>
            </w:r>
          </w:p>
        </w:tc>
      </w:tr>
      <w:tr>
        <w:tc>
          <w:tcPr>
            <w:tcW w:type="dxa" w:w="2493"/>
            <w:vAlign w:val="center"/>
          </w:tcPr>
          <w:p>
            <w:r/>
            <w:r>
              <w:rPr>
                <w:rFonts w:ascii="Arial" w:hAnsi="Arial"/>
                <w:b w:val="0"/>
                <w:sz w:val="18"/>
              </w:rPr>
              <w:t>OI-FRS-005</w:t>
            </w:r>
          </w:p>
        </w:tc>
        <w:tc>
          <w:tcPr>
            <w:tcW w:type="dxa" w:w="2493"/>
            <w:vAlign w:val="center"/>
          </w:tcPr>
          <w:p>
            <w:r/>
            <w:r>
              <w:rPr>
                <w:rFonts w:ascii="Arial" w:hAnsi="Arial"/>
                <w:b w:val="0"/>
                <w:sz w:val="18"/>
              </w:rPr>
              <w:t>Closed: workflow diagrams are rendered as figures in the FRS and standalone Diagram Pack.</w:t>
            </w:r>
          </w:p>
        </w:tc>
        <w:tc>
          <w:tcPr>
            <w:tcW w:type="dxa" w:w="2493"/>
            <w:vAlign w:val="center"/>
          </w:tcPr>
          <w:p>
            <w:r/>
            <w:r>
              <w:rPr>
                <w:rFonts w:ascii="Arial" w:hAnsi="Arial"/>
                <w:b w:val="0"/>
                <w:sz w:val="18"/>
              </w:rPr>
              <w:t>IDTS Project Team</w:t>
            </w:r>
          </w:p>
        </w:tc>
        <w:tc>
          <w:tcPr>
            <w:tcW w:type="dxa" w:w="2493"/>
            <w:vAlign w:val="center"/>
          </w:tcPr>
          <w:p>
            <w:r/>
            <w:r>
              <w:rPr>
                <w:rFonts w:ascii="Arial" w:hAnsi="Arial"/>
                <w:b w:val="0"/>
                <w:sz w:val="18"/>
              </w:rPr>
              <w:t>Visual DOCX and Drive review pack are the current review baseline.</w:t>
            </w:r>
          </w:p>
        </w:tc>
      </w:tr>
    </w:tbl>
    <w:sectPr w:rsidR="00FC693F" w:rsidRPr="0006063C" w:rsidSect="00034616">
      <w:footerReference w:type="default" r:id="rId17"/>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