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Software Requirements Specification</w:t>
      </w:r>
    </w:p>
    <w:p>
      <w:pPr>
        <w:jc w:val="center"/>
      </w:pPr>
      <w:r>
        <w:t>Project: Issue and Defect Tracking System in SAP</w:t>
      </w:r>
    </w:p>
    <w:p>
      <w:pPr>
        <w:jc w:val="center"/>
      </w:pPr>
      <w:r>
        <w:t>Document type: Software Requirements Specification (SRS)</w:t>
      </w:r>
    </w:p>
    <w:p>
      <w:pPr>
        <w:jc w:val="center"/>
      </w:pPr>
      <w:r>
        <w:t>Language: English</w:t>
      </w:r>
    </w:p>
    <w:p>
      <w:pPr>
        <w:jc w:val="center"/>
      </w:pPr>
      <w:r>
        <w:t>Status: Draft v1.5</w:t>
      </w:r>
    </w:p>
    <w:p>
      <w:pPr>
        <w:jc w:val="center"/>
      </w:pPr>
      <w:r>
        <w:t>Last updated: 2026-07-24</w:t>
      </w:r>
    </w:p>
    <w:p>
      <w:pPr>
        <w:jc w:val="center"/>
      </w:pPr>
      <w:r>
        <w:t>Prepared for: SAP490 project delivery, mentor review, implementation evidence, and QA test design</w:t>
      </w:r>
    </w:p>
    <w:p>
      <w:r>
        <w:br w:type="page"/>
      </w:r>
    </w:p>
    <w:p>
      <w:r>
        <w:t>Document style: Traditional SRS outline with ISO/IEC/IEEE 29148-style requirement quality, traceability, and verification discipline</w:t>
      </w:r>
    </w:p>
    <w:p>
      <w:pPr>
        <w:pStyle w:val="Heading2"/>
      </w:pPr>
      <w:r>
        <w:t>1. Document Control</w:t>
      </w:r>
    </w:p>
    <w:p>
      <w:pPr>
        <w:pStyle w:val="Heading3"/>
      </w:pPr>
      <w:r>
        <w:t>1.1 Version History</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Version</w:t>
            </w:r>
          </w:p>
        </w:tc>
        <w:tc>
          <w:tcPr>
            <w:tcW w:type="dxa" w:w="1662"/>
            <w:shd w:val="clear" w:fill="D9E2F3"/>
            <w:vAlign w:val="center"/>
          </w:tcPr>
          <w:p>
            <w:r/>
            <w:r>
              <w:rPr>
                <w:rFonts w:ascii="Arial" w:hAnsi="Arial"/>
                <w:b/>
                <w:sz w:val="18"/>
              </w:rPr>
              <w:t>Date</w:t>
            </w:r>
          </w:p>
        </w:tc>
        <w:tc>
          <w:tcPr>
            <w:tcW w:type="dxa" w:w="1662"/>
            <w:shd w:val="clear" w:fill="D9E2F3"/>
            <w:vAlign w:val="center"/>
          </w:tcPr>
          <w:p>
            <w:r/>
            <w:r>
              <w:rPr>
                <w:rFonts w:ascii="Arial" w:hAnsi="Arial"/>
                <w:b/>
                <w:sz w:val="18"/>
              </w:rPr>
              <w:t>Author</w:t>
            </w:r>
          </w:p>
        </w:tc>
        <w:tc>
          <w:tcPr>
            <w:tcW w:type="dxa" w:w="1662"/>
            <w:shd w:val="clear" w:fill="D9E2F3"/>
            <w:vAlign w:val="center"/>
          </w:tcPr>
          <w:p>
            <w:r/>
            <w:r>
              <w:rPr>
                <w:rFonts w:ascii="Arial" w:hAnsi="Arial"/>
                <w:b/>
                <w:sz w:val="18"/>
              </w:rPr>
              <w:t>Reviewer</w:t>
            </w:r>
          </w:p>
        </w:tc>
        <w:tc>
          <w:tcPr>
            <w:tcW w:type="dxa" w:w="1662"/>
            <w:shd w:val="clear" w:fill="D9E2F3"/>
            <w:vAlign w:val="center"/>
          </w:tcPr>
          <w:p>
            <w:r/>
            <w:r>
              <w:rPr>
                <w:rFonts w:ascii="Arial" w:hAnsi="Arial"/>
                <w:b/>
                <w:sz w:val="18"/>
              </w:rPr>
              <w:t>Change Summary</w:t>
            </w:r>
          </w:p>
        </w:tc>
        <w:tc>
          <w:tcPr>
            <w:tcW w:type="dxa" w:w="1662"/>
            <w:shd w:val="clear" w:fill="D9E2F3"/>
            <w:vAlign w:val="center"/>
          </w:tcPr>
          <w:p>
            <w:r/>
            <w:r>
              <w:rPr>
                <w:rFonts w:ascii="Arial" w:hAnsi="Arial"/>
                <w:b/>
                <w:sz w:val="18"/>
              </w:rPr>
              <w:t>Approval Status</w:t>
            </w:r>
          </w:p>
        </w:tc>
      </w:tr>
      <w:tr>
        <w:tc>
          <w:tcPr>
            <w:tcW w:type="dxa" w:w="1662"/>
            <w:vAlign w:val="center"/>
          </w:tcPr>
          <w:p>
            <w:r/>
            <w:r>
              <w:rPr>
                <w:rFonts w:ascii="Arial" w:hAnsi="Arial"/>
                <w:b w:val="0"/>
                <w:sz w:val="18"/>
              </w:rPr>
              <w:t>v1.0</w:t>
            </w:r>
          </w:p>
        </w:tc>
        <w:tc>
          <w:tcPr>
            <w:tcW w:type="dxa" w:w="1662"/>
            <w:vAlign w:val="center"/>
          </w:tcPr>
          <w:p>
            <w:r/>
            <w:r>
              <w:rPr>
                <w:rFonts w:ascii="Arial" w:hAnsi="Arial"/>
                <w:b w:val="0"/>
                <w:sz w:val="18"/>
              </w:rPr>
              <w:t>2026-06-02</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Initial SRS created from BRD v1.1, BA baseline, diagrams, PM plan, and SAP490 guidance.</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v1.1</w:t>
            </w:r>
          </w:p>
        </w:tc>
        <w:tc>
          <w:tcPr>
            <w:tcW w:type="dxa" w:w="1662"/>
            <w:vAlign w:val="center"/>
          </w:tcPr>
          <w:p>
            <w:r/>
            <w:r>
              <w:rPr>
                <w:rFonts w:ascii="Arial" w:hAnsi="Arial"/>
                <w:b w:val="0"/>
                <w:sz w:val="18"/>
              </w:rPr>
              <w:t>2026-06-03</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Updated user classes and functional requirements to the MVP role baseline: Tester, Developer, and PM. Reporter and Admin are deferred as separate roles.</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v1.2</w:t>
            </w:r>
          </w:p>
        </w:tc>
        <w:tc>
          <w:tcPr>
            <w:tcW w:type="dxa" w:w="1662"/>
            <w:vAlign w:val="center"/>
          </w:tcPr>
          <w:p>
            <w:r/>
            <w:r>
              <w:rPr>
                <w:rFonts w:ascii="Arial" w:hAnsi="Arial"/>
                <w:b w:val="0"/>
                <w:sz w:val="18"/>
              </w:rPr>
              <w:t>2026-07-10</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Synced the implemented attachment and optional advisory-AI baseline, with explicit human-review, privacy, and no-workflow-authority constraints.</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v1.3</w:t>
            </w:r>
          </w:p>
        </w:tc>
        <w:tc>
          <w:tcPr>
            <w:tcW w:type="dxa" w:w="1662"/>
            <w:vAlign w:val="center"/>
          </w:tcPr>
          <w:p>
            <w:r/>
            <w:r>
              <w:rPr>
                <w:rFonts w:ascii="Arial" w:hAnsi="Arial"/>
                <w:b w:val="0"/>
                <w:sz w:val="18"/>
              </w:rPr>
              <w:t>2026-07-11</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Replaced the review-facing system-context source block with a rendered, traceable figure and Diagram Pack reference.</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v1.4</w:t>
            </w:r>
          </w:p>
        </w:tc>
        <w:tc>
          <w:tcPr>
            <w:tcW w:type="dxa" w:w="1662"/>
            <w:vAlign w:val="center"/>
          </w:tcPr>
          <w:p>
            <w:r/>
            <w:r>
              <w:rPr>
                <w:rFonts w:ascii="Arial" w:hAnsi="Arial"/>
                <w:b w:val="0"/>
                <w:sz w:val="18"/>
              </w:rPr>
              <w:t>2026-07-22</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Aligned authentication/session, shared PostgreSQL/Render, attachment object storage, email outbox, and human-reviewed AI audit requirements with the implemented mentor-review baseline.</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v1.5</w:t>
            </w:r>
          </w:p>
        </w:tc>
        <w:tc>
          <w:tcPr>
            <w:tcW w:type="dxa" w:w="1662"/>
            <w:vAlign w:val="center"/>
          </w:tcPr>
          <w:p>
            <w:r/>
            <w:r>
              <w:rPr>
                <w:rFonts w:ascii="Arial" w:hAnsi="Arial"/>
                <w:b w:val="0"/>
                <w:sz w:val="18"/>
              </w:rPr>
              <w:t>2026-07-24</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Added deployed OData base paths, exact workflow-action audit codes, and the current AiSuggestions PENDING-only review-state limitation.</w:t>
            </w:r>
          </w:p>
        </w:tc>
        <w:tc>
          <w:tcPr>
            <w:tcW w:type="dxa" w:w="1662"/>
            <w:vAlign w:val="center"/>
          </w:tcPr>
          <w:p>
            <w:r/>
            <w:r>
              <w:rPr>
                <w:rFonts w:ascii="Arial" w:hAnsi="Arial"/>
                <w:b w:val="0"/>
                <w:sz w:val="18"/>
              </w:rPr>
              <w:t>Draft</w:t>
            </w:r>
          </w:p>
        </w:tc>
      </w:tr>
    </w:tbl>
    <w:p>
      <w:pPr>
        <w:pStyle w:val="Heading3"/>
      </w:pPr>
      <w:r>
        <w:t>1.2 Review and Sign-Off</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Role</w:t>
            </w:r>
          </w:p>
        </w:tc>
        <w:tc>
          <w:tcPr>
            <w:tcW w:type="dxa" w:w="1994"/>
            <w:shd w:val="clear" w:fill="D9E2F3"/>
            <w:vAlign w:val="center"/>
          </w:tcPr>
          <w:p>
            <w:r/>
            <w:r>
              <w:rPr>
                <w:rFonts w:ascii="Arial" w:hAnsi="Arial"/>
                <w:b/>
                <w:sz w:val="18"/>
              </w:rPr>
              <w:t>Name</w:t>
            </w:r>
          </w:p>
        </w:tc>
        <w:tc>
          <w:tcPr>
            <w:tcW w:type="dxa" w:w="1994"/>
            <w:shd w:val="clear" w:fill="D9E2F3"/>
            <w:vAlign w:val="center"/>
          </w:tcPr>
          <w:p>
            <w:r/>
            <w:r>
              <w:rPr>
                <w:rFonts w:ascii="Arial" w:hAnsi="Arial"/>
                <w:b/>
                <w:sz w:val="18"/>
              </w:rPr>
              <w:t>Responsibility</w:t>
            </w:r>
          </w:p>
        </w:tc>
        <w:tc>
          <w:tcPr>
            <w:tcW w:type="dxa" w:w="1994"/>
            <w:shd w:val="clear" w:fill="D9E2F3"/>
            <w:vAlign w:val="center"/>
          </w:tcPr>
          <w:p>
            <w:r/>
            <w:r>
              <w:rPr>
                <w:rFonts w:ascii="Arial" w:hAnsi="Arial"/>
                <w:b/>
                <w:sz w:val="18"/>
              </w:rPr>
              <w:t>Status</w:t>
            </w:r>
          </w:p>
        </w:tc>
        <w:tc>
          <w:tcPr>
            <w:tcW w:type="dxa" w:w="1994"/>
            <w:shd w:val="clear" w:fill="D9E2F3"/>
            <w:vAlign w:val="center"/>
          </w:tcPr>
          <w:p>
            <w:r/>
            <w:r>
              <w:rPr>
                <w:rFonts w:ascii="Arial" w:hAnsi="Arial"/>
                <w:b/>
                <w:sz w:val="18"/>
              </w:rPr>
              <w:t>Date</w:t>
            </w:r>
          </w:p>
        </w:tc>
      </w:tr>
      <w:tr>
        <w:tc>
          <w:tcPr>
            <w:tcW w:type="dxa" w:w="1994"/>
            <w:vAlign w:val="center"/>
          </w:tcPr>
          <w:p>
            <w:r/>
            <w:r>
              <w:rPr>
                <w:rFonts w:ascii="Arial" w:hAnsi="Arial"/>
                <w:b w:val="0"/>
                <w:sz w:val="18"/>
              </w:rPr>
              <w:t>Prepared by</w:t>
            </w:r>
          </w:p>
        </w:tc>
        <w:tc>
          <w:tcPr>
            <w:tcW w:type="dxa" w:w="1994"/>
            <w:vAlign w:val="center"/>
          </w:tcPr>
          <w:p>
            <w:r/>
            <w:r>
              <w:rPr>
                <w:rFonts w:ascii="Arial" w:hAnsi="Arial"/>
                <w:b w:val="0"/>
                <w:sz w:val="18"/>
              </w:rPr>
              <w:t>IDTS Project Team</w:t>
            </w:r>
          </w:p>
        </w:tc>
        <w:tc>
          <w:tcPr>
            <w:tcW w:type="dxa" w:w="1994"/>
            <w:vAlign w:val="center"/>
          </w:tcPr>
          <w:p>
            <w:r/>
            <w:r>
              <w:rPr>
                <w:rFonts w:ascii="Arial" w:hAnsi="Arial"/>
                <w:b w:val="0"/>
                <w:sz w:val="18"/>
              </w:rPr>
              <w:t>Prepare and maintain SRS</w:t>
            </w:r>
          </w:p>
        </w:tc>
        <w:tc>
          <w:tcPr>
            <w:tcW w:type="dxa" w:w="1994"/>
            <w:vAlign w:val="center"/>
          </w:tcPr>
          <w:p>
            <w:r/>
            <w:r>
              <w:rPr>
                <w:rFonts w:ascii="Arial" w:hAnsi="Arial"/>
                <w:b w:val="0"/>
                <w:sz w:val="18"/>
              </w:rPr>
              <w:t>Drafted</w:t>
            </w:r>
          </w:p>
        </w:tc>
        <w:tc>
          <w:tcPr>
            <w:tcW w:type="dxa" w:w="1994"/>
            <w:vAlign w:val="center"/>
          </w:tcPr>
          <w:p>
            <w:r/>
            <w:r>
              <w:rPr>
                <w:rFonts w:ascii="Arial" w:hAnsi="Arial"/>
                <w:b w:val="0"/>
                <w:sz w:val="18"/>
              </w:rPr>
              <w:t>2026-06-02</w:t>
            </w:r>
          </w:p>
        </w:tc>
      </w:tr>
      <w:tr>
        <w:tc>
          <w:tcPr>
            <w:tcW w:type="dxa" w:w="1994"/>
            <w:vAlign w:val="center"/>
          </w:tcPr>
          <w:p>
            <w:r/>
            <w:r>
              <w:rPr>
                <w:rFonts w:ascii="Arial" w:hAnsi="Arial"/>
                <w:b w:val="0"/>
                <w:sz w:val="18"/>
              </w:rPr>
              <w:t>Reviewed by</w:t>
            </w:r>
          </w:p>
        </w:tc>
        <w:tc>
          <w:tcPr>
            <w:tcW w:type="dxa" w:w="1994"/>
            <w:vAlign w:val="center"/>
          </w:tcPr>
          <w:p>
            <w:r/>
            <w:r>
              <w:rPr>
                <w:rFonts w:ascii="Arial" w:hAnsi="Arial"/>
                <w:b w:val="0"/>
                <w:sz w:val="18"/>
              </w:rPr>
              <w:t>Mentor / Supervisor</w:t>
            </w:r>
          </w:p>
        </w:tc>
        <w:tc>
          <w:tcPr>
            <w:tcW w:type="dxa" w:w="1994"/>
            <w:vAlign w:val="center"/>
          </w:tcPr>
          <w:p>
            <w:r/>
            <w:r>
              <w:rPr>
                <w:rFonts w:ascii="Arial" w:hAnsi="Arial"/>
                <w:b w:val="0"/>
                <w:sz w:val="18"/>
              </w:rPr>
              <w:t>Review requirement completeness and SAP490 fit</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r>
        <w:tc>
          <w:tcPr>
            <w:tcW w:type="dxa" w:w="1994"/>
            <w:vAlign w:val="center"/>
          </w:tcPr>
          <w:p>
            <w:r/>
            <w:r>
              <w:rPr>
                <w:rFonts w:ascii="Arial" w:hAnsi="Arial"/>
                <w:b w:val="0"/>
                <w:sz w:val="18"/>
              </w:rPr>
              <w:t>Approved by</w:t>
            </w:r>
          </w:p>
        </w:tc>
        <w:tc>
          <w:tcPr>
            <w:tcW w:type="dxa" w:w="1994"/>
            <w:vAlign w:val="center"/>
          </w:tcPr>
          <w:p>
            <w:r/>
            <w:r>
              <w:rPr>
                <w:rFonts w:ascii="Arial" w:hAnsi="Arial"/>
                <w:b w:val="0"/>
                <w:sz w:val="18"/>
              </w:rPr>
              <w:t>Mentor / Supervisor</w:t>
            </w:r>
          </w:p>
        </w:tc>
        <w:tc>
          <w:tcPr>
            <w:tcW w:type="dxa" w:w="1994"/>
            <w:vAlign w:val="center"/>
          </w:tcPr>
          <w:p>
            <w:r/>
            <w:r>
              <w:rPr>
                <w:rFonts w:ascii="Arial" w:hAnsi="Arial"/>
                <w:b w:val="0"/>
                <w:sz w:val="18"/>
              </w:rPr>
              <w:t>Approve SRS baseline for FRS, test design, and implementation</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r>
        <w:tc>
          <w:tcPr>
            <w:tcW w:type="dxa" w:w="1994"/>
            <w:vAlign w:val="center"/>
          </w:tcPr>
          <w:p>
            <w:r/>
            <w:r>
              <w:rPr>
                <w:rFonts w:ascii="Arial" w:hAnsi="Arial"/>
                <w:b w:val="0"/>
                <w:sz w:val="18"/>
              </w:rPr>
              <w:t>Project owner</w:t>
            </w:r>
          </w:p>
        </w:tc>
        <w:tc>
          <w:tcPr>
            <w:tcW w:type="dxa" w:w="1994"/>
            <w:vAlign w:val="center"/>
          </w:tcPr>
          <w:p>
            <w:r/>
            <w:r>
              <w:rPr>
                <w:rFonts w:ascii="Arial" w:hAnsi="Arial"/>
                <w:b w:val="0"/>
                <w:sz w:val="18"/>
              </w:rPr>
              <w:t>Team / PM</w:t>
            </w:r>
          </w:p>
        </w:tc>
        <w:tc>
          <w:tcPr>
            <w:tcW w:type="dxa" w:w="1994"/>
            <w:vAlign w:val="center"/>
          </w:tcPr>
          <w:p>
            <w:r/>
            <w:r>
              <w:rPr>
                <w:rFonts w:ascii="Arial" w:hAnsi="Arial"/>
                <w:b w:val="0"/>
                <w:sz w:val="18"/>
              </w:rPr>
              <w:t>Confirm MVP requirement priority</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bl>
    <w:p>
      <w:pPr>
        <w:pStyle w:val="Heading3"/>
      </w:pPr>
      <w:r>
        <w:t>1.3 Document Purpose</w:t>
      </w:r>
    </w:p>
    <w:p>
      <w:r>
        <w:t>This SRS defines the software-level requirements for the Issue and Defect Tracking System in SAP (IDTS). It translates the approved business direction into verifiable system requirements for SAP CAP, OData V4, Fiori Elements/SAPUI5, local SQLite development, and the current shared QA baseline on Render using PostgreSQL and externally bound object storage. A later production target remains a separate deployment decision.</w:t>
      </w:r>
    </w:p>
    <w:p>
      <w:r>
        <w:t>This SRS uses a traditional SRS outline for readability and aligns requirement quality, traceability, and verification with ISO/IEC/IEEE 29148-style requirements engineering and the SAP490 hybrid delivery context. It does not claim strict certification against the official standard.</w:t>
      </w:r>
    </w:p>
    <w:p>
      <w:pPr>
        <w:pStyle w:val="Heading3"/>
      </w:pPr>
      <w:r>
        <w:t>1.4 Intended Audience</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Audience</w:t>
            </w:r>
          </w:p>
        </w:tc>
        <w:tc>
          <w:tcPr>
            <w:tcW w:type="dxa" w:w="4986"/>
            <w:shd w:val="clear" w:fill="D9E2F3"/>
            <w:vAlign w:val="center"/>
          </w:tcPr>
          <w:p>
            <w:r/>
            <w:r>
              <w:rPr>
                <w:rFonts w:ascii="Arial" w:hAnsi="Arial"/>
                <w:b/>
                <w:sz w:val="18"/>
              </w:rPr>
              <w:t>Use of this SRS</w:t>
            </w:r>
          </w:p>
        </w:tc>
      </w:tr>
      <w:tr>
        <w:tc>
          <w:tcPr>
            <w:tcW w:type="dxa" w:w="4986"/>
            <w:vAlign w:val="center"/>
          </w:tcPr>
          <w:p>
            <w:r/>
            <w:r>
              <w:rPr>
                <w:rFonts w:ascii="Arial" w:hAnsi="Arial"/>
                <w:b w:val="0"/>
                <w:sz w:val="18"/>
              </w:rPr>
              <w:t>Mentor / Supervisor</w:t>
            </w:r>
          </w:p>
        </w:tc>
        <w:tc>
          <w:tcPr>
            <w:tcW w:type="dxa" w:w="4986"/>
            <w:vAlign w:val="center"/>
          </w:tcPr>
          <w:p>
            <w:r/>
            <w:r>
              <w:rPr>
                <w:rFonts w:ascii="Arial" w:hAnsi="Arial"/>
                <w:b w:val="0"/>
                <w:sz w:val="18"/>
              </w:rPr>
              <w:t>Review project requirement completeness and SAP490 alignment.</w:t>
            </w:r>
          </w:p>
        </w:tc>
      </w:tr>
      <w:tr>
        <w:tc>
          <w:tcPr>
            <w:tcW w:type="dxa" w:w="4986"/>
            <w:vAlign w:val="center"/>
          </w:tcPr>
          <w:p>
            <w:r/>
            <w:r>
              <w:rPr>
                <w:rFonts w:ascii="Arial" w:hAnsi="Arial"/>
                <w:b w:val="0"/>
                <w:sz w:val="18"/>
              </w:rPr>
              <w:t>BA / PM</w:t>
            </w:r>
          </w:p>
        </w:tc>
        <w:tc>
          <w:tcPr>
            <w:tcW w:type="dxa" w:w="4986"/>
            <w:vAlign w:val="center"/>
          </w:tcPr>
          <w:p>
            <w:r/>
            <w:r>
              <w:rPr>
                <w:rFonts w:ascii="Arial" w:hAnsi="Arial"/>
                <w:b w:val="0"/>
                <w:sz w:val="18"/>
              </w:rPr>
              <w:t>Maintain scope, traceability, open questions, and release priority.</w:t>
            </w:r>
          </w:p>
        </w:tc>
      </w:tr>
      <w:tr>
        <w:tc>
          <w:tcPr>
            <w:tcW w:type="dxa" w:w="4986"/>
            <w:vAlign w:val="center"/>
          </w:tcPr>
          <w:p>
            <w:r/>
            <w:r>
              <w:rPr>
                <w:rFonts w:ascii="Arial" w:hAnsi="Arial"/>
                <w:b w:val="0"/>
                <w:sz w:val="18"/>
              </w:rPr>
              <w:t>Backend CAP Developer</w:t>
            </w:r>
          </w:p>
        </w:tc>
        <w:tc>
          <w:tcPr>
            <w:tcW w:type="dxa" w:w="4986"/>
            <w:vAlign w:val="center"/>
          </w:tcPr>
          <w:p>
            <w:r/>
            <w:r>
              <w:rPr>
                <w:rFonts w:ascii="Arial" w:hAnsi="Arial"/>
                <w:b w:val="0"/>
                <w:sz w:val="18"/>
              </w:rPr>
              <w:t>Implement CDS model, service projections, actions, handlers, validations, audit, and notification records.</w:t>
            </w:r>
          </w:p>
        </w:tc>
      </w:tr>
      <w:tr>
        <w:tc>
          <w:tcPr>
            <w:tcW w:type="dxa" w:w="4986"/>
            <w:vAlign w:val="center"/>
          </w:tcPr>
          <w:p>
            <w:r/>
            <w:r>
              <w:rPr>
                <w:rFonts w:ascii="Arial" w:hAnsi="Arial"/>
                <w:b w:val="0"/>
                <w:sz w:val="18"/>
              </w:rPr>
              <w:t>Fiori/UI5 Developer</w:t>
            </w:r>
          </w:p>
        </w:tc>
        <w:tc>
          <w:tcPr>
            <w:tcW w:type="dxa" w:w="4986"/>
            <w:vAlign w:val="center"/>
          </w:tcPr>
          <w:p>
            <w:r/>
            <w:r>
              <w:rPr>
                <w:rFonts w:ascii="Arial" w:hAnsi="Arial"/>
                <w:b w:val="0"/>
                <w:sz w:val="18"/>
              </w:rPr>
              <w:t>Implement List Report/Object Page, value helps, actions, messages, and UI behavior.</w:t>
            </w:r>
          </w:p>
        </w:tc>
      </w:tr>
      <w:tr>
        <w:tc>
          <w:tcPr>
            <w:tcW w:type="dxa" w:w="4986"/>
            <w:vAlign w:val="center"/>
          </w:tcPr>
          <w:p>
            <w:r/>
            <w:r>
              <w:rPr>
                <w:rFonts w:ascii="Arial" w:hAnsi="Arial"/>
                <w:b w:val="0"/>
                <w:sz w:val="18"/>
              </w:rPr>
              <w:t>QA / Tester</w:t>
            </w:r>
          </w:p>
        </w:tc>
        <w:tc>
          <w:tcPr>
            <w:tcW w:type="dxa" w:w="4986"/>
            <w:vAlign w:val="center"/>
          </w:tcPr>
          <w:p>
            <w:r/>
            <w:r>
              <w:rPr>
                <w:rFonts w:ascii="Arial" w:hAnsi="Arial"/>
                <w:b w:val="0"/>
                <w:sz w:val="18"/>
              </w:rPr>
              <w:t>Derive functional, integration, and UAT test cases.</w:t>
            </w:r>
          </w:p>
        </w:tc>
      </w:tr>
    </w:tbl>
    <w:p>
      <w:pPr>
        <w:pStyle w:val="Heading2"/>
      </w:pPr>
      <w:r>
        <w:t>2. Product Scope</w:t>
      </w:r>
    </w:p>
    <w:p>
      <w:r>
        <w:t>IDTS shall support defect reporting and tracking in an SAP software testing context. The system shall let Tester, Developer, and PM users create, classify, assign, review, request information, reject with follow-up, progress, resolve, retest, close, reopen, comment, audit, notify, and monitor bugs.</w:t>
      </w:r>
    </w:p>
    <w:p>
      <w:r>
        <w:t>IDTS may offer similar-bug, classification, summary, and Smart Assign explanations as optional advisory AI. These suggestions are review-only, disabled by default until approved private configuration is supplied, and never replace CAP authorization, validation, assignment, or lifecycle decisions.</w:t>
      </w:r>
    </w:p>
    <w:p>
      <w:r>
        <w:t>IDTS shall not become a full Jira, SAP Cloud ALM, SAP Solution Manager, ServiceNow, source-code management, CI/CD, code review, sprint planning, or mandatory AI root cause analysis platform.</w:t>
      </w:r>
    </w:p>
    <w:p>
      <w:pPr>
        <w:pStyle w:val="Heading2"/>
      </w:pPr>
      <w:r>
        <w:t>3. References and Source Documents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Source</w:t>
            </w:r>
          </w:p>
        </w:tc>
        <w:tc>
          <w:tcPr>
            <w:tcW w:type="dxa" w:w="4986"/>
            <w:shd w:val="clear" w:fill="D9E2F3"/>
            <w:vAlign w:val="center"/>
          </w:tcPr>
          <w:p>
            <w:r/>
            <w:r>
              <w:rPr>
                <w:rFonts w:ascii="Arial" w:hAnsi="Arial"/>
                <w:b/>
                <w:sz w:val="18"/>
              </w:rPr>
              <w:t>Purpose</w:t>
            </w:r>
          </w:p>
        </w:tc>
      </w:tr>
      <w:tr>
        <w:tc>
          <w:tcPr>
            <w:tcW w:type="dxa" w:w="4986"/>
            <w:vAlign w:val="center"/>
          </w:tcPr>
          <w:p>
            <w:r/>
            <w:r>
              <w:rPr>
                <w:rFonts w:ascii="Arial" w:hAnsi="Arial"/>
                <w:b w:val="0"/>
                <w:sz w:val="18"/>
              </w:rPr>
              <w:t>docs/ba/brd/brd.en.md</w:t>
            </w:r>
          </w:p>
        </w:tc>
        <w:tc>
          <w:tcPr>
            <w:tcW w:type="dxa" w:w="4986"/>
            <w:vAlign w:val="center"/>
          </w:tcPr>
          <w:p>
            <w:r/>
            <w:r>
              <w:rPr>
                <w:rFonts w:ascii="Arial" w:hAnsi="Arial"/>
                <w:b w:val="0"/>
                <w:sz w:val="18"/>
              </w:rPr>
              <w:t>Primary BRD source for business objectives, scope, requirements, risks, and traceability.</w:t>
            </w:r>
          </w:p>
        </w:tc>
      </w:tr>
      <w:tr>
        <w:tc>
          <w:tcPr>
            <w:tcW w:type="dxa" w:w="4986"/>
            <w:vAlign w:val="center"/>
          </w:tcPr>
          <w:p>
            <w:r/>
            <w:r>
              <w:rPr>
                <w:rFonts w:ascii="Arial" w:hAnsi="Arial"/>
                <w:b w:val="0"/>
                <w:sz w:val="18"/>
              </w:rPr>
              <w:t>IDTS-SUMMARY.md</w:t>
            </w:r>
          </w:p>
        </w:tc>
        <w:tc>
          <w:tcPr>
            <w:tcW w:type="dxa" w:w="4986"/>
            <w:vAlign w:val="center"/>
          </w:tcPr>
          <w:p>
            <w:r/>
            <w:r>
              <w:rPr>
                <w:rFonts w:ascii="Arial" w:hAnsi="Arial"/>
                <w:b w:val="0"/>
                <w:sz w:val="18"/>
              </w:rPr>
              <w:t>Canonical business summary and core flows.</w:t>
            </w:r>
          </w:p>
        </w:tc>
      </w:tr>
      <w:tr>
        <w:tc>
          <w:tcPr>
            <w:tcW w:type="dxa" w:w="4986"/>
            <w:vAlign w:val="center"/>
          </w:tcPr>
          <w:p>
            <w:r/>
            <w:r>
              <w:rPr>
                <w:rFonts w:ascii="Arial" w:hAnsi="Arial"/>
                <w:b w:val="0"/>
                <w:sz w:val="18"/>
              </w:rPr>
              <w:t>IDTS-Business-Rule.md</w:t>
            </w:r>
          </w:p>
        </w:tc>
        <w:tc>
          <w:tcPr>
            <w:tcW w:type="dxa" w:w="4986"/>
            <w:vAlign w:val="center"/>
          </w:tcPr>
          <w:p>
            <w:r/>
            <w:r>
              <w:rPr>
                <w:rFonts w:ascii="Arial" w:hAnsi="Arial"/>
                <w:b w:val="0"/>
                <w:sz w:val="18"/>
              </w:rPr>
              <w:t>Canonical business rules.</w:t>
            </w:r>
          </w:p>
        </w:tc>
      </w:tr>
      <w:tr>
        <w:tc>
          <w:tcPr>
            <w:tcW w:type="dxa" w:w="4986"/>
            <w:vAlign w:val="center"/>
          </w:tcPr>
          <w:p>
            <w:r/>
            <w:r>
              <w:rPr>
                <w:rFonts w:ascii="Arial" w:hAnsi="Arial"/>
                <w:b w:val="0"/>
                <w:sz w:val="18"/>
              </w:rPr>
              <w:t>IDTS-PROJECT-SCOPE-SAP01.md</w:t>
            </w:r>
          </w:p>
        </w:tc>
        <w:tc>
          <w:tcPr>
            <w:tcW w:type="dxa" w:w="4986"/>
            <w:vAlign w:val="center"/>
          </w:tcPr>
          <w:p>
            <w:r/>
            <w:r>
              <w:rPr>
                <w:rFonts w:ascii="Arial" w:hAnsi="Arial"/>
                <w:b w:val="0"/>
                <w:sz w:val="18"/>
              </w:rPr>
              <w:t>Canonical project scope.</w:t>
            </w:r>
          </w:p>
        </w:tc>
      </w:tr>
      <w:tr>
        <w:tc>
          <w:tcPr>
            <w:tcW w:type="dxa" w:w="4986"/>
            <w:vAlign w:val="center"/>
          </w:tcPr>
          <w:p>
            <w:r/>
            <w:r>
              <w:rPr>
                <w:rFonts w:ascii="Arial" w:hAnsi="Arial"/>
                <w:b w:val="0"/>
                <w:sz w:val="18"/>
              </w:rPr>
              <w:t>docs/project-context.md</w:t>
            </w:r>
          </w:p>
        </w:tc>
        <w:tc>
          <w:tcPr>
            <w:tcW w:type="dxa" w:w="4986"/>
            <w:vAlign w:val="center"/>
          </w:tcPr>
          <w:p>
            <w:r/>
            <w:r>
              <w:rPr>
                <w:rFonts w:ascii="Arial" w:hAnsi="Arial"/>
                <w:b w:val="0"/>
                <w:sz w:val="18"/>
              </w:rPr>
              <w:t>Current project context and handover baseline.</w:t>
            </w:r>
          </w:p>
        </w:tc>
      </w:tr>
      <w:tr>
        <w:tc>
          <w:tcPr>
            <w:tcW w:type="dxa" w:w="4986"/>
            <w:vAlign w:val="center"/>
          </w:tcPr>
          <w:p>
            <w:r/>
            <w:r>
              <w:rPr>
                <w:rFonts w:ascii="Arial" w:hAnsi="Arial"/>
                <w:b w:val="0"/>
                <w:sz w:val="18"/>
              </w:rPr>
              <w:t>docs/ba/01-mvp-scope.md</w:t>
            </w:r>
          </w:p>
        </w:tc>
        <w:tc>
          <w:tcPr>
            <w:tcW w:type="dxa" w:w="4986"/>
            <w:vAlign w:val="center"/>
          </w:tcPr>
          <w:p>
            <w:r/>
            <w:r>
              <w:rPr>
                <w:rFonts w:ascii="Arial" w:hAnsi="Arial"/>
                <w:b w:val="0"/>
                <w:sz w:val="18"/>
              </w:rPr>
              <w:t>MVP and out-of-scope baseline.</w:t>
            </w:r>
          </w:p>
        </w:tc>
      </w:tr>
      <w:tr>
        <w:tc>
          <w:tcPr>
            <w:tcW w:type="dxa" w:w="4986"/>
            <w:vAlign w:val="center"/>
          </w:tcPr>
          <w:p>
            <w:r/>
            <w:r>
              <w:rPr>
                <w:rFonts w:ascii="Arial" w:hAnsi="Arial"/>
                <w:b w:val="0"/>
                <w:sz w:val="18"/>
              </w:rPr>
              <w:t>docs/ba/03-status-transition-matrix.md</w:t>
            </w:r>
          </w:p>
        </w:tc>
        <w:tc>
          <w:tcPr>
            <w:tcW w:type="dxa" w:w="4986"/>
            <w:vAlign w:val="center"/>
          </w:tcPr>
          <w:p>
            <w:r/>
            <w:r>
              <w:rPr>
                <w:rFonts w:ascii="Arial" w:hAnsi="Arial"/>
                <w:b w:val="0"/>
                <w:sz w:val="18"/>
              </w:rPr>
              <w:t>Status transition and nextProcessor rules.</w:t>
            </w:r>
          </w:p>
        </w:tc>
      </w:tr>
      <w:tr>
        <w:tc>
          <w:tcPr>
            <w:tcW w:type="dxa" w:w="4986"/>
            <w:vAlign w:val="center"/>
          </w:tcPr>
          <w:p>
            <w:r/>
            <w:r>
              <w:rPr>
                <w:rFonts w:ascii="Arial" w:hAnsi="Arial"/>
                <w:b w:val="0"/>
                <w:sz w:val="18"/>
              </w:rPr>
              <w:t>docs/ba/04-requirement-backlog.md</w:t>
            </w:r>
          </w:p>
        </w:tc>
        <w:tc>
          <w:tcPr>
            <w:tcW w:type="dxa" w:w="4986"/>
            <w:vAlign w:val="center"/>
          </w:tcPr>
          <w:p>
            <w:r/>
            <w:r>
              <w:rPr>
                <w:rFonts w:ascii="Arial" w:hAnsi="Arial"/>
                <w:b w:val="0"/>
                <w:sz w:val="18"/>
              </w:rPr>
              <w:t>Requirement backlog and acceptance criteria.</w:t>
            </w:r>
          </w:p>
        </w:tc>
      </w:tr>
      <w:tr>
        <w:tc>
          <w:tcPr>
            <w:tcW w:type="dxa" w:w="4986"/>
            <w:vAlign w:val="center"/>
          </w:tcPr>
          <w:p>
            <w:r/>
            <w:r>
              <w:rPr>
                <w:rFonts w:ascii="Arial" w:hAnsi="Arial"/>
                <w:b w:val="0"/>
                <w:sz w:val="18"/>
              </w:rPr>
              <w:t>docs/ba/05-data-dictionary.md</w:t>
            </w:r>
          </w:p>
        </w:tc>
        <w:tc>
          <w:tcPr>
            <w:tcW w:type="dxa" w:w="4986"/>
            <w:vAlign w:val="center"/>
          </w:tcPr>
          <w:p>
            <w:r/>
            <w:r>
              <w:rPr>
                <w:rFonts w:ascii="Arial" w:hAnsi="Arial"/>
                <w:b w:val="0"/>
                <w:sz w:val="18"/>
              </w:rPr>
              <w:t>Conceptual data expectations.</w:t>
            </w:r>
          </w:p>
        </w:tc>
      </w:tr>
      <w:tr>
        <w:tc>
          <w:tcPr>
            <w:tcW w:type="dxa" w:w="4986"/>
            <w:vAlign w:val="center"/>
          </w:tcPr>
          <w:p>
            <w:r/>
            <w:r>
              <w:rPr>
                <w:rFonts w:ascii="Arial" w:hAnsi="Arial"/>
                <w:b w:val="0"/>
                <w:sz w:val="18"/>
              </w:rPr>
              <w:t>docs/ba/06-authorization-matrix.md</w:t>
            </w:r>
          </w:p>
        </w:tc>
        <w:tc>
          <w:tcPr>
            <w:tcW w:type="dxa" w:w="4986"/>
            <w:vAlign w:val="center"/>
          </w:tcPr>
          <w:p>
            <w:r/>
            <w:r>
              <w:rPr>
                <w:rFonts w:ascii="Arial" w:hAnsi="Arial"/>
                <w:b w:val="0"/>
                <w:sz w:val="18"/>
              </w:rPr>
              <w:t>Role and action permissions.</w:t>
            </w:r>
          </w:p>
        </w:tc>
      </w:tr>
      <w:tr>
        <w:tc>
          <w:tcPr>
            <w:tcW w:type="dxa" w:w="4986"/>
            <w:vAlign w:val="center"/>
          </w:tcPr>
          <w:p>
            <w:r/>
            <w:r>
              <w:rPr>
                <w:rFonts w:ascii="Arial" w:hAnsi="Arial"/>
                <w:b w:val="0"/>
                <w:sz w:val="18"/>
              </w:rPr>
              <w:t>docs/ba/07-fiori-ux-requirements.md</w:t>
            </w:r>
          </w:p>
        </w:tc>
        <w:tc>
          <w:tcPr>
            <w:tcW w:type="dxa" w:w="4986"/>
            <w:vAlign w:val="center"/>
          </w:tcPr>
          <w:p>
            <w:r/>
            <w:r>
              <w:rPr>
                <w:rFonts w:ascii="Arial" w:hAnsi="Arial"/>
                <w:b w:val="0"/>
                <w:sz w:val="18"/>
              </w:rPr>
              <w:t>Fiori UX expectations.</w:t>
            </w:r>
          </w:p>
        </w:tc>
      </w:tr>
      <w:tr>
        <w:tc>
          <w:tcPr>
            <w:tcW w:type="dxa" w:w="4986"/>
            <w:vAlign w:val="center"/>
          </w:tcPr>
          <w:p>
            <w:r/>
            <w:r>
              <w:rPr>
                <w:rFonts w:ascii="Arial" w:hAnsi="Arial"/>
                <w:b w:val="0"/>
                <w:sz w:val="18"/>
              </w:rPr>
              <w:t>docs/ba/discovery/idts-63-ai-assistance-guardrails.md</w:t>
            </w:r>
          </w:p>
        </w:tc>
        <w:tc>
          <w:tcPr>
            <w:tcW w:type="dxa" w:w="4986"/>
            <w:vAlign w:val="center"/>
          </w:tcPr>
          <w:p>
            <w:r/>
            <w:r>
              <w:rPr>
                <w:rFonts w:ascii="Arial" w:hAnsi="Arial"/>
                <w:b w:val="0"/>
                <w:sz w:val="18"/>
              </w:rPr>
              <w:t>Approved advisory-AI scope, privacy, safety, and human-review constraints.</w:t>
            </w:r>
          </w:p>
        </w:tc>
      </w:tr>
      <w:tr>
        <w:tc>
          <w:tcPr>
            <w:tcW w:type="dxa" w:w="4986"/>
            <w:vAlign w:val="center"/>
          </w:tcPr>
          <w:p>
            <w:r/>
            <w:r>
              <w:rPr>
                <w:rFonts w:ascii="Arial" w:hAnsi="Arial"/>
                <w:b w:val="0"/>
                <w:sz w:val="18"/>
              </w:rPr>
              <w:t>docs/diagrams/</w:t>
            </w:r>
          </w:p>
        </w:tc>
        <w:tc>
          <w:tcPr>
            <w:tcW w:type="dxa" w:w="4986"/>
            <w:vAlign w:val="center"/>
          </w:tcPr>
          <w:p>
            <w:r/>
            <w:r>
              <w:rPr>
                <w:rFonts w:ascii="Arial" w:hAnsi="Arial"/>
                <w:b w:val="0"/>
                <w:sz w:val="18"/>
              </w:rPr>
              <w:t>Existing use case, workflow, status, data, audit, and notification diagrams.</w:t>
            </w:r>
          </w:p>
        </w:tc>
      </w:tr>
      <w:tr>
        <w:tc>
          <w:tcPr>
            <w:tcW w:type="dxa" w:w="4986"/>
            <w:vAlign w:val="center"/>
          </w:tcPr>
          <w:p>
            <w:r/>
            <w:r>
              <w:rPr>
                <w:rFonts w:ascii="Arial" w:hAnsi="Arial"/>
                <w:b w:val="0"/>
                <w:sz w:val="18"/>
              </w:rPr>
              <w:t>docs/knowledge/sap490-deliverable-guidance.md</w:t>
            </w:r>
          </w:p>
        </w:tc>
        <w:tc>
          <w:tcPr>
            <w:tcW w:type="dxa" w:w="4986"/>
            <w:vAlign w:val="center"/>
          </w:tcPr>
          <w:p>
            <w:r/>
            <w:r>
              <w:rPr>
                <w:rFonts w:ascii="Arial" w:hAnsi="Arial"/>
                <w:b w:val="0"/>
                <w:sz w:val="18"/>
              </w:rPr>
              <w:t>SAP490 deliverable interpretation for CAP/Fiori.</w:t>
            </w:r>
          </w:p>
        </w:tc>
      </w:tr>
    </w:tbl>
    <w:p>
      <w:pPr>
        <w:pStyle w:val="Heading2"/>
      </w:pPr>
      <w:r>
        <w:t>4. Product Context</w:t>
      </w:r>
    </w:p>
    <w:p>
      <w:pPr>
        <w:pStyle w:val="Heading3"/>
      </w:pPr>
      <w:r>
        <w:t>4.1 System Context</w:t>
      </w:r>
    </w:p>
    <w:p>
      <w:r>
        <w:t>IDTS is a SAP CAP Node.js application exposed through OData V4 and consumed by a SAP Fiori Elements/SAPUI5 frontend. Local development uses SQLite. Shared QA runs on Render with PostgreSQL and externally bound object storage. Any later production target remains configurable; endpoints and credentials shall not be hardcoded.</w:t>
      </w:r>
    </w:p>
    <w:p>
      <w:pPr>
        <w:jc w:val="center"/>
      </w:pPr>
      <w:r>
        <w:drawing>
          <wp:inline xmlns:a="http://schemas.openxmlformats.org/drawingml/2006/main" xmlns:pic="http://schemas.openxmlformats.org/drawingml/2006/picture">
            <wp:extent cx="5760720" cy="2249866"/>
            <wp:docPr id="1" name="Picture 1"/>
            <wp:cNvGraphicFramePr>
              <a:graphicFrameLocks noChangeAspect="1"/>
            </wp:cNvGraphicFramePr>
            <a:graphic>
              <a:graphicData uri="http://schemas.openxmlformats.org/drawingml/2006/picture">
                <pic:pic>
                  <pic:nvPicPr>
                    <pic:cNvPr id="0" name="13-srs-system-context.png"/>
                    <pic:cNvPicPr/>
                  </pic:nvPicPr>
                  <pic:blipFill>
                    <a:blip r:embed="rId9"/>
                    <a:stretch>
                      <a:fillRect/>
                    </a:stretch>
                  </pic:blipFill>
                  <pic:spPr>
                    <a:xfrm>
                      <a:off x="0" y="0"/>
                      <a:ext cx="5760720" cy="2249866"/>
                    </a:xfrm>
                    <a:prstGeom prst="rect"/>
                  </pic:spPr>
                </pic:pic>
              </a:graphicData>
            </a:graphic>
          </wp:inline>
        </w:drawing>
      </w:r>
    </w:p>
    <w:p>
      <w:pPr>
        <w:jc w:val="center"/>
      </w:pPr>
      <w:r>
        <w:rPr>
          <w:i/>
          <w:sz w:val="18"/>
        </w:rPr>
        <w:t>Figure. SRS System Context</w:t>
      </w:r>
    </w:p>
    <w:p>
      <w:pPr>
        <w:pStyle w:val="Heading3"/>
      </w:pPr>
      <w:r>
        <w:t>4.2 User Classes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User class</w:t>
            </w:r>
          </w:p>
        </w:tc>
        <w:tc>
          <w:tcPr>
            <w:tcW w:type="dxa" w:w="4986"/>
            <w:shd w:val="clear" w:fill="D9E2F3"/>
            <w:vAlign w:val="center"/>
          </w:tcPr>
          <w:p>
            <w:r/>
            <w:r>
              <w:rPr>
                <w:rFonts w:ascii="Arial" w:hAnsi="Arial"/>
                <w:b/>
                <w:sz w:val="18"/>
              </w:rPr>
              <w:t>Main responsibilities</w:t>
            </w:r>
          </w:p>
        </w:tc>
      </w:tr>
      <w:tr>
        <w:tc>
          <w:tcPr>
            <w:tcW w:type="dxa" w:w="4986"/>
            <w:vAlign w:val="center"/>
          </w:tcPr>
          <w:p>
            <w:r/>
            <w:r>
              <w:rPr>
                <w:rFonts w:ascii="Arial" w:hAnsi="Arial"/>
                <w:b w:val="0"/>
                <w:sz w:val="18"/>
              </w:rPr>
              <w:t>Tester</w:t>
            </w:r>
          </w:p>
        </w:tc>
        <w:tc>
          <w:tcPr>
            <w:tcW w:type="dxa" w:w="4986"/>
            <w:vAlign w:val="center"/>
          </w:tcPr>
          <w:p>
            <w:r/>
            <w:r>
              <w:rPr>
                <w:rFonts w:ascii="Arial" w:hAnsi="Arial"/>
                <w:b w:val="0"/>
                <w:sz w:val="18"/>
              </w:rPr>
              <w:t>Create, classify, update, assign, reassign, provide information, retest, close, and reopen bugs where allowed.</w:t>
            </w:r>
          </w:p>
        </w:tc>
      </w:tr>
      <w:tr>
        <w:tc>
          <w:tcPr>
            <w:tcW w:type="dxa" w:w="4986"/>
            <w:vAlign w:val="center"/>
          </w:tcPr>
          <w:p>
            <w:r/>
            <w:r>
              <w:rPr>
                <w:rFonts w:ascii="Arial" w:hAnsi="Arial"/>
                <w:b w:val="0"/>
                <w:sz w:val="18"/>
              </w:rPr>
              <w:t>Developer</w:t>
            </w:r>
          </w:p>
        </w:tc>
        <w:tc>
          <w:tcPr>
            <w:tcW w:type="dxa" w:w="4986"/>
            <w:vAlign w:val="center"/>
          </w:tcPr>
          <w:p>
            <w:r/>
            <w:r>
              <w:rPr>
                <w:rFonts w:ascii="Arial" w:hAnsi="Arial"/>
                <w:b w:val="0"/>
                <w:sz w:val="18"/>
              </w:rPr>
              <w:t>Review assigned bugs, request information, reject unsuitable assignment or classification, progress, resolve, and comment.</w:t>
            </w:r>
          </w:p>
        </w:tc>
      </w:tr>
      <w:tr>
        <w:tc>
          <w:tcPr>
            <w:tcW w:type="dxa" w:w="4986"/>
            <w:vAlign w:val="center"/>
          </w:tcPr>
          <w:p>
            <w:r/>
            <w:r>
              <w:rPr>
                <w:rFonts w:ascii="Arial" w:hAnsi="Arial"/>
                <w:b w:val="0"/>
                <w:sz w:val="18"/>
              </w:rPr>
              <w:t>PM</w:t>
            </w:r>
          </w:p>
        </w:tc>
        <w:tc>
          <w:tcPr>
            <w:tcW w:type="dxa" w:w="4986"/>
            <w:vAlign w:val="center"/>
          </w:tcPr>
          <w:p>
            <w:r/>
            <w:r>
              <w:rPr>
                <w:rFonts w:ascii="Arial" w:hAnsi="Arial"/>
                <w:b w:val="0"/>
                <w:sz w:val="18"/>
              </w:rPr>
              <w:t>Monitor all bugs, workload, overdue items, queues, rejected follow-up, nextProcessor, and escalation risks.</w:t>
            </w:r>
          </w:p>
        </w:tc>
      </w:tr>
    </w:tbl>
    <w:p>
      <w:r>
        <w:t>Reporter and Admin are not separate MVP user classes. Tester performs internal reporting responsibilities, while lightweight administrative responsibilities are handled by Tester or PM where authorized.</w:t>
      </w:r>
    </w:p>
    <w:p>
      <w:pPr>
        <w:pStyle w:val="Heading3"/>
      </w:pPr>
      <w:r>
        <w:t>4.3 Operating Environment</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Area</w:t>
            </w:r>
          </w:p>
        </w:tc>
        <w:tc>
          <w:tcPr>
            <w:tcW w:type="dxa" w:w="4986"/>
            <w:shd w:val="clear" w:fill="D9E2F3"/>
            <w:vAlign w:val="center"/>
          </w:tcPr>
          <w:p>
            <w:r/>
            <w:r>
              <w:rPr>
                <w:rFonts w:ascii="Arial" w:hAnsi="Arial"/>
                <w:b/>
                <w:sz w:val="18"/>
              </w:rPr>
              <w:t>Requirement baseline</w:t>
            </w:r>
          </w:p>
        </w:tc>
      </w:tr>
      <w:tr>
        <w:tc>
          <w:tcPr>
            <w:tcW w:type="dxa" w:w="4986"/>
            <w:vAlign w:val="center"/>
          </w:tcPr>
          <w:p>
            <w:r/>
            <w:r>
              <w:rPr>
                <w:rFonts w:ascii="Arial" w:hAnsi="Arial"/>
                <w:b w:val="0"/>
                <w:sz w:val="18"/>
              </w:rPr>
              <w:t>Backend</w:t>
            </w:r>
          </w:p>
        </w:tc>
        <w:tc>
          <w:tcPr>
            <w:tcW w:type="dxa" w:w="4986"/>
            <w:vAlign w:val="center"/>
          </w:tcPr>
          <w:p>
            <w:r/>
            <w:r>
              <w:rPr>
                <w:rFonts w:ascii="Arial" w:hAnsi="Arial"/>
                <w:b w:val="0"/>
                <w:sz w:val="18"/>
              </w:rPr>
              <w:t>SAP CAP Node.js.</w:t>
            </w:r>
          </w:p>
        </w:tc>
      </w:tr>
      <w:tr>
        <w:tc>
          <w:tcPr>
            <w:tcW w:type="dxa" w:w="4986"/>
            <w:vAlign w:val="center"/>
          </w:tcPr>
          <w:p>
            <w:r/>
            <w:r>
              <w:rPr>
                <w:rFonts w:ascii="Arial" w:hAnsi="Arial"/>
                <w:b w:val="0"/>
                <w:sz w:val="18"/>
              </w:rPr>
              <w:t>API</w:t>
            </w:r>
          </w:p>
        </w:tc>
        <w:tc>
          <w:tcPr>
            <w:tcW w:type="dxa" w:w="4986"/>
            <w:vAlign w:val="center"/>
          </w:tcPr>
          <w:p>
            <w:r/>
            <w:r>
              <w:rPr>
                <w:rFonts w:ascii="Arial" w:hAnsi="Arial"/>
                <w:b w:val="0"/>
                <w:sz w:val="18"/>
              </w:rPr>
              <w:t>OData V4.</w:t>
            </w:r>
          </w:p>
        </w:tc>
      </w:tr>
      <w:tr>
        <w:tc>
          <w:tcPr>
            <w:tcW w:type="dxa" w:w="4986"/>
            <w:vAlign w:val="center"/>
          </w:tcPr>
          <w:p>
            <w:r/>
            <w:r>
              <w:rPr>
                <w:rFonts w:ascii="Arial" w:hAnsi="Arial"/>
                <w:b w:val="0"/>
                <w:sz w:val="18"/>
              </w:rPr>
              <w:t>Frontend</w:t>
            </w:r>
          </w:p>
        </w:tc>
        <w:tc>
          <w:tcPr>
            <w:tcW w:type="dxa" w:w="4986"/>
            <w:vAlign w:val="center"/>
          </w:tcPr>
          <w:p>
            <w:r/>
            <w:r>
              <w:rPr>
                <w:rFonts w:ascii="Arial" w:hAnsi="Arial"/>
                <w:b w:val="0"/>
                <w:sz w:val="18"/>
              </w:rPr>
              <w:t>Fiori Elements List Report/Object Page as default; SAPUI5 extensions only when needed.</w:t>
            </w:r>
          </w:p>
        </w:tc>
      </w:tr>
      <w:tr>
        <w:tc>
          <w:tcPr>
            <w:tcW w:type="dxa" w:w="4986"/>
            <w:vAlign w:val="center"/>
          </w:tcPr>
          <w:p>
            <w:r/>
            <w:r>
              <w:rPr>
                <w:rFonts w:ascii="Arial" w:hAnsi="Arial"/>
                <w:b w:val="0"/>
                <w:sz w:val="18"/>
              </w:rPr>
              <w:t>Local database</w:t>
            </w:r>
          </w:p>
        </w:tc>
        <w:tc>
          <w:tcPr>
            <w:tcW w:type="dxa" w:w="4986"/>
            <w:vAlign w:val="center"/>
          </w:tcPr>
          <w:p>
            <w:r/>
            <w:r>
              <w:rPr>
                <w:rFonts w:ascii="Arial" w:hAnsi="Arial"/>
                <w:b w:val="0"/>
                <w:sz w:val="18"/>
              </w:rPr>
              <w:t>SQLite.</w:t>
            </w:r>
          </w:p>
        </w:tc>
      </w:tr>
      <w:tr>
        <w:tc>
          <w:tcPr>
            <w:tcW w:type="dxa" w:w="4986"/>
            <w:vAlign w:val="center"/>
          </w:tcPr>
          <w:p>
            <w:r/>
            <w:r>
              <w:rPr>
                <w:rFonts w:ascii="Arial" w:hAnsi="Arial"/>
                <w:b w:val="0"/>
                <w:sz w:val="18"/>
              </w:rPr>
              <w:t>Shared QA runtime and database</w:t>
            </w:r>
          </w:p>
        </w:tc>
        <w:tc>
          <w:tcPr>
            <w:tcW w:type="dxa" w:w="4986"/>
            <w:vAlign w:val="center"/>
          </w:tcPr>
          <w:p>
            <w:r/>
            <w:r>
              <w:rPr>
                <w:rFonts w:ascii="Arial" w:hAnsi="Arial"/>
                <w:b w:val="0"/>
                <w:sz w:val="18"/>
              </w:rPr>
              <w:t>Render-hosted CAP runtime with PostgreSQL through the integration profile.</w:t>
            </w:r>
          </w:p>
        </w:tc>
      </w:tr>
      <w:tr>
        <w:tc>
          <w:tcPr>
            <w:tcW w:type="dxa" w:w="4986"/>
            <w:vAlign w:val="center"/>
          </w:tcPr>
          <w:p>
            <w:r/>
            <w:r>
              <w:rPr>
                <w:rFonts w:ascii="Arial" w:hAnsi="Arial"/>
                <w:b w:val="0"/>
                <w:sz w:val="18"/>
              </w:rPr>
              <w:t>Attachment storage</w:t>
            </w:r>
          </w:p>
        </w:tc>
        <w:tc>
          <w:tcPr>
            <w:tcW w:type="dxa" w:w="4986"/>
            <w:vAlign w:val="center"/>
          </w:tcPr>
          <w:p>
            <w:r/>
            <w:r>
              <w:rPr>
                <w:rFonts w:ascii="Arial" w:hAnsi="Arial"/>
                <w:b w:val="0"/>
                <w:sz w:val="18"/>
              </w:rPr>
              <w:t>@cap-js/attachments composition with local DB fallback and externally bound S3 object storage for shared QA.</w:t>
            </w:r>
          </w:p>
        </w:tc>
      </w:tr>
      <w:tr>
        <w:tc>
          <w:tcPr>
            <w:tcW w:type="dxa" w:w="4986"/>
            <w:vAlign w:val="center"/>
          </w:tcPr>
          <w:p>
            <w:r/>
            <w:r>
              <w:rPr>
                <w:rFonts w:ascii="Arial" w:hAnsi="Arial"/>
                <w:b w:val="0"/>
                <w:sz w:val="18"/>
              </w:rPr>
              <w:t>Authentication / authorization</w:t>
            </w:r>
          </w:p>
        </w:tc>
        <w:tc>
          <w:tcPr>
            <w:tcW w:type="dxa" w:w="4986"/>
            <w:vAlign w:val="center"/>
          </w:tcPr>
          <w:p>
            <w:r/>
            <w:r>
              <w:rPr>
                <w:rFonts w:ascii="Arial" w:hAnsi="Arial"/>
                <w:b w:val="0"/>
                <w:sz w:val="18"/>
              </w:rPr>
              <w:t>AuthService.login verifies credentials, AuthSessions holds server-managed bearer sessions, and middleware maps the session to the internal Tester, Developer, or PM role. XSUAA/BTP is not required for the current baseline.</w:t>
            </w:r>
          </w:p>
        </w:tc>
      </w:tr>
    </w:tbl>
    <w:p>
      <w:pPr>
        <w:pStyle w:val="Heading2"/>
      </w:pPr>
      <w:r>
        <w:t>5. Assumptions, Constraints, and Dependencies</w:t>
      </w:r>
    </w:p>
    <w:p>
      <w:pPr>
        <w:pStyle w:val="Heading3"/>
      </w:pPr>
      <w:r>
        <w:t>5.1 Assumptions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ID</w:t>
            </w:r>
          </w:p>
        </w:tc>
        <w:tc>
          <w:tcPr>
            <w:tcW w:type="dxa" w:w="4986"/>
            <w:shd w:val="clear" w:fill="D9E2F3"/>
            <w:vAlign w:val="center"/>
          </w:tcPr>
          <w:p>
            <w:r/>
            <w:r>
              <w:rPr>
                <w:rFonts w:ascii="Arial" w:hAnsi="Arial"/>
                <w:b/>
                <w:sz w:val="18"/>
              </w:rPr>
              <w:t>Assumption</w:t>
            </w:r>
          </w:p>
        </w:tc>
      </w:tr>
      <w:tr>
        <w:tc>
          <w:tcPr>
            <w:tcW w:type="dxa" w:w="4986"/>
            <w:vAlign w:val="center"/>
          </w:tcPr>
          <w:p>
            <w:r/>
            <w:r>
              <w:rPr>
                <w:rFonts w:ascii="Arial" w:hAnsi="Arial"/>
                <w:b w:val="0"/>
                <w:sz w:val="18"/>
              </w:rPr>
              <w:t>ASM-001</w:t>
            </w:r>
          </w:p>
        </w:tc>
        <w:tc>
          <w:tcPr>
            <w:tcW w:type="dxa" w:w="4986"/>
            <w:vAlign w:val="center"/>
          </w:tcPr>
          <w:p>
            <w:r/>
            <w:r>
              <w:rPr>
                <w:rFonts w:ascii="Arial" w:hAnsi="Arial"/>
                <w:b w:val="0"/>
                <w:sz w:val="18"/>
              </w:rPr>
              <w:t>SAP Module is optional because not every IDTS defect belongs to a SAP functional module.</w:t>
            </w:r>
          </w:p>
        </w:tc>
      </w:tr>
      <w:tr>
        <w:tc>
          <w:tcPr>
            <w:tcW w:type="dxa" w:w="4986"/>
            <w:vAlign w:val="center"/>
          </w:tcPr>
          <w:p>
            <w:r/>
            <w:r>
              <w:rPr>
                <w:rFonts w:ascii="Arial" w:hAnsi="Arial"/>
                <w:b w:val="0"/>
                <w:sz w:val="18"/>
              </w:rPr>
              <w:t>ASM-002</w:t>
            </w:r>
          </w:p>
        </w:tc>
        <w:tc>
          <w:tcPr>
            <w:tcW w:type="dxa" w:w="4986"/>
            <w:vAlign w:val="center"/>
          </w:tcPr>
          <w:p>
            <w:r/>
            <w:r>
              <w:rPr>
                <w:rFonts w:ascii="Arial" w:hAnsi="Arial"/>
                <w:b w:val="0"/>
                <w:sz w:val="18"/>
              </w:rPr>
              <w:t>Application Component and Defect Category are required for assignment filtering.</w:t>
            </w:r>
          </w:p>
        </w:tc>
      </w:tr>
      <w:tr>
        <w:tc>
          <w:tcPr>
            <w:tcW w:type="dxa" w:w="4986"/>
            <w:vAlign w:val="center"/>
          </w:tcPr>
          <w:p>
            <w:r/>
            <w:r>
              <w:rPr>
                <w:rFonts w:ascii="Arial" w:hAnsi="Arial"/>
                <w:b w:val="0"/>
                <w:sz w:val="18"/>
              </w:rPr>
              <w:t>ASM-003</w:t>
            </w:r>
          </w:p>
        </w:tc>
        <w:tc>
          <w:tcPr>
            <w:tcW w:type="dxa" w:w="4986"/>
            <w:vAlign w:val="center"/>
          </w:tcPr>
          <w:p>
            <w:r/>
            <w:r>
              <w:rPr>
                <w:rFonts w:ascii="Arial" w:hAnsi="Arial"/>
                <w:b w:val="0"/>
                <w:sz w:val="18"/>
              </w:rPr>
              <w:t>Component Category is the valid pair of Application Component and Defect Category.</w:t>
            </w:r>
          </w:p>
        </w:tc>
      </w:tr>
      <w:tr>
        <w:tc>
          <w:tcPr>
            <w:tcW w:type="dxa" w:w="4986"/>
            <w:vAlign w:val="center"/>
          </w:tcPr>
          <w:p>
            <w:r/>
            <w:r>
              <w:rPr>
                <w:rFonts w:ascii="Arial" w:hAnsi="Arial"/>
                <w:b w:val="0"/>
                <w:sz w:val="18"/>
              </w:rPr>
              <w:t>ASM-004</w:t>
            </w:r>
          </w:p>
        </w:tc>
        <w:tc>
          <w:tcPr>
            <w:tcW w:type="dxa" w:w="4986"/>
            <w:vAlign w:val="center"/>
          </w:tcPr>
          <w:p>
            <w:r/>
            <w:r>
              <w:rPr>
                <w:rFonts w:ascii="Arial" w:hAnsi="Arial"/>
                <w:b w:val="0"/>
                <w:sz w:val="18"/>
              </w:rPr>
              <w:t>Developer Responsibility maps Developers to Component Categories and optionally to SAP Modules.</w:t>
            </w:r>
          </w:p>
        </w:tc>
      </w:tr>
      <w:tr>
        <w:tc>
          <w:tcPr>
            <w:tcW w:type="dxa" w:w="4986"/>
            <w:vAlign w:val="center"/>
          </w:tcPr>
          <w:p>
            <w:r/>
            <w:r>
              <w:rPr>
                <w:rFonts w:ascii="Arial" w:hAnsi="Arial"/>
                <w:b w:val="0"/>
                <w:sz w:val="18"/>
              </w:rPr>
              <w:t>ASM-005</w:t>
            </w:r>
          </w:p>
        </w:tc>
        <w:tc>
          <w:tcPr>
            <w:tcW w:type="dxa" w:w="4986"/>
            <w:vAlign w:val="center"/>
          </w:tcPr>
          <w:p>
            <w:r/>
            <w:r>
              <w:rPr>
                <w:rFonts w:ascii="Arial" w:hAnsi="Arial"/>
                <w:b w:val="0"/>
                <w:sz w:val="18"/>
              </w:rPr>
              <w:t>Notifications is the in-app event record; applicable events also create NotificationDeliveries email-outbox rows processed asynchronously. Live provider acceptance requires approved private configuration and evidence.</w:t>
            </w:r>
          </w:p>
        </w:tc>
      </w:tr>
      <w:tr>
        <w:tc>
          <w:tcPr>
            <w:tcW w:type="dxa" w:w="4986"/>
            <w:vAlign w:val="center"/>
          </w:tcPr>
          <w:p>
            <w:r/>
            <w:r>
              <w:rPr>
                <w:rFonts w:ascii="Arial" w:hAnsi="Arial"/>
                <w:b w:val="0"/>
                <w:sz w:val="18"/>
              </w:rPr>
              <w:t>ASM-006</w:t>
            </w:r>
          </w:p>
        </w:tc>
        <w:tc>
          <w:tcPr>
            <w:tcW w:type="dxa" w:w="4986"/>
            <w:vAlign w:val="center"/>
          </w:tcPr>
          <w:p>
            <w:r/>
            <w:r>
              <w:rPr>
                <w:rFonts w:ascii="Arial" w:hAnsi="Arial"/>
                <w:b w:val="0"/>
                <w:sz w:val="18"/>
              </w:rPr>
              <w:t>Attachments use the SAP-supported attachment composition; local development may use DB fallback while shared QA uses externally bound S3 object storage.</w:t>
            </w:r>
          </w:p>
        </w:tc>
      </w:tr>
      <w:tr>
        <w:tc>
          <w:tcPr>
            <w:tcW w:type="dxa" w:w="4986"/>
            <w:vAlign w:val="center"/>
          </w:tcPr>
          <w:p>
            <w:r/>
            <w:r>
              <w:rPr>
                <w:rFonts w:ascii="Arial" w:hAnsi="Arial"/>
                <w:b w:val="0"/>
                <w:sz w:val="18"/>
              </w:rPr>
              <w:t>ASM-007</w:t>
            </w:r>
          </w:p>
        </w:tc>
        <w:tc>
          <w:tcPr>
            <w:tcW w:type="dxa" w:w="4986"/>
            <w:vAlign w:val="center"/>
          </w:tcPr>
          <w:p>
            <w:r/>
            <w:r>
              <w:rPr>
                <w:rFonts w:ascii="Arial" w:hAnsi="Arial"/>
                <w:b w:val="0"/>
                <w:sz w:val="18"/>
              </w:rPr>
              <w:t>BRD v1.2 is the business baseline for this SRS.</w:t>
            </w:r>
          </w:p>
        </w:tc>
      </w:tr>
    </w:tbl>
    <w:p>
      <w:pPr>
        <w:pStyle w:val="Heading3"/>
      </w:pPr>
      <w:r>
        <w:t>5.2 Constraints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ID</w:t>
            </w:r>
          </w:p>
        </w:tc>
        <w:tc>
          <w:tcPr>
            <w:tcW w:type="dxa" w:w="4986"/>
            <w:shd w:val="clear" w:fill="D9E2F3"/>
            <w:vAlign w:val="center"/>
          </w:tcPr>
          <w:p>
            <w:r/>
            <w:r>
              <w:rPr>
                <w:rFonts w:ascii="Arial" w:hAnsi="Arial"/>
                <w:b/>
                <w:sz w:val="18"/>
              </w:rPr>
              <w:t>Constraint</w:t>
            </w:r>
          </w:p>
        </w:tc>
      </w:tr>
      <w:tr>
        <w:tc>
          <w:tcPr>
            <w:tcW w:type="dxa" w:w="4986"/>
            <w:vAlign w:val="center"/>
          </w:tcPr>
          <w:p>
            <w:r/>
            <w:r>
              <w:rPr>
                <w:rFonts w:ascii="Arial" w:hAnsi="Arial"/>
                <w:b w:val="0"/>
                <w:sz w:val="18"/>
              </w:rPr>
              <w:t>CON-001</w:t>
            </w:r>
          </w:p>
        </w:tc>
        <w:tc>
          <w:tcPr>
            <w:tcW w:type="dxa" w:w="4986"/>
            <w:vAlign w:val="center"/>
          </w:tcPr>
          <w:p>
            <w:r/>
            <w:r>
              <w:rPr>
                <w:rFonts w:ascii="Arial" w:hAnsi="Arial"/>
                <w:b w:val="0"/>
                <w:sz w:val="18"/>
              </w:rPr>
              <w:t>The solution shall stay within SAP490 MVP scope and shall not become a full ALM or project management system.</w:t>
            </w:r>
          </w:p>
        </w:tc>
      </w:tr>
      <w:tr>
        <w:tc>
          <w:tcPr>
            <w:tcW w:type="dxa" w:w="4986"/>
            <w:vAlign w:val="center"/>
          </w:tcPr>
          <w:p>
            <w:r/>
            <w:r>
              <w:rPr>
                <w:rFonts w:ascii="Arial" w:hAnsi="Arial"/>
                <w:b w:val="0"/>
                <w:sz w:val="18"/>
              </w:rPr>
              <w:t>CON-002</w:t>
            </w:r>
          </w:p>
        </w:tc>
        <w:tc>
          <w:tcPr>
            <w:tcW w:type="dxa" w:w="4986"/>
            <w:vAlign w:val="center"/>
          </w:tcPr>
          <w:p>
            <w:r/>
            <w:r>
              <w:rPr>
                <w:rFonts w:ascii="Arial" w:hAnsi="Arial"/>
                <w:b w:val="0"/>
                <w:sz w:val="18"/>
              </w:rPr>
              <w:t>The system shall not hardcode SAP BTP, HANA Cloud, PostgreSQL, email, webhook, or private endpoints.</w:t>
            </w:r>
          </w:p>
        </w:tc>
      </w:tr>
      <w:tr>
        <w:tc>
          <w:tcPr>
            <w:tcW w:type="dxa" w:w="4986"/>
            <w:vAlign w:val="center"/>
          </w:tcPr>
          <w:p>
            <w:r/>
            <w:r>
              <w:rPr>
                <w:rFonts w:ascii="Arial" w:hAnsi="Arial"/>
                <w:b w:val="0"/>
                <w:sz w:val="18"/>
              </w:rPr>
              <w:t>CON-003</w:t>
            </w:r>
          </w:p>
        </w:tc>
        <w:tc>
          <w:tcPr>
            <w:tcW w:type="dxa" w:w="4986"/>
            <w:vAlign w:val="center"/>
          </w:tcPr>
          <w:p>
            <w:r/>
            <w:r>
              <w:rPr>
                <w:rFonts w:ascii="Arial" w:hAnsi="Arial"/>
                <w:b w:val="0"/>
                <w:sz w:val="18"/>
              </w:rPr>
              <w:t>The system shall not store credentials, tokens, passwords, or service keys in repository files.</w:t>
            </w:r>
          </w:p>
        </w:tc>
      </w:tr>
      <w:tr>
        <w:tc>
          <w:tcPr>
            <w:tcW w:type="dxa" w:w="4986"/>
            <w:vAlign w:val="center"/>
          </w:tcPr>
          <w:p>
            <w:r/>
            <w:r>
              <w:rPr>
                <w:rFonts w:ascii="Arial" w:hAnsi="Arial"/>
                <w:b w:val="0"/>
                <w:sz w:val="18"/>
              </w:rPr>
              <w:t>CON-004</w:t>
            </w:r>
          </w:p>
        </w:tc>
        <w:tc>
          <w:tcPr>
            <w:tcW w:type="dxa" w:w="4986"/>
            <w:vAlign w:val="center"/>
          </w:tcPr>
          <w:p>
            <w:r/>
            <w:r>
              <w:rPr>
                <w:rFonts w:ascii="Arial" w:hAnsi="Arial"/>
                <w:b w:val="0"/>
                <w:sz w:val="18"/>
              </w:rPr>
              <w:t>Backend validation shall enforce business-critical rules; UI-only validation is not sufficient.</w:t>
            </w:r>
          </w:p>
        </w:tc>
      </w:tr>
      <w:tr>
        <w:tc>
          <w:tcPr>
            <w:tcW w:type="dxa" w:w="4986"/>
            <w:vAlign w:val="center"/>
          </w:tcPr>
          <w:p>
            <w:r/>
            <w:r>
              <w:rPr>
                <w:rFonts w:ascii="Arial" w:hAnsi="Arial"/>
                <w:b w:val="0"/>
                <w:sz w:val="18"/>
              </w:rPr>
              <w:t>CON-005</w:t>
            </w:r>
          </w:p>
        </w:tc>
        <w:tc>
          <w:tcPr>
            <w:tcW w:type="dxa" w:w="4986"/>
            <w:vAlign w:val="center"/>
          </w:tcPr>
          <w:p>
            <w:r/>
            <w:r>
              <w:rPr>
                <w:rFonts w:ascii="Arial" w:hAnsi="Arial"/>
                <w:b w:val="0"/>
                <w:sz w:val="18"/>
              </w:rPr>
              <w:t>Fiori implementation should prefer annotation-driven Fiori Elements before custom SAPUI5.</w:t>
            </w:r>
          </w:p>
        </w:tc>
      </w:tr>
    </w:tbl>
    <w:p>
      <w:pPr>
        <w:pStyle w:val="Heading3"/>
      </w:pPr>
      <w:r>
        <w:t>5.3 Dependencies</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ID</w:t>
            </w:r>
          </w:p>
        </w:tc>
        <w:tc>
          <w:tcPr>
            <w:tcW w:type="dxa" w:w="3324"/>
            <w:shd w:val="clear" w:fill="D9E2F3"/>
            <w:vAlign w:val="center"/>
          </w:tcPr>
          <w:p>
            <w:r/>
            <w:r>
              <w:rPr>
                <w:rFonts w:ascii="Arial" w:hAnsi="Arial"/>
                <w:b/>
                <w:sz w:val="18"/>
              </w:rPr>
              <w:t>Dependency</w:t>
            </w:r>
          </w:p>
        </w:tc>
        <w:tc>
          <w:tcPr>
            <w:tcW w:type="dxa" w:w="3324"/>
            <w:shd w:val="clear" w:fill="D9E2F3"/>
            <w:vAlign w:val="center"/>
          </w:tcPr>
          <w:p>
            <w:r/>
            <w:r>
              <w:rPr>
                <w:rFonts w:ascii="Arial" w:hAnsi="Arial"/>
                <w:b/>
                <w:sz w:val="18"/>
              </w:rPr>
              <w:t>Impact</w:t>
            </w:r>
          </w:p>
        </w:tc>
      </w:tr>
      <w:tr>
        <w:tc>
          <w:tcPr>
            <w:tcW w:type="dxa" w:w="3324"/>
            <w:vAlign w:val="center"/>
          </w:tcPr>
          <w:p>
            <w:r/>
            <w:r>
              <w:rPr>
                <w:rFonts w:ascii="Arial" w:hAnsi="Arial"/>
                <w:b w:val="0"/>
                <w:sz w:val="18"/>
              </w:rPr>
              <w:t>DEP-001</w:t>
            </w:r>
          </w:p>
        </w:tc>
        <w:tc>
          <w:tcPr>
            <w:tcW w:type="dxa" w:w="3324"/>
            <w:vAlign w:val="center"/>
          </w:tcPr>
          <w:p>
            <w:r/>
            <w:r>
              <w:rPr>
                <w:rFonts w:ascii="Arial" w:hAnsi="Arial"/>
                <w:b w:val="0"/>
                <w:sz w:val="18"/>
              </w:rPr>
              <w:t>Mentor acceptance of SAP CAP/Fiori as SAP490 coding deliverable</w:t>
            </w:r>
          </w:p>
        </w:tc>
        <w:tc>
          <w:tcPr>
            <w:tcW w:type="dxa" w:w="3324"/>
            <w:vAlign w:val="center"/>
          </w:tcPr>
          <w:p>
            <w:r/>
            <w:r>
              <w:rPr>
                <w:rFonts w:ascii="Arial" w:hAnsi="Arial"/>
                <w:b w:val="0"/>
                <w:sz w:val="18"/>
              </w:rPr>
              <w:t>May affect final report mapping.</w:t>
            </w:r>
          </w:p>
        </w:tc>
      </w:tr>
      <w:tr>
        <w:tc>
          <w:tcPr>
            <w:tcW w:type="dxa" w:w="3324"/>
            <w:vAlign w:val="center"/>
          </w:tcPr>
          <w:p>
            <w:r/>
            <w:r>
              <w:rPr>
                <w:rFonts w:ascii="Arial" w:hAnsi="Arial"/>
                <w:b w:val="0"/>
                <w:sz w:val="18"/>
              </w:rPr>
              <w:t>DEP-002</w:t>
            </w:r>
          </w:p>
        </w:tc>
        <w:tc>
          <w:tcPr>
            <w:tcW w:type="dxa" w:w="3324"/>
            <w:vAlign w:val="center"/>
          </w:tcPr>
          <w:p>
            <w:r/>
            <w:r>
              <w:rPr>
                <w:rFonts w:ascii="Arial" w:hAnsi="Arial"/>
                <w:b w:val="0"/>
                <w:sz w:val="18"/>
              </w:rPr>
              <w:t>Stable CDS model and service projections</w:t>
            </w:r>
          </w:p>
        </w:tc>
        <w:tc>
          <w:tcPr>
            <w:tcW w:type="dxa" w:w="3324"/>
            <w:vAlign w:val="center"/>
          </w:tcPr>
          <w:p>
            <w:r/>
            <w:r>
              <w:rPr>
                <w:rFonts w:ascii="Arial" w:hAnsi="Arial"/>
                <w:b w:val="0"/>
                <w:sz w:val="18"/>
              </w:rPr>
              <w:t>Required before stable Fiori value helps and actions.</w:t>
            </w:r>
          </w:p>
        </w:tc>
      </w:tr>
      <w:tr>
        <w:tc>
          <w:tcPr>
            <w:tcW w:type="dxa" w:w="3324"/>
            <w:vAlign w:val="center"/>
          </w:tcPr>
          <w:p>
            <w:r/>
            <w:r>
              <w:rPr>
                <w:rFonts w:ascii="Arial" w:hAnsi="Arial"/>
                <w:b w:val="0"/>
                <w:sz w:val="18"/>
              </w:rPr>
              <w:t>DEP-003</w:t>
            </w:r>
          </w:p>
        </w:tc>
        <w:tc>
          <w:tcPr>
            <w:tcW w:type="dxa" w:w="3324"/>
            <w:vAlign w:val="center"/>
          </w:tcPr>
          <w:p>
            <w:r/>
            <w:r>
              <w:rPr>
                <w:rFonts w:ascii="Arial" w:hAnsi="Arial"/>
                <w:b w:val="0"/>
                <w:sz w:val="18"/>
              </w:rPr>
              <w:t>Confirm PM reassignment authority</w:t>
            </w:r>
          </w:p>
        </w:tc>
        <w:tc>
          <w:tcPr>
            <w:tcW w:type="dxa" w:w="3324"/>
            <w:vAlign w:val="center"/>
          </w:tcPr>
          <w:p>
            <w:r/>
            <w:r>
              <w:rPr>
                <w:rFonts w:ascii="Arial" w:hAnsi="Arial"/>
                <w:b w:val="0"/>
                <w:sz w:val="18"/>
              </w:rPr>
              <w:t>Determines whether PM can directly assign/reassign or only request reassignment.</w:t>
            </w:r>
          </w:p>
        </w:tc>
      </w:tr>
      <w:tr>
        <w:tc>
          <w:tcPr>
            <w:tcW w:type="dxa" w:w="3324"/>
            <w:vAlign w:val="center"/>
          </w:tcPr>
          <w:p>
            <w:r/>
            <w:r>
              <w:rPr>
                <w:rFonts w:ascii="Arial" w:hAnsi="Arial"/>
                <w:b w:val="0"/>
                <w:sz w:val="18"/>
              </w:rPr>
              <w:t>DEP-004</w:t>
            </w:r>
          </w:p>
        </w:tc>
        <w:tc>
          <w:tcPr>
            <w:tcW w:type="dxa" w:w="3324"/>
            <w:vAlign w:val="center"/>
          </w:tcPr>
          <w:p>
            <w:r/>
            <w:r>
              <w:rPr>
                <w:rFonts w:ascii="Arial" w:hAnsi="Arial"/>
                <w:b w:val="0"/>
                <w:sz w:val="18"/>
              </w:rPr>
              <w:t>Verify live email-provider configuration</w:t>
            </w:r>
          </w:p>
        </w:tc>
        <w:tc>
          <w:tcPr>
            <w:tcW w:type="dxa" w:w="3324"/>
            <w:vAlign w:val="center"/>
          </w:tcPr>
          <w:p>
            <w:r/>
            <w:r>
              <w:rPr>
                <w:rFonts w:ascii="Arial" w:hAnsi="Arial"/>
                <w:b w:val="0"/>
                <w:sz w:val="18"/>
              </w:rPr>
              <w:t>The outbox behavior is implemented, but live delivery acceptance requires approved private configuration and evidence.</w:t>
            </w:r>
          </w:p>
        </w:tc>
      </w:tr>
    </w:tbl>
    <w:p>
      <w:pPr>
        <w:pStyle w:val="Heading2"/>
      </w:pPr>
      <w:r>
        <w:t>6. Requirement Identification</w:t>
      </w:r>
    </w:p>
    <w:p>
      <w:r>
        <w:t>SRS requirements use stable IDs: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Prefix</w:t>
            </w:r>
          </w:p>
        </w:tc>
        <w:tc>
          <w:tcPr>
            <w:tcW w:type="dxa" w:w="4986"/>
            <w:shd w:val="clear" w:fill="D9E2F3"/>
            <w:vAlign w:val="center"/>
          </w:tcPr>
          <w:p>
            <w:r/>
            <w:r>
              <w:rPr>
                <w:rFonts w:ascii="Arial" w:hAnsi="Arial"/>
                <w:b/>
                <w:sz w:val="18"/>
              </w:rPr>
              <w:t>Area</w:t>
            </w:r>
          </w:p>
        </w:tc>
      </w:tr>
      <w:tr>
        <w:tc>
          <w:tcPr>
            <w:tcW w:type="dxa" w:w="4986"/>
            <w:vAlign w:val="center"/>
          </w:tcPr>
          <w:p>
            <w:r/>
            <w:r>
              <w:rPr>
                <w:rFonts w:ascii="Arial" w:hAnsi="Arial"/>
                <w:b w:val="0"/>
                <w:sz w:val="18"/>
              </w:rPr>
              <w:t>SRS-FR-BUG</w:t>
            </w:r>
          </w:p>
        </w:tc>
        <w:tc>
          <w:tcPr>
            <w:tcW w:type="dxa" w:w="4986"/>
            <w:vAlign w:val="center"/>
          </w:tcPr>
          <w:p>
            <w:r/>
            <w:r>
              <w:rPr>
                <w:rFonts w:ascii="Arial" w:hAnsi="Arial"/>
                <w:b w:val="0"/>
                <w:sz w:val="18"/>
              </w:rPr>
              <w:t>Bug creation and duplicate support</w:t>
            </w:r>
          </w:p>
        </w:tc>
      </w:tr>
      <w:tr>
        <w:tc>
          <w:tcPr>
            <w:tcW w:type="dxa" w:w="4986"/>
            <w:vAlign w:val="center"/>
          </w:tcPr>
          <w:p>
            <w:r/>
            <w:r>
              <w:rPr>
                <w:rFonts w:ascii="Arial" w:hAnsi="Arial"/>
                <w:b w:val="0"/>
                <w:sz w:val="18"/>
              </w:rPr>
              <w:t>SRS-FR-CLASS</w:t>
            </w:r>
          </w:p>
        </w:tc>
        <w:tc>
          <w:tcPr>
            <w:tcW w:type="dxa" w:w="4986"/>
            <w:vAlign w:val="center"/>
          </w:tcPr>
          <w:p>
            <w:r/>
            <w:r>
              <w:rPr>
                <w:rFonts w:ascii="Arial" w:hAnsi="Arial"/>
                <w:b w:val="0"/>
                <w:sz w:val="18"/>
              </w:rPr>
              <w:t>Classification</w:t>
            </w:r>
          </w:p>
        </w:tc>
      </w:tr>
      <w:tr>
        <w:tc>
          <w:tcPr>
            <w:tcW w:type="dxa" w:w="4986"/>
            <w:vAlign w:val="center"/>
          </w:tcPr>
          <w:p>
            <w:r/>
            <w:r>
              <w:rPr>
                <w:rFonts w:ascii="Arial" w:hAnsi="Arial"/>
                <w:b w:val="0"/>
                <w:sz w:val="18"/>
              </w:rPr>
              <w:t>SRS-FR-ASSIGN</w:t>
            </w:r>
          </w:p>
        </w:tc>
        <w:tc>
          <w:tcPr>
            <w:tcW w:type="dxa" w:w="4986"/>
            <w:vAlign w:val="center"/>
          </w:tcPr>
          <w:p>
            <w:r/>
            <w:r>
              <w:rPr>
                <w:rFonts w:ascii="Arial" w:hAnsi="Arial"/>
                <w:b w:val="0"/>
                <w:sz w:val="18"/>
              </w:rPr>
              <w:t>Assignment and Developer Responsibility</w:t>
            </w:r>
          </w:p>
        </w:tc>
      </w:tr>
      <w:tr>
        <w:tc>
          <w:tcPr>
            <w:tcW w:type="dxa" w:w="4986"/>
            <w:vAlign w:val="center"/>
          </w:tcPr>
          <w:p>
            <w:r/>
            <w:r>
              <w:rPr>
                <w:rFonts w:ascii="Arial" w:hAnsi="Arial"/>
                <w:b w:val="0"/>
                <w:sz w:val="18"/>
              </w:rPr>
              <w:t>SRS-FR-STATUS</w:t>
            </w:r>
          </w:p>
        </w:tc>
        <w:tc>
          <w:tcPr>
            <w:tcW w:type="dxa" w:w="4986"/>
            <w:vAlign w:val="center"/>
          </w:tcPr>
          <w:p>
            <w:r/>
            <w:r>
              <w:rPr>
                <w:rFonts w:ascii="Arial" w:hAnsi="Arial"/>
                <w:b w:val="0"/>
                <w:sz w:val="18"/>
              </w:rPr>
              <w:t>Status lifecycle</w:t>
            </w:r>
          </w:p>
        </w:tc>
      </w:tr>
      <w:tr>
        <w:tc>
          <w:tcPr>
            <w:tcW w:type="dxa" w:w="4986"/>
            <w:vAlign w:val="center"/>
          </w:tcPr>
          <w:p>
            <w:r/>
            <w:r>
              <w:rPr>
                <w:rFonts w:ascii="Arial" w:hAnsi="Arial"/>
                <w:b w:val="0"/>
                <w:sz w:val="18"/>
              </w:rPr>
              <w:t>SRS-FR-COMMENT</w:t>
            </w:r>
          </w:p>
        </w:tc>
        <w:tc>
          <w:tcPr>
            <w:tcW w:type="dxa" w:w="4986"/>
            <w:vAlign w:val="center"/>
          </w:tcPr>
          <w:p>
            <w:r/>
            <w:r>
              <w:rPr>
                <w:rFonts w:ascii="Arial" w:hAnsi="Arial"/>
                <w:b w:val="0"/>
                <w:sz w:val="18"/>
              </w:rPr>
              <w:t>Comments</w:t>
            </w:r>
          </w:p>
        </w:tc>
      </w:tr>
      <w:tr>
        <w:tc>
          <w:tcPr>
            <w:tcW w:type="dxa" w:w="4986"/>
            <w:vAlign w:val="center"/>
          </w:tcPr>
          <w:p>
            <w:r/>
            <w:r>
              <w:rPr>
                <w:rFonts w:ascii="Arial" w:hAnsi="Arial"/>
                <w:b w:val="0"/>
                <w:sz w:val="18"/>
              </w:rPr>
              <w:t>SRS-FR-AUDIT</w:t>
            </w:r>
          </w:p>
        </w:tc>
        <w:tc>
          <w:tcPr>
            <w:tcW w:type="dxa" w:w="4986"/>
            <w:vAlign w:val="center"/>
          </w:tcPr>
          <w:p>
            <w:r/>
            <w:r>
              <w:rPr>
                <w:rFonts w:ascii="Arial" w:hAnsi="Arial"/>
                <w:b w:val="0"/>
                <w:sz w:val="18"/>
              </w:rPr>
              <w:t>History and audit</w:t>
            </w:r>
          </w:p>
        </w:tc>
      </w:tr>
      <w:tr>
        <w:tc>
          <w:tcPr>
            <w:tcW w:type="dxa" w:w="4986"/>
            <w:vAlign w:val="center"/>
          </w:tcPr>
          <w:p>
            <w:r/>
            <w:r>
              <w:rPr>
                <w:rFonts w:ascii="Arial" w:hAnsi="Arial"/>
                <w:b w:val="0"/>
                <w:sz w:val="18"/>
              </w:rPr>
              <w:t>SRS-FR-NOTIF</w:t>
            </w:r>
          </w:p>
        </w:tc>
        <w:tc>
          <w:tcPr>
            <w:tcW w:type="dxa" w:w="4986"/>
            <w:vAlign w:val="center"/>
          </w:tcPr>
          <w:p>
            <w:r/>
            <w:r>
              <w:rPr>
                <w:rFonts w:ascii="Arial" w:hAnsi="Arial"/>
                <w:b w:val="0"/>
                <w:sz w:val="18"/>
              </w:rPr>
              <w:t>Notification records</w:t>
            </w:r>
          </w:p>
        </w:tc>
      </w:tr>
      <w:tr>
        <w:tc>
          <w:tcPr>
            <w:tcW w:type="dxa" w:w="4986"/>
            <w:vAlign w:val="center"/>
          </w:tcPr>
          <w:p>
            <w:r/>
            <w:r>
              <w:rPr>
                <w:rFonts w:ascii="Arial" w:hAnsi="Arial"/>
                <w:b w:val="0"/>
                <w:sz w:val="18"/>
              </w:rPr>
              <w:t>SRS-FR-AUTH</w:t>
            </w:r>
          </w:p>
        </w:tc>
        <w:tc>
          <w:tcPr>
            <w:tcW w:type="dxa" w:w="4986"/>
            <w:vAlign w:val="center"/>
          </w:tcPr>
          <w:p>
            <w:r/>
            <w:r>
              <w:rPr>
                <w:rFonts w:ascii="Arial" w:hAnsi="Arial"/>
                <w:b w:val="0"/>
                <w:sz w:val="18"/>
              </w:rPr>
              <w:t>Authentication and session control</w:t>
            </w:r>
          </w:p>
        </w:tc>
      </w:tr>
      <w:tr>
        <w:tc>
          <w:tcPr>
            <w:tcW w:type="dxa" w:w="4986"/>
            <w:vAlign w:val="center"/>
          </w:tcPr>
          <w:p>
            <w:r/>
            <w:r>
              <w:rPr>
                <w:rFonts w:ascii="Arial" w:hAnsi="Arial"/>
                <w:b w:val="0"/>
                <w:sz w:val="18"/>
              </w:rPr>
              <w:t>SRS-FR-DELIVERY</w:t>
            </w:r>
          </w:p>
        </w:tc>
        <w:tc>
          <w:tcPr>
            <w:tcW w:type="dxa" w:w="4986"/>
            <w:vAlign w:val="center"/>
          </w:tcPr>
          <w:p>
            <w:r/>
            <w:r>
              <w:rPr>
                <w:rFonts w:ascii="Arial" w:hAnsi="Arial"/>
                <w:b w:val="0"/>
                <w:sz w:val="18"/>
              </w:rPr>
              <w:t>Asynchronous notification delivery</w:t>
            </w:r>
          </w:p>
        </w:tc>
      </w:tr>
      <w:tr>
        <w:tc>
          <w:tcPr>
            <w:tcW w:type="dxa" w:w="4986"/>
            <w:vAlign w:val="center"/>
          </w:tcPr>
          <w:p>
            <w:r/>
            <w:r>
              <w:rPr>
                <w:rFonts w:ascii="Arial" w:hAnsi="Arial"/>
                <w:b w:val="0"/>
                <w:sz w:val="18"/>
              </w:rPr>
              <w:t>SRS-FR-PM</w:t>
            </w:r>
          </w:p>
        </w:tc>
        <w:tc>
          <w:tcPr>
            <w:tcW w:type="dxa" w:w="4986"/>
            <w:vAlign w:val="center"/>
          </w:tcPr>
          <w:p>
            <w:r/>
            <w:r>
              <w:rPr>
                <w:rFonts w:ascii="Arial" w:hAnsi="Arial"/>
                <w:b w:val="0"/>
                <w:sz w:val="18"/>
              </w:rPr>
              <w:t>PM monitoring</w:t>
            </w:r>
          </w:p>
        </w:tc>
      </w:tr>
      <w:tr>
        <w:tc>
          <w:tcPr>
            <w:tcW w:type="dxa" w:w="4986"/>
            <w:vAlign w:val="center"/>
          </w:tcPr>
          <w:p>
            <w:r/>
            <w:r>
              <w:rPr>
                <w:rFonts w:ascii="Arial" w:hAnsi="Arial"/>
                <w:b w:val="0"/>
                <w:sz w:val="18"/>
              </w:rPr>
              <w:t>SRS-DATA</w:t>
            </w:r>
          </w:p>
        </w:tc>
        <w:tc>
          <w:tcPr>
            <w:tcW w:type="dxa" w:w="4986"/>
            <w:vAlign w:val="center"/>
          </w:tcPr>
          <w:p>
            <w:r/>
            <w:r>
              <w:rPr>
                <w:rFonts w:ascii="Arial" w:hAnsi="Arial"/>
                <w:b w:val="0"/>
                <w:sz w:val="18"/>
              </w:rPr>
              <w:t>Data requirements</w:t>
            </w:r>
          </w:p>
        </w:tc>
      </w:tr>
      <w:tr>
        <w:tc>
          <w:tcPr>
            <w:tcW w:type="dxa" w:w="4986"/>
            <w:vAlign w:val="center"/>
          </w:tcPr>
          <w:p>
            <w:r/>
            <w:r>
              <w:rPr>
                <w:rFonts w:ascii="Arial" w:hAnsi="Arial"/>
                <w:b w:val="0"/>
                <w:sz w:val="18"/>
              </w:rPr>
              <w:t>SRS-IF</w:t>
            </w:r>
          </w:p>
        </w:tc>
        <w:tc>
          <w:tcPr>
            <w:tcW w:type="dxa" w:w="4986"/>
            <w:vAlign w:val="center"/>
          </w:tcPr>
          <w:p>
            <w:r/>
            <w:r>
              <w:rPr>
                <w:rFonts w:ascii="Arial" w:hAnsi="Arial"/>
                <w:b w:val="0"/>
                <w:sz w:val="18"/>
              </w:rPr>
              <w:t>Interface and UI requirements</w:t>
            </w:r>
          </w:p>
        </w:tc>
      </w:tr>
      <w:tr>
        <w:tc>
          <w:tcPr>
            <w:tcW w:type="dxa" w:w="4986"/>
            <w:vAlign w:val="center"/>
          </w:tcPr>
          <w:p>
            <w:r/>
            <w:r>
              <w:rPr>
                <w:rFonts w:ascii="Arial" w:hAnsi="Arial"/>
                <w:b w:val="0"/>
                <w:sz w:val="18"/>
              </w:rPr>
              <w:t>SRS-NFR</w:t>
            </w:r>
          </w:p>
        </w:tc>
        <w:tc>
          <w:tcPr>
            <w:tcW w:type="dxa" w:w="4986"/>
            <w:vAlign w:val="center"/>
          </w:tcPr>
          <w:p>
            <w:r/>
            <w:r>
              <w:rPr>
                <w:rFonts w:ascii="Arial" w:hAnsi="Arial"/>
                <w:b w:val="0"/>
                <w:sz w:val="18"/>
              </w:rPr>
              <w:t>Non-functional requirements</w:t>
            </w:r>
          </w:p>
        </w:tc>
      </w:tr>
    </w:tbl>
    <w:p>
      <w:r>
        <w:t>Priorities use MoSCoW: Must, Should, Could, Won't for MVP.</w:t>
      </w:r>
    </w:p>
    <w:p>
      <w:r>
        <w:t>Verification methods: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Method</w:t>
            </w:r>
          </w:p>
        </w:tc>
        <w:tc>
          <w:tcPr>
            <w:tcW w:type="dxa" w:w="4986"/>
            <w:shd w:val="clear" w:fill="D9E2F3"/>
            <w:vAlign w:val="center"/>
          </w:tcPr>
          <w:p>
            <w:r/>
            <w:r>
              <w:rPr>
                <w:rFonts w:ascii="Arial" w:hAnsi="Arial"/>
                <w:b/>
                <w:sz w:val="18"/>
              </w:rPr>
              <w:t>Meaning</w:t>
            </w:r>
          </w:p>
        </w:tc>
      </w:tr>
      <w:tr>
        <w:tc>
          <w:tcPr>
            <w:tcW w:type="dxa" w:w="4986"/>
            <w:vAlign w:val="center"/>
          </w:tcPr>
          <w:p>
            <w:r/>
            <w:r>
              <w:rPr>
                <w:rFonts w:ascii="Arial" w:hAnsi="Arial"/>
                <w:b w:val="0"/>
                <w:sz w:val="18"/>
              </w:rPr>
              <w:t>Inspection</w:t>
            </w:r>
          </w:p>
        </w:tc>
        <w:tc>
          <w:tcPr>
            <w:tcW w:type="dxa" w:w="4986"/>
            <w:vAlign w:val="center"/>
          </w:tcPr>
          <w:p>
            <w:r/>
            <w:r>
              <w:rPr>
                <w:rFonts w:ascii="Arial" w:hAnsi="Arial"/>
                <w:b w:val="0"/>
                <w:sz w:val="18"/>
              </w:rPr>
              <w:t>Review documents, data model, generated metadata, records, UI annotations, or stored data.</w:t>
            </w:r>
          </w:p>
        </w:tc>
      </w:tr>
      <w:tr>
        <w:tc>
          <w:tcPr>
            <w:tcW w:type="dxa" w:w="4986"/>
            <w:vAlign w:val="center"/>
          </w:tcPr>
          <w:p>
            <w:r/>
            <w:r>
              <w:rPr>
                <w:rFonts w:ascii="Arial" w:hAnsi="Arial"/>
                <w:b w:val="0"/>
                <w:sz w:val="18"/>
              </w:rPr>
              <w:t>Demonstration</w:t>
            </w:r>
          </w:p>
        </w:tc>
        <w:tc>
          <w:tcPr>
            <w:tcW w:type="dxa" w:w="4986"/>
            <w:vAlign w:val="center"/>
          </w:tcPr>
          <w:p>
            <w:r/>
            <w:r>
              <w:rPr>
                <w:rFonts w:ascii="Arial" w:hAnsi="Arial"/>
                <w:b w:val="0"/>
                <w:sz w:val="18"/>
              </w:rPr>
              <w:t>Manually demonstrate a Fiori or CAP flow.</w:t>
            </w:r>
          </w:p>
        </w:tc>
      </w:tr>
      <w:tr>
        <w:tc>
          <w:tcPr>
            <w:tcW w:type="dxa" w:w="4986"/>
            <w:vAlign w:val="center"/>
          </w:tcPr>
          <w:p>
            <w:r/>
            <w:r>
              <w:rPr>
                <w:rFonts w:ascii="Arial" w:hAnsi="Arial"/>
                <w:b w:val="0"/>
                <w:sz w:val="18"/>
              </w:rPr>
              <w:t>Test</w:t>
            </w:r>
          </w:p>
        </w:tc>
        <w:tc>
          <w:tcPr>
            <w:tcW w:type="dxa" w:w="4986"/>
            <w:vAlign w:val="center"/>
          </w:tcPr>
          <w:p>
            <w:r/>
            <w:r>
              <w:rPr>
                <w:rFonts w:ascii="Arial" w:hAnsi="Arial"/>
                <w:b w:val="0"/>
                <w:sz w:val="18"/>
              </w:rPr>
              <w:t>Execute manual or automated test cases with expected results.</w:t>
            </w:r>
          </w:p>
        </w:tc>
      </w:tr>
      <w:tr>
        <w:tc>
          <w:tcPr>
            <w:tcW w:type="dxa" w:w="4986"/>
            <w:vAlign w:val="center"/>
          </w:tcPr>
          <w:p>
            <w:r/>
            <w:r>
              <w:rPr>
                <w:rFonts w:ascii="Arial" w:hAnsi="Arial"/>
                <w:b w:val="0"/>
                <w:sz w:val="18"/>
              </w:rPr>
              <w:t>Analysis</w:t>
            </w:r>
          </w:p>
        </w:tc>
        <w:tc>
          <w:tcPr>
            <w:tcW w:type="dxa" w:w="4986"/>
            <w:vAlign w:val="center"/>
          </w:tcPr>
          <w:p>
            <w:r/>
            <w:r>
              <w:rPr>
                <w:rFonts w:ascii="Arial" w:hAnsi="Arial"/>
                <w:b w:val="0"/>
                <w:sz w:val="18"/>
              </w:rPr>
              <w:t>Evaluate derived output such as workload, overdue state, traceability, or queue logic.</w:t>
            </w:r>
          </w:p>
        </w:tc>
      </w:tr>
    </w:tbl>
    <w:p>
      <w:pPr>
        <w:pStyle w:val="Heading2"/>
      </w:pPr>
      <w:r>
        <w:t>7. Functional Software Requirements</w:t>
      </w:r>
    </w:p>
    <w:p>
      <w:pPr>
        <w:pStyle w:val="Heading3"/>
      </w:pPr>
      <w:r>
        <w:t>7.1 Bug Reporting and Duplicate Support</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SRS-FR-BUG-001</w:t>
            </w:r>
          </w:p>
        </w:tc>
        <w:tc>
          <w:tcPr>
            <w:tcW w:type="dxa" w:w="1662"/>
            <w:vAlign w:val="center"/>
          </w:tcPr>
          <w:p>
            <w:r/>
            <w:r>
              <w:rPr>
                <w:rFonts w:ascii="Arial" w:hAnsi="Arial"/>
                <w:b w:val="0"/>
                <w:sz w:val="18"/>
              </w:rPr>
              <w:t>BRD-BR-001, REQ-BUG-001</w:t>
            </w:r>
          </w:p>
        </w:tc>
        <w:tc>
          <w:tcPr>
            <w:tcW w:type="dxa" w:w="1662"/>
            <w:vAlign w:val="center"/>
          </w:tcPr>
          <w:p>
            <w:r/>
            <w:r>
              <w:rPr>
                <w:rFonts w:ascii="Arial" w:hAnsi="Arial"/>
                <w:b w:val="0"/>
                <w:sz w:val="18"/>
              </w:rPr>
              <w:t>IDTS shall allow Tester users to create a bug report with title, description, priority, severity, environment, reproduction steps, actual result, expected result, SAP Module when relevant, Application Component, Defect Category, optional test references, and optional evidence metadata.</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 and test</w:t>
            </w:r>
          </w:p>
        </w:tc>
        <w:tc>
          <w:tcPr>
            <w:tcW w:type="dxa" w:w="1662"/>
            <w:vAlign w:val="center"/>
          </w:tcPr>
          <w:p>
            <w:r/>
            <w:r>
              <w:rPr>
                <w:rFonts w:ascii="Arial" w:hAnsi="Arial"/>
                <w:b w:val="0"/>
                <w:sz w:val="18"/>
              </w:rPr>
              <w:t>FRS-BUG-001</w:t>
            </w:r>
          </w:p>
        </w:tc>
      </w:tr>
      <w:tr>
        <w:tc>
          <w:tcPr>
            <w:tcW w:type="dxa" w:w="1662"/>
            <w:vAlign w:val="center"/>
          </w:tcPr>
          <w:p>
            <w:r/>
            <w:r>
              <w:rPr>
                <w:rFonts w:ascii="Arial" w:hAnsi="Arial"/>
                <w:b w:val="0"/>
                <w:sz w:val="18"/>
              </w:rPr>
              <w:t>SRS-FR-BUG-002</w:t>
            </w:r>
          </w:p>
        </w:tc>
        <w:tc>
          <w:tcPr>
            <w:tcW w:type="dxa" w:w="1662"/>
            <w:vAlign w:val="center"/>
          </w:tcPr>
          <w:p>
            <w:r/>
            <w:r>
              <w:rPr>
                <w:rFonts w:ascii="Arial" w:hAnsi="Arial"/>
                <w:b w:val="0"/>
                <w:sz w:val="18"/>
              </w:rPr>
              <w:t>BR-RULE-001, BR-05</w:t>
            </w:r>
          </w:p>
        </w:tc>
        <w:tc>
          <w:tcPr>
            <w:tcW w:type="dxa" w:w="1662"/>
            <w:vAlign w:val="center"/>
          </w:tcPr>
          <w:p>
            <w:r/>
            <w:r>
              <w:rPr>
                <w:rFonts w:ascii="Arial" w:hAnsi="Arial"/>
                <w:b w:val="0"/>
                <w:sz w:val="18"/>
              </w:rPr>
              <w:t>IDTS shall validate mandatory bug fields before submit and reject submission when required data is missing.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FRS-BUG-001</w:t>
            </w:r>
          </w:p>
        </w:tc>
      </w:tr>
      <w:tr>
        <w:tc>
          <w:tcPr>
            <w:tcW w:type="dxa" w:w="1662"/>
            <w:vAlign w:val="center"/>
          </w:tcPr>
          <w:p>
            <w:r/>
            <w:r>
              <w:rPr>
                <w:rFonts w:ascii="Arial" w:hAnsi="Arial"/>
                <w:b w:val="0"/>
                <w:sz w:val="18"/>
              </w:rPr>
              <w:t>SRS-FR-BUG-003</w:t>
            </w:r>
          </w:p>
        </w:tc>
        <w:tc>
          <w:tcPr>
            <w:tcW w:type="dxa" w:w="1662"/>
            <w:vAlign w:val="center"/>
          </w:tcPr>
          <w:p>
            <w:r/>
            <w:r>
              <w:rPr>
                <w:rFonts w:ascii="Arial" w:hAnsi="Arial"/>
                <w:b w:val="0"/>
                <w:sz w:val="18"/>
              </w:rPr>
              <w:t>BR-RULE-002, REQ-BUG-002</w:t>
            </w:r>
          </w:p>
        </w:tc>
        <w:tc>
          <w:tcPr>
            <w:tcW w:type="dxa" w:w="1662"/>
            <w:vAlign w:val="center"/>
          </w:tcPr>
          <w:p>
            <w:r/>
            <w:r>
              <w:rPr>
                <w:rFonts w:ascii="Arial" w:hAnsi="Arial"/>
                <w:b w:val="0"/>
                <w:sz w:val="18"/>
              </w:rPr>
              <w:t>IDTS shall provide search and filter support before creating a new bug so Tester users can identify similar open or closed bugs.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w:t>
            </w:r>
          </w:p>
        </w:tc>
        <w:tc>
          <w:tcPr>
            <w:tcW w:type="dxa" w:w="1662"/>
            <w:vAlign w:val="center"/>
          </w:tcPr>
          <w:p>
            <w:r/>
            <w:r>
              <w:rPr>
                <w:rFonts w:ascii="Arial" w:hAnsi="Arial"/>
                <w:b w:val="0"/>
                <w:sz w:val="18"/>
              </w:rPr>
              <w:t>FRS-BUG-002</w:t>
            </w:r>
          </w:p>
        </w:tc>
      </w:tr>
      <w:tr>
        <w:tc>
          <w:tcPr>
            <w:tcW w:type="dxa" w:w="1662"/>
            <w:vAlign w:val="center"/>
          </w:tcPr>
          <w:p>
            <w:r/>
            <w:r>
              <w:rPr>
                <w:rFonts w:ascii="Arial" w:hAnsi="Arial"/>
                <w:b w:val="0"/>
                <w:sz w:val="18"/>
              </w:rPr>
              <w:t>SRS-FR-BUG-004</w:t>
            </w:r>
          </w:p>
        </w:tc>
        <w:tc>
          <w:tcPr>
            <w:tcW w:type="dxa" w:w="1662"/>
            <w:vAlign w:val="center"/>
          </w:tcPr>
          <w:p>
            <w:r/>
            <w:r>
              <w:rPr>
                <w:rFonts w:ascii="Arial" w:hAnsi="Arial"/>
                <w:b w:val="0"/>
                <w:sz w:val="18"/>
              </w:rPr>
              <w:t>REQ-DUP-001</w:t>
            </w:r>
          </w:p>
        </w:tc>
        <w:tc>
          <w:tcPr>
            <w:tcW w:type="dxa" w:w="1662"/>
            <w:vAlign w:val="center"/>
          </w:tcPr>
          <w:p>
            <w:r/>
            <w:r>
              <w:rPr>
                <w:rFonts w:ascii="Arial" w:hAnsi="Arial"/>
                <w:b w:val="0"/>
                <w:sz w:val="18"/>
              </w:rPr>
              <w:t>IDTS should support duplicate, similar, or related bug links after MVP core creation works.</w:t>
            </w:r>
          </w:p>
        </w:tc>
        <w:tc>
          <w:tcPr>
            <w:tcW w:type="dxa" w:w="1662"/>
            <w:vAlign w:val="center"/>
          </w:tcPr>
          <w:p>
            <w:r/>
            <w:r>
              <w:rPr>
                <w:rFonts w:ascii="Arial" w:hAnsi="Arial"/>
                <w:b w:val="0"/>
                <w:sz w:val="18"/>
              </w:rPr>
              <w:t>Should</w:t>
            </w:r>
          </w:p>
        </w:tc>
        <w:tc>
          <w:tcPr>
            <w:tcW w:type="dxa" w:w="1662"/>
            <w:vAlign w:val="center"/>
          </w:tcPr>
          <w:p>
            <w:r/>
            <w:r>
              <w:rPr>
                <w:rFonts w:ascii="Arial" w:hAnsi="Arial"/>
                <w:b w:val="0"/>
                <w:sz w:val="18"/>
              </w:rPr>
              <w:t>Inspection and demonstration</w:t>
            </w:r>
          </w:p>
        </w:tc>
        <w:tc>
          <w:tcPr>
            <w:tcW w:type="dxa" w:w="1662"/>
            <w:vAlign w:val="center"/>
          </w:tcPr>
          <w:p>
            <w:r/>
            <w:r>
              <w:rPr>
                <w:rFonts w:ascii="Arial" w:hAnsi="Arial"/>
                <w:b w:val="0"/>
                <w:sz w:val="18"/>
              </w:rPr>
              <w:t>FRS-BUG-002</w:t>
            </w:r>
          </w:p>
        </w:tc>
      </w:tr>
      <w:tr>
        <w:tc>
          <w:tcPr>
            <w:tcW w:type="dxa" w:w="1662"/>
            <w:vAlign w:val="center"/>
          </w:tcPr>
          <w:p>
            <w:r/>
            <w:r>
              <w:rPr>
                <w:rFonts w:ascii="Arial" w:hAnsi="Arial"/>
                <w:b w:val="0"/>
                <w:sz w:val="18"/>
              </w:rPr>
              <w:t>SRS-FR-BUG-005</w:t>
            </w:r>
          </w:p>
        </w:tc>
        <w:tc>
          <w:tcPr>
            <w:tcW w:type="dxa" w:w="1662"/>
            <w:vAlign w:val="center"/>
          </w:tcPr>
          <w:p>
            <w:r/>
            <w:r>
              <w:rPr>
                <w:rFonts w:ascii="Arial" w:hAnsi="Arial"/>
                <w:b w:val="0"/>
                <w:sz w:val="18"/>
              </w:rPr>
              <w:t>BR-RULE-011</w:t>
            </w:r>
          </w:p>
        </w:tc>
        <w:tc>
          <w:tcPr>
            <w:tcW w:type="dxa" w:w="1662"/>
            <w:vAlign w:val="center"/>
          </w:tcPr>
          <w:p>
            <w:r/>
            <w:r>
              <w:rPr>
                <w:rFonts w:ascii="Arial" w:hAnsi="Arial"/>
                <w:b w:val="0"/>
                <w:sz w:val="18"/>
              </w:rPr>
              <w:t>IDTS shall prevent free editing of closed bugs and shall require reopen when processing must continue.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FRS-STATUS-004</w:t>
            </w:r>
          </w:p>
        </w:tc>
      </w:tr>
    </w:tbl>
    <w:p>
      <w:pPr>
        <w:pStyle w:val="Heading3"/>
      </w:pPr>
      <w:r>
        <w:t>7.2 Classification</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SRS-FR-CLASS-001</w:t>
            </w:r>
          </w:p>
        </w:tc>
        <w:tc>
          <w:tcPr>
            <w:tcW w:type="dxa" w:w="1662"/>
            <w:vAlign w:val="center"/>
          </w:tcPr>
          <w:p>
            <w:r/>
            <w:r>
              <w:rPr>
                <w:rFonts w:ascii="Arial" w:hAnsi="Arial"/>
                <w:b w:val="0"/>
                <w:sz w:val="18"/>
              </w:rPr>
              <w:t>BRD-BR-003, BR-RULE-003</w:t>
            </w:r>
          </w:p>
        </w:tc>
        <w:tc>
          <w:tcPr>
            <w:tcW w:type="dxa" w:w="1662"/>
            <w:vAlign w:val="center"/>
          </w:tcPr>
          <w:p>
            <w:r/>
            <w:r>
              <w:rPr>
                <w:rFonts w:ascii="Arial" w:hAnsi="Arial"/>
                <w:b w:val="0"/>
                <w:sz w:val="18"/>
              </w:rPr>
              <w:t>IDTS shall distinguish SAP Module, Application Component, and Defect Category as separate classification concepts.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demonstration</w:t>
            </w:r>
          </w:p>
        </w:tc>
        <w:tc>
          <w:tcPr>
            <w:tcW w:type="dxa" w:w="1662"/>
            <w:vAlign w:val="center"/>
          </w:tcPr>
          <w:p>
            <w:r/>
            <w:r>
              <w:rPr>
                <w:rFonts w:ascii="Arial" w:hAnsi="Arial"/>
                <w:b w:val="0"/>
                <w:sz w:val="18"/>
              </w:rPr>
              <w:t>FRS-CLASS-001</w:t>
            </w:r>
          </w:p>
        </w:tc>
      </w:tr>
      <w:tr>
        <w:tc>
          <w:tcPr>
            <w:tcW w:type="dxa" w:w="1662"/>
            <w:vAlign w:val="center"/>
          </w:tcPr>
          <w:p>
            <w:r/>
            <w:r>
              <w:rPr>
                <w:rFonts w:ascii="Arial" w:hAnsi="Arial"/>
                <w:b w:val="0"/>
                <w:sz w:val="18"/>
              </w:rPr>
              <w:t>SRS-FR-CLASS-002</w:t>
            </w:r>
          </w:p>
        </w:tc>
        <w:tc>
          <w:tcPr>
            <w:tcW w:type="dxa" w:w="1662"/>
            <w:vAlign w:val="center"/>
          </w:tcPr>
          <w:p>
            <w:r/>
            <w:r>
              <w:rPr>
                <w:rFonts w:ascii="Arial" w:hAnsi="Arial"/>
                <w:b w:val="0"/>
                <w:sz w:val="18"/>
              </w:rPr>
              <w:t>BR-42, REQ-CLS-001</w:t>
            </w:r>
          </w:p>
        </w:tc>
        <w:tc>
          <w:tcPr>
            <w:tcW w:type="dxa" w:w="1662"/>
            <w:vAlign w:val="center"/>
          </w:tcPr>
          <w:p>
            <w:r/>
            <w:r>
              <w:rPr>
                <w:rFonts w:ascii="Arial" w:hAnsi="Arial"/>
                <w:b w:val="0"/>
                <w:sz w:val="18"/>
              </w:rPr>
              <w:t>IDTS shall treat SAP Module as optional business context and shall allow pure IDTS bugs to leave it empty.</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FRS-CLASS-001</w:t>
            </w:r>
          </w:p>
        </w:tc>
      </w:tr>
      <w:tr>
        <w:tc>
          <w:tcPr>
            <w:tcW w:type="dxa" w:w="1662"/>
            <w:vAlign w:val="center"/>
          </w:tcPr>
          <w:p>
            <w:r/>
            <w:r>
              <w:rPr>
                <w:rFonts w:ascii="Arial" w:hAnsi="Arial"/>
                <w:b w:val="0"/>
                <w:sz w:val="18"/>
              </w:rPr>
              <w:t>SRS-FR-CLASS-003</w:t>
            </w:r>
          </w:p>
        </w:tc>
        <w:tc>
          <w:tcPr>
            <w:tcW w:type="dxa" w:w="1662"/>
            <w:vAlign w:val="center"/>
          </w:tcPr>
          <w:p>
            <w:r/>
            <w:r>
              <w:rPr>
                <w:rFonts w:ascii="Arial" w:hAnsi="Arial"/>
                <w:b w:val="0"/>
                <w:sz w:val="18"/>
              </w:rPr>
              <w:t>BR-42, REQ-CLS-001</w:t>
            </w:r>
          </w:p>
        </w:tc>
        <w:tc>
          <w:tcPr>
            <w:tcW w:type="dxa" w:w="1662"/>
            <w:vAlign w:val="center"/>
          </w:tcPr>
          <w:p>
            <w:r/>
            <w:r>
              <w:rPr>
                <w:rFonts w:ascii="Arial" w:hAnsi="Arial"/>
                <w:b w:val="0"/>
                <w:sz w:val="18"/>
              </w:rPr>
              <w:t>IDTS shall require Application Component and Defect Category for bug submission.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FRS-CLASS-001</w:t>
            </w:r>
          </w:p>
        </w:tc>
      </w:tr>
      <w:tr>
        <w:tc>
          <w:tcPr>
            <w:tcW w:type="dxa" w:w="1662"/>
            <w:vAlign w:val="center"/>
          </w:tcPr>
          <w:p>
            <w:r/>
            <w:r>
              <w:rPr>
                <w:rFonts w:ascii="Arial" w:hAnsi="Arial"/>
                <w:b w:val="0"/>
                <w:sz w:val="18"/>
              </w:rPr>
              <w:t>SRS-FR-CLASS-004</w:t>
            </w:r>
          </w:p>
        </w:tc>
        <w:tc>
          <w:tcPr>
            <w:tcW w:type="dxa" w:w="1662"/>
            <w:vAlign w:val="center"/>
          </w:tcPr>
          <w:p>
            <w:r/>
            <w:r>
              <w:rPr>
                <w:rFonts w:ascii="Arial" w:hAnsi="Arial"/>
                <w:b w:val="0"/>
                <w:sz w:val="18"/>
              </w:rPr>
              <w:t>Data Dictionary</w:t>
            </w:r>
          </w:p>
        </w:tc>
        <w:tc>
          <w:tcPr>
            <w:tcW w:type="dxa" w:w="1662"/>
            <w:vAlign w:val="center"/>
          </w:tcPr>
          <w:p>
            <w:r/>
            <w:r>
              <w:rPr>
                <w:rFonts w:ascii="Arial" w:hAnsi="Arial"/>
                <w:b w:val="0"/>
                <w:sz w:val="18"/>
              </w:rPr>
              <w:t>IDTS shall resolve a valid Component Category from the selected Application Component and Defect Category pair.</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FRS-CLASS-001</w:t>
            </w:r>
          </w:p>
        </w:tc>
      </w:tr>
      <w:tr>
        <w:tc>
          <w:tcPr>
            <w:tcW w:type="dxa" w:w="1662"/>
            <w:vAlign w:val="center"/>
          </w:tcPr>
          <w:p>
            <w:r/>
            <w:r>
              <w:rPr>
                <w:rFonts w:ascii="Arial" w:hAnsi="Arial"/>
                <w:b w:val="0"/>
                <w:sz w:val="18"/>
              </w:rPr>
              <w:t>SRS-FR-CLASS-005</w:t>
            </w:r>
          </w:p>
        </w:tc>
        <w:tc>
          <w:tcPr>
            <w:tcW w:type="dxa" w:w="1662"/>
            <w:vAlign w:val="center"/>
          </w:tcPr>
          <w:p>
            <w:r/>
            <w:r>
              <w:rPr>
                <w:rFonts w:ascii="Arial" w:hAnsi="Arial"/>
                <w:b w:val="0"/>
                <w:sz w:val="18"/>
              </w:rPr>
              <w:t>Fiori UX Requirements</w:t>
            </w:r>
          </w:p>
        </w:tc>
        <w:tc>
          <w:tcPr>
            <w:tcW w:type="dxa" w:w="1662"/>
            <w:vAlign w:val="center"/>
          </w:tcPr>
          <w:p>
            <w:r/>
            <w:r>
              <w:rPr>
                <w:rFonts w:ascii="Arial" w:hAnsi="Arial"/>
                <w:b w:val="0"/>
                <w:sz w:val="18"/>
              </w:rPr>
              <w:t>IDTS should support dependent value help for Application Component and Defect Category in the Fiori create/edit flow.</w:t>
            </w:r>
          </w:p>
        </w:tc>
        <w:tc>
          <w:tcPr>
            <w:tcW w:type="dxa" w:w="1662"/>
            <w:vAlign w:val="center"/>
          </w:tcPr>
          <w:p>
            <w:r/>
            <w:r>
              <w:rPr>
                <w:rFonts w:ascii="Arial" w:hAnsi="Arial"/>
                <w:b w:val="0"/>
                <w:sz w:val="18"/>
              </w:rPr>
              <w:t>Should</w:t>
            </w:r>
          </w:p>
        </w:tc>
        <w:tc>
          <w:tcPr>
            <w:tcW w:type="dxa" w:w="1662"/>
            <w:vAlign w:val="center"/>
          </w:tcPr>
          <w:p>
            <w:r/>
            <w:r>
              <w:rPr>
                <w:rFonts w:ascii="Arial" w:hAnsi="Arial"/>
                <w:b w:val="0"/>
                <w:sz w:val="18"/>
              </w:rPr>
              <w:t>Demonstration</w:t>
            </w:r>
          </w:p>
        </w:tc>
        <w:tc>
          <w:tcPr>
            <w:tcW w:type="dxa" w:w="1662"/>
            <w:vAlign w:val="center"/>
          </w:tcPr>
          <w:p>
            <w:r/>
            <w:r>
              <w:rPr>
                <w:rFonts w:ascii="Arial" w:hAnsi="Arial"/>
                <w:b w:val="0"/>
                <w:sz w:val="18"/>
              </w:rPr>
              <w:t>FRS-UX-001</w:t>
            </w:r>
          </w:p>
        </w:tc>
      </w:tr>
    </w:tbl>
    <w:p>
      <w:pPr>
        <w:pStyle w:val="Heading3"/>
      </w:pPr>
      <w:r>
        <w:t>7.3 Assignment and Pending Assignment</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SRS-FR-ASSIGN-001</w:t>
            </w:r>
          </w:p>
        </w:tc>
        <w:tc>
          <w:tcPr>
            <w:tcW w:type="dxa" w:w="1662"/>
            <w:vAlign w:val="center"/>
          </w:tcPr>
          <w:p>
            <w:r/>
            <w:r>
              <w:rPr>
                <w:rFonts w:ascii="Arial" w:hAnsi="Arial"/>
                <w:b w:val="0"/>
                <w:sz w:val="18"/>
              </w:rPr>
              <w:t>BRD-BR-004, BR-RULE-005, REQ-ASSIGN-001</w:t>
            </w:r>
          </w:p>
        </w:tc>
        <w:tc>
          <w:tcPr>
            <w:tcW w:type="dxa" w:w="1662"/>
            <w:vAlign w:val="center"/>
          </w:tcPr>
          <w:p>
            <w:r/>
            <w:r>
              <w:rPr>
                <w:rFonts w:ascii="Arial" w:hAnsi="Arial"/>
                <w:b w:val="0"/>
                <w:sz w:val="18"/>
              </w:rPr>
              <w:t>IDTS shall filter Developer candidates by active Developer Responsibility for the selected Component Category and optional SAP Module.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 and demonstration</w:t>
            </w:r>
          </w:p>
        </w:tc>
        <w:tc>
          <w:tcPr>
            <w:tcW w:type="dxa" w:w="1662"/>
            <w:vAlign w:val="center"/>
          </w:tcPr>
          <w:p>
            <w:r/>
            <w:r>
              <w:rPr>
                <w:rFonts w:ascii="Arial" w:hAnsi="Arial"/>
                <w:b w:val="0"/>
                <w:sz w:val="18"/>
              </w:rPr>
              <w:t>FRS-ASSIGN-001</w:t>
            </w:r>
          </w:p>
        </w:tc>
      </w:tr>
      <w:tr>
        <w:tc>
          <w:tcPr>
            <w:tcW w:type="dxa" w:w="1662"/>
            <w:vAlign w:val="center"/>
          </w:tcPr>
          <w:p>
            <w:r/>
            <w:r>
              <w:rPr>
                <w:rFonts w:ascii="Arial" w:hAnsi="Arial"/>
                <w:b w:val="0"/>
                <w:sz w:val="18"/>
              </w:rPr>
              <w:t>SRS-FR-ASSIGN-002</w:t>
            </w:r>
          </w:p>
        </w:tc>
        <w:tc>
          <w:tcPr>
            <w:tcW w:type="dxa" w:w="1662"/>
            <w:vAlign w:val="center"/>
          </w:tcPr>
          <w:p>
            <w:r/>
            <w:r>
              <w:rPr>
                <w:rFonts w:ascii="Arial" w:hAnsi="Arial"/>
                <w:b w:val="0"/>
                <w:sz w:val="18"/>
              </w:rPr>
              <w:t>BR-RULE-006</w:t>
            </w:r>
          </w:p>
        </w:tc>
        <w:tc>
          <w:tcPr>
            <w:tcW w:type="dxa" w:w="1662"/>
            <w:vAlign w:val="center"/>
          </w:tcPr>
          <w:p>
            <w:r/>
            <w:r>
              <w:rPr>
                <w:rFonts w:ascii="Arial" w:hAnsi="Arial"/>
                <w:b w:val="0"/>
                <w:sz w:val="18"/>
              </w:rPr>
              <w:t>IDTS shall allow only one main Developer assignee for a bug at a time.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FRS-ASSIGN-001</w:t>
            </w:r>
          </w:p>
        </w:tc>
      </w:tr>
      <w:tr>
        <w:tc>
          <w:tcPr>
            <w:tcW w:type="dxa" w:w="1662"/>
            <w:vAlign w:val="center"/>
          </w:tcPr>
          <w:p>
            <w:r/>
            <w:r>
              <w:rPr>
                <w:rFonts w:ascii="Arial" w:hAnsi="Arial"/>
                <w:b w:val="0"/>
                <w:sz w:val="18"/>
              </w:rPr>
              <w:t>SRS-FR-ASSIGN-003</w:t>
            </w:r>
          </w:p>
        </w:tc>
        <w:tc>
          <w:tcPr>
            <w:tcW w:type="dxa" w:w="1662"/>
            <w:vAlign w:val="center"/>
          </w:tcPr>
          <w:p>
            <w:r/>
            <w:r>
              <w:rPr>
                <w:rFonts w:ascii="Arial" w:hAnsi="Arial"/>
                <w:b w:val="0"/>
                <w:sz w:val="18"/>
              </w:rPr>
              <w:t>BRD-BR-005, REQ-ASSIGN-002</w:t>
            </w:r>
          </w:p>
        </w:tc>
        <w:tc>
          <w:tcPr>
            <w:tcW w:type="dxa" w:w="1662"/>
            <w:vAlign w:val="center"/>
          </w:tcPr>
          <w:p>
            <w:r/>
            <w:r>
              <w:rPr>
                <w:rFonts w:ascii="Arial" w:hAnsi="Arial"/>
                <w:b w:val="0"/>
                <w:sz w:val="18"/>
              </w:rPr>
              <w:t>IDTS shall allow a valid bug to be submitted as Pending Assignment when no suitable Developer is selected.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FRS-ASSIGN-002</w:t>
            </w:r>
          </w:p>
        </w:tc>
      </w:tr>
      <w:tr>
        <w:tc>
          <w:tcPr>
            <w:tcW w:type="dxa" w:w="1662"/>
            <w:vAlign w:val="center"/>
          </w:tcPr>
          <w:p>
            <w:r/>
            <w:r>
              <w:rPr>
                <w:rFonts w:ascii="Arial" w:hAnsi="Arial"/>
                <w:b w:val="0"/>
                <w:sz w:val="18"/>
              </w:rPr>
              <w:t>SRS-FR-ASSIGN-004</w:t>
            </w:r>
          </w:p>
        </w:tc>
        <w:tc>
          <w:tcPr>
            <w:tcW w:type="dxa" w:w="1662"/>
            <w:vAlign w:val="center"/>
          </w:tcPr>
          <w:p>
            <w:r/>
            <w:r>
              <w:rPr>
                <w:rFonts w:ascii="Arial" w:hAnsi="Arial"/>
                <w:b w:val="0"/>
                <w:sz w:val="18"/>
              </w:rPr>
              <w:t>BR-11, REQ-REJECT-001</w:t>
            </w:r>
          </w:p>
        </w:tc>
        <w:tc>
          <w:tcPr>
            <w:tcW w:type="dxa" w:w="1662"/>
            <w:vAlign w:val="center"/>
          </w:tcPr>
          <w:p>
            <w:r/>
            <w:r>
              <w:rPr>
                <w:rFonts w:ascii="Arial" w:hAnsi="Arial"/>
                <w:b w:val="0"/>
                <w:sz w:val="18"/>
              </w:rPr>
              <w:t>IDTS shall treat reassignment as an action and history event, not as a primary status.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FRS-ASSIGN-003</w:t>
            </w:r>
          </w:p>
        </w:tc>
      </w:tr>
      <w:tr>
        <w:tc>
          <w:tcPr>
            <w:tcW w:type="dxa" w:w="1662"/>
            <w:vAlign w:val="center"/>
          </w:tcPr>
          <w:p>
            <w:r/>
            <w:r>
              <w:rPr>
                <w:rFonts w:ascii="Arial" w:hAnsi="Arial"/>
                <w:b w:val="0"/>
                <w:sz w:val="18"/>
              </w:rPr>
              <w:t>SRS-FR-ASSIGN-005</w:t>
            </w:r>
          </w:p>
        </w:tc>
        <w:tc>
          <w:tcPr>
            <w:tcW w:type="dxa" w:w="1662"/>
            <w:vAlign w:val="center"/>
          </w:tcPr>
          <w:p>
            <w:r/>
            <w:r>
              <w:rPr>
                <w:rFonts w:ascii="Arial" w:hAnsi="Arial"/>
                <w:b w:val="0"/>
                <w:sz w:val="18"/>
              </w:rPr>
              <w:t>BR-10, REQ-WORKLOAD-001</w:t>
            </w:r>
          </w:p>
        </w:tc>
        <w:tc>
          <w:tcPr>
            <w:tcW w:type="dxa" w:w="1662"/>
            <w:vAlign w:val="center"/>
          </w:tcPr>
          <w:p>
            <w:r/>
            <w:r>
              <w:rPr>
                <w:rFonts w:ascii="Arial" w:hAnsi="Arial"/>
                <w:b w:val="0"/>
                <w:sz w:val="18"/>
              </w:rPr>
              <w:t>IDTS should provide workload warning or workload visibility before assignment when enough data exists.</w:t>
            </w:r>
          </w:p>
        </w:tc>
        <w:tc>
          <w:tcPr>
            <w:tcW w:type="dxa" w:w="1662"/>
            <w:vAlign w:val="center"/>
          </w:tcPr>
          <w:p>
            <w:r/>
            <w:r>
              <w:rPr>
                <w:rFonts w:ascii="Arial" w:hAnsi="Arial"/>
                <w:b w:val="0"/>
                <w:sz w:val="18"/>
              </w:rPr>
              <w:t>Should</w:t>
            </w:r>
          </w:p>
        </w:tc>
        <w:tc>
          <w:tcPr>
            <w:tcW w:type="dxa" w:w="1662"/>
            <w:vAlign w:val="center"/>
          </w:tcPr>
          <w:p>
            <w:r/>
            <w:r>
              <w:rPr>
                <w:rFonts w:ascii="Arial" w:hAnsi="Arial"/>
                <w:b w:val="0"/>
                <w:sz w:val="18"/>
              </w:rPr>
              <w:t>Demonstration and analysis</w:t>
            </w:r>
          </w:p>
        </w:tc>
        <w:tc>
          <w:tcPr>
            <w:tcW w:type="dxa" w:w="1662"/>
            <w:vAlign w:val="center"/>
          </w:tcPr>
          <w:p>
            <w:r/>
            <w:r>
              <w:rPr>
                <w:rFonts w:ascii="Arial" w:hAnsi="Arial"/>
                <w:b w:val="0"/>
                <w:sz w:val="18"/>
              </w:rPr>
              <w:t>FRS-PM-001</w:t>
            </w:r>
          </w:p>
        </w:tc>
      </w:tr>
    </w:tbl>
    <w:p>
      <w:pPr>
        <w:pStyle w:val="Heading3"/>
      </w:pPr>
      <w:r>
        <w:t>7.4 Developer Review and Status Lifecycle</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SRS-FR-STATUS-001</w:t>
            </w:r>
          </w:p>
        </w:tc>
        <w:tc>
          <w:tcPr>
            <w:tcW w:type="dxa" w:w="1662"/>
            <w:vAlign w:val="center"/>
          </w:tcPr>
          <w:p>
            <w:r/>
            <w:r>
              <w:rPr>
                <w:rFonts w:ascii="Arial" w:hAnsi="Arial"/>
                <w:b w:val="0"/>
                <w:sz w:val="18"/>
              </w:rPr>
              <w:t>BRD-BR-006, REQ-DEV-001</w:t>
            </w:r>
          </w:p>
        </w:tc>
        <w:tc>
          <w:tcPr>
            <w:tcW w:type="dxa" w:w="1662"/>
            <w:vAlign w:val="center"/>
          </w:tcPr>
          <w:p>
            <w:r/>
            <w:r>
              <w:rPr>
                <w:rFonts w:ascii="Arial" w:hAnsi="Arial"/>
                <w:b w:val="0"/>
                <w:sz w:val="18"/>
              </w:rPr>
              <w:t>IDTS shall allow an assigned Developer to move an assigned bug to In Review.</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FRS-DEV-001</w:t>
            </w:r>
          </w:p>
        </w:tc>
      </w:tr>
      <w:tr>
        <w:tc>
          <w:tcPr>
            <w:tcW w:type="dxa" w:w="1662"/>
            <w:vAlign w:val="center"/>
          </w:tcPr>
          <w:p>
            <w:r/>
            <w:r>
              <w:rPr>
                <w:rFonts w:ascii="Arial" w:hAnsi="Arial"/>
                <w:b w:val="0"/>
                <w:sz w:val="18"/>
              </w:rPr>
              <w:t>SRS-FR-STATUS-002</w:t>
            </w:r>
          </w:p>
        </w:tc>
        <w:tc>
          <w:tcPr>
            <w:tcW w:type="dxa" w:w="1662"/>
            <w:vAlign w:val="center"/>
          </w:tcPr>
          <w:p>
            <w:r/>
            <w:r>
              <w:rPr>
                <w:rFonts w:ascii="Arial" w:hAnsi="Arial"/>
                <w:b w:val="0"/>
                <w:sz w:val="18"/>
              </w:rPr>
              <w:t>BRD-BR-006, REQ-INFO-001</w:t>
            </w:r>
          </w:p>
        </w:tc>
        <w:tc>
          <w:tcPr>
            <w:tcW w:type="dxa" w:w="1662"/>
            <w:vAlign w:val="center"/>
          </w:tcPr>
          <w:p>
            <w:r/>
            <w:r>
              <w:rPr>
                <w:rFonts w:ascii="Arial" w:hAnsi="Arial"/>
                <w:b w:val="0"/>
                <w:sz w:val="18"/>
              </w:rPr>
              <w:t>IDTS shall allow an assigned Developer to request more information with a required reason.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FRS-INFO-001</w:t>
            </w:r>
          </w:p>
        </w:tc>
      </w:tr>
      <w:tr>
        <w:tc>
          <w:tcPr>
            <w:tcW w:type="dxa" w:w="1662"/>
            <w:vAlign w:val="center"/>
          </w:tcPr>
          <w:p>
            <w:r/>
            <w:r>
              <w:rPr>
                <w:rFonts w:ascii="Arial" w:hAnsi="Arial"/>
                <w:b w:val="0"/>
                <w:sz w:val="18"/>
              </w:rPr>
              <w:t>SRS-FR-STATUS-003</w:t>
            </w:r>
          </w:p>
        </w:tc>
        <w:tc>
          <w:tcPr>
            <w:tcW w:type="dxa" w:w="1662"/>
            <w:vAlign w:val="center"/>
          </w:tcPr>
          <w:p>
            <w:r/>
            <w:r>
              <w:rPr>
                <w:rFonts w:ascii="Arial" w:hAnsi="Arial"/>
                <w:b w:val="0"/>
                <w:sz w:val="18"/>
              </w:rPr>
              <w:t>BRD-BR-007, BRD-BR-008, DEC-008</w:t>
            </w:r>
          </w:p>
        </w:tc>
        <w:tc>
          <w:tcPr>
            <w:tcW w:type="dxa" w:w="1662"/>
            <w:vAlign w:val="center"/>
          </w:tcPr>
          <w:p>
            <w:r/>
            <w:r>
              <w:rPr>
                <w:rFonts w:ascii="Arial" w:hAnsi="Arial"/>
                <w:b w:val="0"/>
                <w:sz w:val="18"/>
              </w:rPr>
              <w:t>IDTS shall allow an assigned Developer to reject an unsuitable assignment or wrong classification only when a rejection reason and follow-up owner are recorded.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FRS-REJECT-001</w:t>
            </w:r>
          </w:p>
        </w:tc>
      </w:tr>
      <w:tr>
        <w:tc>
          <w:tcPr>
            <w:tcW w:type="dxa" w:w="1662"/>
            <w:vAlign w:val="center"/>
          </w:tcPr>
          <w:p>
            <w:r/>
            <w:r>
              <w:rPr>
                <w:rFonts w:ascii="Arial" w:hAnsi="Arial"/>
                <w:b w:val="0"/>
                <w:sz w:val="18"/>
              </w:rPr>
              <w:t>SRS-FR-STATUS-004</w:t>
            </w:r>
          </w:p>
        </w:tc>
        <w:tc>
          <w:tcPr>
            <w:tcW w:type="dxa" w:w="1662"/>
            <w:vAlign w:val="center"/>
          </w:tcPr>
          <w:p>
            <w:r/>
            <w:r>
              <w:rPr>
                <w:rFonts w:ascii="Arial" w:hAnsi="Arial"/>
                <w:b w:val="0"/>
                <w:sz w:val="18"/>
              </w:rPr>
              <w:t>BR-RULE-008, BR-RULE-009</w:t>
            </w:r>
          </w:p>
        </w:tc>
        <w:tc>
          <w:tcPr>
            <w:tcW w:type="dxa" w:w="1662"/>
            <w:vAlign w:val="center"/>
          </w:tcPr>
          <w:p>
            <w:r/>
            <w:r>
              <w:rPr>
                <w:rFonts w:ascii="Arial" w:hAnsi="Arial"/>
                <w:b w:val="0"/>
                <w:sz w:val="18"/>
              </w:rPr>
              <w:t>IDTS shall treat Rejected as a follow-up status, not a terminal state, and shall allow follow-up transitions to Assigned or Pending Assignment after correction.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FRS-REJECT-001</w:t>
            </w:r>
          </w:p>
        </w:tc>
      </w:tr>
      <w:tr>
        <w:tc>
          <w:tcPr>
            <w:tcW w:type="dxa" w:w="1662"/>
            <w:vAlign w:val="center"/>
          </w:tcPr>
          <w:p>
            <w:r/>
            <w:r>
              <w:rPr>
                <w:rFonts w:ascii="Arial" w:hAnsi="Arial"/>
                <w:b w:val="0"/>
                <w:sz w:val="18"/>
              </w:rPr>
              <w:t>SRS-FR-STATUS-005</w:t>
            </w:r>
          </w:p>
        </w:tc>
        <w:tc>
          <w:tcPr>
            <w:tcW w:type="dxa" w:w="1662"/>
            <w:vAlign w:val="center"/>
          </w:tcPr>
          <w:p>
            <w:r/>
            <w:r>
              <w:rPr>
                <w:rFonts w:ascii="Arial" w:hAnsi="Arial"/>
                <w:b w:val="0"/>
                <w:sz w:val="18"/>
              </w:rPr>
              <w:t>REQ-DEV-001</w:t>
            </w:r>
          </w:p>
        </w:tc>
        <w:tc>
          <w:tcPr>
            <w:tcW w:type="dxa" w:w="1662"/>
            <w:vAlign w:val="center"/>
          </w:tcPr>
          <w:p>
            <w:r/>
            <w:r>
              <w:rPr>
                <w:rFonts w:ascii="Arial" w:hAnsi="Arial"/>
                <w:b w:val="0"/>
                <w:sz w:val="18"/>
              </w:rPr>
              <w:t>IDTS shall allow Developer users to move valid reviewed bugs to In Progress and later to Resolved.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FRS-DEV-001</w:t>
            </w:r>
          </w:p>
        </w:tc>
      </w:tr>
      <w:tr>
        <w:tc>
          <w:tcPr>
            <w:tcW w:type="dxa" w:w="1662"/>
            <w:vAlign w:val="center"/>
          </w:tcPr>
          <w:p>
            <w:r/>
            <w:r>
              <w:rPr>
                <w:rFonts w:ascii="Arial" w:hAnsi="Arial"/>
                <w:b w:val="0"/>
                <w:sz w:val="18"/>
              </w:rPr>
              <w:t>SRS-FR-STATUS-006</w:t>
            </w:r>
          </w:p>
        </w:tc>
        <w:tc>
          <w:tcPr>
            <w:tcW w:type="dxa" w:w="1662"/>
            <w:vAlign w:val="center"/>
          </w:tcPr>
          <w:p>
            <w:r/>
            <w:r>
              <w:rPr>
                <w:rFonts w:ascii="Arial" w:hAnsi="Arial"/>
                <w:b w:val="0"/>
                <w:sz w:val="18"/>
              </w:rPr>
              <w:t>BRD-BR-009, BR-44</w:t>
            </w:r>
          </w:p>
        </w:tc>
        <w:tc>
          <w:tcPr>
            <w:tcW w:type="dxa" w:w="1662"/>
            <w:vAlign w:val="center"/>
          </w:tcPr>
          <w:p>
            <w:r/>
            <w:r>
              <w:rPr>
                <w:rFonts w:ascii="Arial" w:hAnsi="Arial"/>
                <w:b w:val="0"/>
                <w:sz w:val="18"/>
              </w:rPr>
              <w:t>IDTS shall support Retest Required between Resolved and Closed when verification is needed.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FRS-STATUS-002</w:t>
            </w:r>
          </w:p>
        </w:tc>
      </w:tr>
      <w:tr>
        <w:tc>
          <w:tcPr>
            <w:tcW w:type="dxa" w:w="1662"/>
            <w:vAlign w:val="center"/>
          </w:tcPr>
          <w:p>
            <w:r/>
            <w:r>
              <w:rPr>
                <w:rFonts w:ascii="Arial" w:hAnsi="Arial"/>
                <w:b w:val="0"/>
                <w:sz w:val="18"/>
              </w:rPr>
              <w:t>SRS-FR-STATUS-007</w:t>
            </w:r>
          </w:p>
        </w:tc>
        <w:tc>
          <w:tcPr>
            <w:tcW w:type="dxa" w:w="1662"/>
            <w:vAlign w:val="center"/>
          </w:tcPr>
          <w:p>
            <w:r/>
            <w:r>
              <w:rPr>
                <w:rFonts w:ascii="Arial" w:hAnsi="Arial"/>
                <w:b w:val="0"/>
                <w:sz w:val="18"/>
              </w:rPr>
              <w:t>BRD-BR-009</w:t>
            </w:r>
          </w:p>
        </w:tc>
        <w:tc>
          <w:tcPr>
            <w:tcW w:type="dxa" w:w="1662"/>
            <w:vAlign w:val="center"/>
          </w:tcPr>
          <w:p>
            <w:r/>
            <w:r>
              <w:rPr>
                <w:rFonts w:ascii="Arial" w:hAnsi="Arial"/>
                <w:b w:val="0"/>
                <w:sz w:val="18"/>
              </w:rPr>
              <w:t>IDTS shall allow Tester/PM users to close accepted resolved bugs or reopen bugs when the issue still exists.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FRS-STATUS-003</w:t>
            </w:r>
          </w:p>
        </w:tc>
      </w:tr>
      <w:tr>
        <w:tc>
          <w:tcPr>
            <w:tcW w:type="dxa" w:w="1662"/>
            <w:vAlign w:val="center"/>
          </w:tcPr>
          <w:p>
            <w:r/>
            <w:r>
              <w:rPr>
                <w:rFonts w:ascii="Arial" w:hAnsi="Arial"/>
                <w:b w:val="0"/>
                <w:sz w:val="18"/>
              </w:rPr>
              <w:t>SRS-FR-STATUS-008</w:t>
            </w:r>
          </w:p>
        </w:tc>
        <w:tc>
          <w:tcPr>
            <w:tcW w:type="dxa" w:w="1662"/>
            <w:vAlign w:val="center"/>
          </w:tcPr>
          <w:p>
            <w:r/>
            <w:r>
              <w:rPr>
                <w:rFonts w:ascii="Arial" w:hAnsi="Arial"/>
                <w:b w:val="0"/>
                <w:sz w:val="18"/>
              </w:rPr>
              <w:t>Status Transition Matrix</w:t>
            </w:r>
          </w:p>
        </w:tc>
        <w:tc>
          <w:tcPr>
            <w:tcW w:type="dxa" w:w="1662"/>
            <w:vAlign w:val="center"/>
          </w:tcPr>
          <w:p>
            <w:r/>
            <w:r>
              <w:rPr>
                <w:rFonts w:ascii="Arial" w:hAnsi="Arial"/>
                <w:b w:val="0"/>
                <w:sz w:val="18"/>
              </w:rPr>
              <w:t>IDTS shall validate critical status transitions in backend logic according to the status transition matrix.</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FRS-STATUS-005</w:t>
            </w:r>
          </w:p>
        </w:tc>
      </w:tr>
      <w:tr>
        <w:tc>
          <w:tcPr>
            <w:tcW w:type="dxa" w:w="1662"/>
            <w:vAlign w:val="center"/>
          </w:tcPr>
          <w:p>
            <w:r/>
            <w:r>
              <w:rPr>
                <w:rFonts w:ascii="Arial" w:hAnsi="Arial"/>
                <w:b w:val="0"/>
                <w:sz w:val="18"/>
              </w:rPr>
              <w:t>SRS-FR-STATUS-009</w:t>
            </w:r>
          </w:p>
        </w:tc>
        <w:tc>
          <w:tcPr>
            <w:tcW w:type="dxa" w:w="1662"/>
            <w:vAlign w:val="center"/>
          </w:tcPr>
          <w:p>
            <w:r/>
            <w:r>
              <w:rPr>
                <w:rFonts w:ascii="Arial" w:hAnsi="Arial"/>
                <w:b w:val="0"/>
                <w:sz w:val="18"/>
              </w:rPr>
              <w:t>BR-RULE-007, REQ-NEXTP-001</w:t>
            </w:r>
          </w:p>
        </w:tc>
        <w:tc>
          <w:tcPr>
            <w:tcW w:type="dxa" w:w="1662"/>
            <w:vAlign w:val="center"/>
          </w:tcPr>
          <w:p>
            <w:r/>
            <w:r>
              <w:rPr>
                <w:rFonts w:ascii="Arial" w:hAnsi="Arial"/>
                <w:b w:val="0"/>
                <w:sz w:val="18"/>
              </w:rPr>
              <w:t>IDTS shall automatically maintain nextProcessor based on status, assignee, and action rules.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 and inspection</w:t>
            </w:r>
          </w:p>
        </w:tc>
        <w:tc>
          <w:tcPr>
            <w:tcW w:type="dxa" w:w="1662"/>
            <w:vAlign w:val="center"/>
          </w:tcPr>
          <w:p>
            <w:r/>
            <w:r>
              <w:rPr>
                <w:rFonts w:ascii="Arial" w:hAnsi="Arial"/>
                <w:b w:val="0"/>
                <w:sz w:val="18"/>
              </w:rPr>
              <w:t>FRS-NEXTP-001</w:t>
            </w:r>
          </w:p>
        </w:tc>
      </w:tr>
    </w:tbl>
    <w:p>
      <w:pPr>
        <w:pStyle w:val="Heading3"/>
      </w:pPr>
      <w:r>
        <w:t>7.5 Comments, Audit, and Notifications</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SRS-FR-COMMENT-001</w:t>
            </w:r>
          </w:p>
        </w:tc>
        <w:tc>
          <w:tcPr>
            <w:tcW w:type="dxa" w:w="1662"/>
            <w:vAlign w:val="center"/>
          </w:tcPr>
          <w:p>
            <w:r/>
            <w:r>
              <w:rPr>
                <w:rFonts w:ascii="Arial" w:hAnsi="Arial"/>
                <w:b w:val="0"/>
                <w:sz w:val="18"/>
              </w:rPr>
              <w:t>BRD-BR-010, REQ-COMMENT-001</w:t>
            </w:r>
          </w:p>
        </w:tc>
        <w:tc>
          <w:tcPr>
            <w:tcW w:type="dxa" w:w="1662"/>
            <w:vAlign w:val="center"/>
          </w:tcPr>
          <w:p>
            <w:r/>
            <w:r>
              <w:rPr>
                <w:rFonts w:ascii="Arial" w:hAnsi="Arial"/>
                <w:b w:val="0"/>
                <w:sz w:val="18"/>
              </w:rPr>
              <w:t>IDTS shall allow authorized Tester, Developer, and PM users to add comments to a bug.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 and test</w:t>
            </w:r>
          </w:p>
        </w:tc>
        <w:tc>
          <w:tcPr>
            <w:tcW w:type="dxa" w:w="1662"/>
            <w:vAlign w:val="center"/>
          </w:tcPr>
          <w:p>
            <w:r/>
            <w:r>
              <w:rPr>
                <w:rFonts w:ascii="Arial" w:hAnsi="Arial"/>
                <w:b w:val="0"/>
                <w:sz w:val="18"/>
              </w:rPr>
              <w:t>FRS-COMMENT-001</w:t>
            </w:r>
          </w:p>
        </w:tc>
      </w:tr>
      <w:tr>
        <w:tc>
          <w:tcPr>
            <w:tcW w:type="dxa" w:w="1662"/>
            <w:vAlign w:val="center"/>
          </w:tcPr>
          <w:p>
            <w:r/>
            <w:r>
              <w:rPr>
                <w:rFonts w:ascii="Arial" w:hAnsi="Arial"/>
                <w:b w:val="0"/>
                <w:sz w:val="18"/>
              </w:rPr>
              <w:t>SRS-FR-COMMENT-002</w:t>
            </w:r>
          </w:p>
        </w:tc>
        <w:tc>
          <w:tcPr>
            <w:tcW w:type="dxa" w:w="1662"/>
            <w:vAlign w:val="center"/>
          </w:tcPr>
          <w:p>
            <w:r/>
            <w:r>
              <w:rPr>
                <w:rFonts w:ascii="Arial" w:hAnsi="Arial"/>
                <w:b w:val="0"/>
                <w:sz w:val="18"/>
              </w:rPr>
              <w:t>BR-RULE-012</w:t>
            </w:r>
          </w:p>
        </w:tc>
        <w:tc>
          <w:tcPr>
            <w:tcW w:type="dxa" w:w="1662"/>
            <w:vAlign w:val="center"/>
          </w:tcPr>
          <w:p>
            <w:r/>
            <w:r>
              <w:rPr>
                <w:rFonts w:ascii="Arial" w:hAnsi="Arial"/>
                <w:b w:val="0"/>
                <w:sz w:val="18"/>
              </w:rPr>
              <w:t>IDTS shall not change bug status directly from a comment.</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FRS-COMMENT-001</w:t>
            </w:r>
          </w:p>
        </w:tc>
      </w:tr>
      <w:tr>
        <w:tc>
          <w:tcPr>
            <w:tcW w:type="dxa" w:w="1662"/>
            <w:vAlign w:val="center"/>
          </w:tcPr>
          <w:p>
            <w:r/>
            <w:r>
              <w:rPr>
                <w:rFonts w:ascii="Arial" w:hAnsi="Arial"/>
                <w:b w:val="0"/>
                <w:sz w:val="18"/>
              </w:rPr>
              <w:t>SRS-FR-AUDIT-001</w:t>
            </w:r>
          </w:p>
        </w:tc>
        <w:tc>
          <w:tcPr>
            <w:tcW w:type="dxa" w:w="1662"/>
            <w:vAlign w:val="center"/>
          </w:tcPr>
          <w:p>
            <w:r/>
            <w:r>
              <w:rPr>
                <w:rFonts w:ascii="Arial" w:hAnsi="Arial"/>
                <w:b w:val="0"/>
                <w:sz w:val="18"/>
              </w:rPr>
              <w:t>BRD-BR-011, REQ-HISTORY-001</w:t>
            </w:r>
          </w:p>
        </w:tc>
        <w:tc>
          <w:tcPr>
            <w:tcW w:type="dxa" w:w="1662"/>
            <w:vAlign w:val="center"/>
          </w:tcPr>
          <w:p>
            <w:r/>
            <w:r>
              <w:rPr>
                <w:rFonts w:ascii="Arial" w:hAnsi="Arial"/>
                <w:b w:val="0"/>
                <w:sz w:val="18"/>
              </w:rPr>
              <w:t>IDTS shall write history logs for create, edit, assign, reassign, status change, request information, reject, resolve, retest, close, reopen, attachment, comment, and key notification events.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FRS-AUDIT-001</w:t>
            </w:r>
          </w:p>
        </w:tc>
      </w:tr>
      <w:tr>
        <w:tc>
          <w:tcPr>
            <w:tcW w:type="dxa" w:w="1662"/>
            <w:vAlign w:val="center"/>
          </w:tcPr>
          <w:p>
            <w:r/>
            <w:r>
              <w:rPr>
                <w:rFonts w:ascii="Arial" w:hAnsi="Arial"/>
                <w:b w:val="0"/>
                <w:sz w:val="18"/>
              </w:rPr>
              <w:t>SRS-FR-AUDIT-002</w:t>
            </w:r>
          </w:p>
        </w:tc>
        <w:tc>
          <w:tcPr>
            <w:tcW w:type="dxa" w:w="1662"/>
            <w:vAlign w:val="center"/>
          </w:tcPr>
          <w:p>
            <w:r/>
            <w:r>
              <w:rPr>
                <w:rFonts w:ascii="Arial" w:hAnsi="Arial"/>
                <w:b w:val="0"/>
                <w:sz w:val="18"/>
              </w:rPr>
              <w:t>BR-32</w:t>
            </w:r>
          </w:p>
        </w:tc>
        <w:tc>
          <w:tcPr>
            <w:tcW w:type="dxa" w:w="1662"/>
            <w:vAlign w:val="center"/>
          </w:tcPr>
          <w:p>
            <w:r/>
            <w:r>
              <w:rPr>
                <w:rFonts w:ascii="Arial" w:hAnsi="Arial"/>
                <w:b w:val="0"/>
                <w:sz w:val="18"/>
              </w:rPr>
              <w:t>IDTS shall store actor, role, timestamp, action type, old value, new value, and reason when available in history logs.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w:t>
            </w:r>
          </w:p>
        </w:tc>
        <w:tc>
          <w:tcPr>
            <w:tcW w:type="dxa" w:w="1662"/>
            <w:vAlign w:val="center"/>
          </w:tcPr>
          <w:p>
            <w:r/>
            <w:r>
              <w:rPr>
                <w:rFonts w:ascii="Arial" w:hAnsi="Arial"/>
                <w:b w:val="0"/>
                <w:sz w:val="18"/>
              </w:rPr>
              <w:t>FRS-AUDIT-001</w:t>
            </w:r>
          </w:p>
        </w:tc>
      </w:tr>
      <w:tr>
        <w:tc>
          <w:tcPr>
            <w:tcW w:type="dxa" w:w="1662"/>
            <w:vAlign w:val="center"/>
          </w:tcPr>
          <w:p>
            <w:r/>
            <w:r>
              <w:rPr>
                <w:rFonts w:ascii="Arial" w:hAnsi="Arial"/>
                <w:b w:val="0"/>
                <w:sz w:val="18"/>
              </w:rPr>
              <w:t>SRS-FR-NOTIF-001</w:t>
            </w:r>
          </w:p>
        </w:tc>
        <w:tc>
          <w:tcPr>
            <w:tcW w:type="dxa" w:w="1662"/>
            <w:vAlign w:val="center"/>
          </w:tcPr>
          <w:p>
            <w:r/>
            <w:r>
              <w:rPr>
                <w:rFonts w:ascii="Arial" w:hAnsi="Arial"/>
                <w:b w:val="0"/>
                <w:sz w:val="18"/>
              </w:rPr>
              <w:t>BRD-BR-012, BR-29</w:t>
            </w:r>
          </w:p>
        </w:tc>
        <w:tc>
          <w:tcPr>
            <w:tcW w:type="dxa" w:w="1662"/>
            <w:vAlign w:val="center"/>
          </w:tcPr>
          <w:p>
            <w:r/>
            <w:r>
              <w:rPr>
                <w:rFonts w:ascii="Arial" w:hAnsi="Arial"/>
                <w:b w:val="0"/>
                <w:sz w:val="18"/>
              </w:rPr>
              <w:t>IDTS shall create notification records for assigned, reassigned, information request, bug update, rejected, overdue, resolved, retest, and closed events when applicable.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FRS-NOTIF-001</w:t>
            </w:r>
          </w:p>
        </w:tc>
      </w:tr>
      <w:tr>
        <w:tc>
          <w:tcPr>
            <w:tcW w:type="dxa" w:w="1662"/>
            <w:vAlign w:val="center"/>
          </w:tcPr>
          <w:p>
            <w:r/>
            <w:r>
              <w:rPr>
                <w:rFonts w:ascii="Arial" w:hAnsi="Arial"/>
                <w:b w:val="0"/>
                <w:sz w:val="18"/>
              </w:rPr>
              <w:t>SRS-FR-NOTIF-002</w:t>
            </w:r>
          </w:p>
        </w:tc>
        <w:tc>
          <w:tcPr>
            <w:tcW w:type="dxa" w:w="1662"/>
            <w:vAlign w:val="center"/>
          </w:tcPr>
          <w:p>
            <w:r/>
            <w:r>
              <w:rPr>
                <w:rFonts w:ascii="Arial" w:hAnsi="Arial"/>
                <w:b w:val="0"/>
                <w:sz w:val="18"/>
              </w:rPr>
              <w:t>BR-30</w:t>
            </w:r>
          </w:p>
        </w:tc>
        <w:tc>
          <w:tcPr>
            <w:tcW w:type="dxa" w:w="1662"/>
            <w:vAlign w:val="center"/>
          </w:tcPr>
          <w:p>
            <w:r/>
            <w:r>
              <w:rPr>
                <w:rFonts w:ascii="Arial" w:hAnsi="Arial"/>
                <w:b w:val="0"/>
                <w:sz w:val="18"/>
              </w:rPr>
              <w:t>IDTS shall create a separate NotificationDeliveries email-outbox row for applicable email events and shall not hardcode provider endpoints or credentials.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FRS-NOTIF-001</w:t>
            </w:r>
          </w:p>
        </w:tc>
      </w:tr>
      <w:tr>
        <w:tc>
          <w:tcPr>
            <w:tcW w:type="dxa" w:w="1662"/>
            <w:vAlign w:val="center"/>
          </w:tcPr>
          <w:p>
            <w:r/>
            <w:r>
              <w:rPr>
                <w:rFonts w:ascii="Arial" w:hAnsi="Arial"/>
                <w:b w:val="0"/>
                <w:sz w:val="18"/>
              </w:rPr>
              <w:t>SRS-FR-DELIVERY-001</w:t>
            </w:r>
          </w:p>
        </w:tc>
        <w:tc>
          <w:tcPr>
            <w:tcW w:type="dxa" w:w="1662"/>
            <w:vAlign w:val="center"/>
          </w:tcPr>
          <w:p>
            <w:r/>
            <w:r>
              <w:rPr>
                <w:rFonts w:ascii="Arial" w:hAnsi="Arial"/>
                <w:b w:val="0"/>
                <w:sz w:val="18"/>
              </w:rPr>
              <w:t>BR-30</w:t>
            </w:r>
          </w:p>
        </w:tc>
        <w:tc>
          <w:tcPr>
            <w:tcW w:type="dxa" w:w="1662"/>
            <w:vAlign w:val="center"/>
          </w:tcPr>
          <w:p>
            <w:r/>
            <w:r>
              <w:rPr>
                <w:rFonts w:ascii="Arial" w:hAnsi="Arial"/>
                <w:b w:val="0"/>
                <w:sz w:val="18"/>
              </w:rPr>
              <w:t>An asynchronous worker shall process eligible email-outbox rows, record attempts/status/sanitized failures, and shall not roll back the originating bug action when the provider is unavailable.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FRS-NOTIF-001</w:t>
            </w:r>
          </w:p>
        </w:tc>
      </w:tr>
      <w:tr>
        <w:tc>
          <w:tcPr>
            <w:tcW w:type="dxa" w:w="1662"/>
            <w:vAlign w:val="center"/>
          </w:tcPr>
          <w:p>
            <w:r/>
            <w:r>
              <w:rPr>
                <w:rFonts w:ascii="Arial" w:hAnsi="Arial"/>
                <w:b w:val="0"/>
                <w:sz w:val="18"/>
              </w:rPr>
              <w:t>SRS-FR-AUTH-001</w:t>
            </w:r>
          </w:p>
        </w:tc>
        <w:tc>
          <w:tcPr>
            <w:tcW w:type="dxa" w:w="1662"/>
            <w:vAlign w:val="center"/>
          </w:tcPr>
          <w:p>
            <w:r/>
            <w:r>
              <w:rPr>
                <w:rFonts w:ascii="Arial" w:hAnsi="Arial"/>
                <w:b w:val="0"/>
                <w:sz w:val="18"/>
              </w:rPr>
              <w:t>Authorization baseline</w:t>
            </w:r>
          </w:p>
        </w:tc>
        <w:tc>
          <w:tcPr>
            <w:tcW w:type="dxa" w:w="1662"/>
            <w:vAlign w:val="center"/>
          </w:tcPr>
          <w:p>
            <w:r/>
            <w:r>
              <w:rPr>
                <w:rFonts w:ascii="Arial" w:hAnsi="Arial"/>
                <w:b w:val="0"/>
                <w:sz w:val="18"/>
              </w:rPr>
              <w:t>AuthService.login shall verify the supplied credentials and create an AuthSessions record without returning or persisting a plain-text password.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FRS-AUTH-001</w:t>
            </w:r>
          </w:p>
        </w:tc>
      </w:tr>
      <w:tr>
        <w:tc>
          <w:tcPr>
            <w:tcW w:type="dxa" w:w="1662"/>
            <w:vAlign w:val="center"/>
          </w:tcPr>
          <w:p>
            <w:r/>
            <w:r>
              <w:rPr>
                <w:rFonts w:ascii="Arial" w:hAnsi="Arial"/>
                <w:b w:val="0"/>
                <w:sz w:val="18"/>
              </w:rPr>
              <w:t>SRS-FR-AUTH-002</w:t>
            </w:r>
          </w:p>
        </w:tc>
        <w:tc>
          <w:tcPr>
            <w:tcW w:type="dxa" w:w="1662"/>
            <w:vAlign w:val="center"/>
          </w:tcPr>
          <w:p>
            <w:r/>
            <w:r>
              <w:rPr>
                <w:rFonts w:ascii="Arial" w:hAnsi="Arial"/>
                <w:b w:val="0"/>
                <w:sz w:val="18"/>
              </w:rPr>
              <w:t>Authorization baseline</w:t>
            </w:r>
          </w:p>
        </w:tc>
        <w:tc>
          <w:tcPr>
            <w:tcW w:type="dxa" w:w="1662"/>
            <w:vAlign w:val="center"/>
          </w:tcPr>
          <w:p>
            <w:r/>
            <w:r>
              <w:rPr>
                <w:rFonts w:ascii="Arial" w:hAnsi="Arial"/>
                <w:b w:val="0"/>
                <w:sz w:val="18"/>
              </w:rPr>
              <w:t>Authenticated BugService requests shall resolve the bearer session to an internal user and enforce Tester, Developer, or PM authorization in the backend.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FRS-AUTH-001</w:t>
            </w:r>
          </w:p>
        </w:tc>
      </w:tr>
    </w:tbl>
    <w:p>
      <w:pPr>
        <w:pStyle w:val="Heading3"/>
      </w:pPr>
      <w:r>
        <w:t>7.6 PM Monitoring</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SRS-FR-PM-001</w:t>
            </w:r>
          </w:p>
        </w:tc>
        <w:tc>
          <w:tcPr>
            <w:tcW w:type="dxa" w:w="1662"/>
            <w:vAlign w:val="center"/>
          </w:tcPr>
          <w:p>
            <w:r/>
            <w:r>
              <w:rPr>
                <w:rFonts w:ascii="Arial" w:hAnsi="Arial"/>
                <w:b w:val="0"/>
                <w:sz w:val="18"/>
              </w:rPr>
              <w:t>BRD-BR-013, REQ-PM-001</w:t>
            </w:r>
          </w:p>
        </w:tc>
        <w:tc>
          <w:tcPr>
            <w:tcW w:type="dxa" w:w="1662"/>
            <w:vAlign w:val="center"/>
          </w:tcPr>
          <w:p>
            <w:r/>
            <w:r>
              <w:rPr>
                <w:rFonts w:ascii="Arial" w:hAnsi="Arial"/>
                <w:b w:val="0"/>
                <w:sz w:val="18"/>
              </w:rPr>
              <w:t>IDTS shall allow PM users to view all bugs and filter by status, priority, severity, SAP Module, Application Component, Defect Category, assignee, nextProcessor, date fields, and overdue state.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w:t>
            </w:r>
          </w:p>
        </w:tc>
        <w:tc>
          <w:tcPr>
            <w:tcW w:type="dxa" w:w="1662"/>
            <w:vAlign w:val="center"/>
          </w:tcPr>
          <w:p>
            <w:r/>
            <w:r>
              <w:rPr>
                <w:rFonts w:ascii="Arial" w:hAnsi="Arial"/>
                <w:b w:val="0"/>
                <w:sz w:val="18"/>
              </w:rPr>
              <w:t>FRS-PM-001</w:t>
            </w:r>
          </w:p>
        </w:tc>
      </w:tr>
      <w:tr>
        <w:tc>
          <w:tcPr>
            <w:tcW w:type="dxa" w:w="1662"/>
            <w:vAlign w:val="center"/>
          </w:tcPr>
          <w:p>
            <w:r/>
            <w:r>
              <w:rPr>
                <w:rFonts w:ascii="Arial" w:hAnsi="Arial"/>
                <w:b w:val="0"/>
                <w:sz w:val="18"/>
              </w:rPr>
              <w:t>SRS-FR-PM-002</w:t>
            </w:r>
          </w:p>
        </w:tc>
        <w:tc>
          <w:tcPr>
            <w:tcW w:type="dxa" w:w="1662"/>
            <w:vAlign w:val="center"/>
          </w:tcPr>
          <w:p>
            <w:r/>
            <w:r>
              <w:rPr>
                <w:rFonts w:ascii="Arial" w:hAnsi="Arial"/>
                <w:b w:val="0"/>
                <w:sz w:val="18"/>
              </w:rPr>
              <w:t>BR-21</w:t>
            </w:r>
          </w:p>
        </w:tc>
        <w:tc>
          <w:tcPr>
            <w:tcW w:type="dxa" w:w="1662"/>
            <w:vAlign w:val="center"/>
          </w:tcPr>
          <w:p>
            <w:r/>
            <w:r>
              <w:rPr>
                <w:rFonts w:ascii="Arial" w:hAnsi="Arial"/>
                <w:b w:val="0"/>
                <w:sz w:val="18"/>
              </w:rPr>
              <w:t>IDTS shall provide workload visibility by Developer using assigned and open bug counts.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Analysis and demonstration</w:t>
            </w:r>
          </w:p>
        </w:tc>
        <w:tc>
          <w:tcPr>
            <w:tcW w:type="dxa" w:w="1662"/>
            <w:vAlign w:val="center"/>
          </w:tcPr>
          <w:p>
            <w:r/>
            <w:r>
              <w:rPr>
                <w:rFonts w:ascii="Arial" w:hAnsi="Arial"/>
                <w:b w:val="0"/>
                <w:sz w:val="18"/>
              </w:rPr>
              <w:t>FRS-PM-001</w:t>
            </w:r>
          </w:p>
        </w:tc>
      </w:tr>
      <w:tr>
        <w:tc>
          <w:tcPr>
            <w:tcW w:type="dxa" w:w="1662"/>
            <w:vAlign w:val="center"/>
          </w:tcPr>
          <w:p>
            <w:r/>
            <w:r>
              <w:rPr>
                <w:rFonts w:ascii="Arial" w:hAnsi="Arial"/>
                <w:b w:val="0"/>
                <w:sz w:val="18"/>
              </w:rPr>
              <w:t>SRS-FR-PM-003</w:t>
            </w:r>
          </w:p>
        </w:tc>
        <w:tc>
          <w:tcPr>
            <w:tcW w:type="dxa" w:w="1662"/>
            <w:vAlign w:val="center"/>
          </w:tcPr>
          <w:p>
            <w:r/>
            <w:r>
              <w:rPr>
                <w:rFonts w:ascii="Arial" w:hAnsi="Arial"/>
                <w:b w:val="0"/>
                <w:sz w:val="18"/>
              </w:rPr>
              <w:t>BR-23</w:t>
            </w:r>
          </w:p>
        </w:tc>
        <w:tc>
          <w:tcPr>
            <w:tcW w:type="dxa" w:w="1662"/>
            <w:vAlign w:val="center"/>
          </w:tcPr>
          <w:p>
            <w:r/>
            <w:r>
              <w:rPr>
                <w:rFonts w:ascii="Arial" w:hAnsi="Arial"/>
                <w:b w:val="0"/>
                <w:sz w:val="18"/>
              </w:rPr>
              <w:t>IDTS shall expose Pending Assignment, Need More Information, Retest Required, Rejected follow-up, and Overdue queues for PM monitoring.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w:t>
            </w:r>
          </w:p>
        </w:tc>
        <w:tc>
          <w:tcPr>
            <w:tcW w:type="dxa" w:w="1662"/>
            <w:vAlign w:val="center"/>
          </w:tcPr>
          <w:p>
            <w:r/>
            <w:r>
              <w:rPr>
                <w:rFonts w:ascii="Arial" w:hAnsi="Arial"/>
                <w:b w:val="0"/>
                <w:sz w:val="18"/>
              </w:rPr>
              <w:t>FRS-PM-001</w:t>
            </w:r>
          </w:p>
        </w:tc>
      </w:tr>
      <w:tr>
        <w:tc>
          <w:tcPr>
            <w:tcW w:type="dxa" w:w="1662"/>
            <w:vAlign w:val="center"/>
          </w:tcPr>
          <w:p>
            <w:r/>
            <w:r>
              <w:rPr>
                <w:rFonts w:ascii="Arial" w:hAnsi="Arial"/>
                <w:b w:val="0"/>
                <w:sz w:val="18"/>
              </w:rPr>
              <w:t>SRS-FR-PM-004</w:t>
            </w:r>
          </w:p>
        </w:tc>
        <w:tc>
          <w:tcPr>
            <w:tcW w:type="dxa" w:w="1662"/>
            <w:vAlign w:val="center"/>
          </w:tcPr>
          <w:p>
            <w:r/>
            <w:r>
              <w:rPr>
                <w:rFonts w:ascii="Arial" w:hAnsi="Arial"/>
                <w:b w:val="0"/>
                <w:sz w:val="18"/>
              </w:rPr>
              <w:t>BR-22</w:t>
            </w:r>
          </w:p>
        </w:tc>
        <w:tc>
          <w:tcPr>
            <w:tcW w:type="dxa" w:w="1662"/>
            <w:vAlign w:val="center"/>
          </w:tcPr>
          <w:p>
            <w:r/>
            <w:r>
              <w:rPr>
                <w:rFonts w:ascii="Arial" w:hAnsi="Arial"/>
                <w:b w:val="0"/>
                <w:sz w:val="18"/>
              </w:rPr>
              <w:t>IDTS shall allow PM users to comment or request reassignment; direct reassignment by PM shall depend on an explicit authorization decision.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FRS-PM-002</w:t>
            </w:r>
          </w:p>
        </w:tc>
      </w:tr>
    </w:tbl>
    <w:p>
      <w:pPr>
        <w:pStyle w:val="Heading3"/>
      </w:pPr>
      <w:r>
        <w:t>7.7 Optional Advisory AI</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SRS-FR-AI-001</w:t>
            </w:r>
          </w:p>
        </w:tc>
        <w:tc>
          <w:tcPr>
            <w:tcW w:type="dxa" w:w="1662"/>
            <w:vAlign w:val="center"/>
          </w:tcPr>
          <w:p>
            <w:r/>
            <w:r>
              <w:rPr>
                <w:rFonts w:ascii="Arial" w:hAnsi="Arial"/>
                <w:b w:val="0"/>
                <w:sz w:val="18"/>
              </w:rPr>
              <w:t>DISC-002</w:t>
            </w:r>
          </w:p>
        </w:tc>
        <w:tc>
          <w:tcPr>
            <w:tcW w:type="dxa" w:w="1662"/>
            <w:vAlign w:val="center"/>
          </w:tcPr>
          <w:p>
            <w:r/>
            <w:r>
              <w:rPr>
                <w:rFonts w:ascii="Arial" w:hAnsi="Arial"/>
                <w:b w:val="0"/>
                <w:sz w:val="18"/>
              </w:rPr>
              <w:t>IDTS may provide similar-bug, classification, bug/handoff summary, and Smart Assign explanation suggestions only as reviewable advisory output.</w:t>
            </w:r>
          </w:p>
        </w:tc>
        <w:tc>
          <w:tcPr>
            <w:tcW w:type="dxa" w:w="1662"/>
            <w:vAlign w:val="center"/>
          </w:tcPr>
          <w:p>
            <w:r/>
            <w:r>
              <w:rPr>
                <w:rFonts w:ascii="Arial" w:hAnsi="Arial"/>
                <w:b w:val="0"/>
                <w:sz w:val="18"/>
              </w:rPr>
              <w:t>Should</w:t>
            </w:r>
          </w:p>
        </w:tc>
        <w:tc>
          <w:tcPr>
            <w:tcW w:type="dxa" w:w="1662"/>
            <w:vAlign w:val="center"/>
          </w:tcPr>
          <w:p>
            <w:r/>
            <w:r>
              <w:rPr>
                <w:rFonts w:ascii="Arial" w:hAnsi="Arial"/>
                <w:b w:val="0"/>
                <w:sz w:val="18"/>
              </w:rPr>
              <w:t>Test and demonstration</w:t>
            </w:r>
          </w:p>
        </w:tc>
        <w:tc>
          <w:tcPr>
            <w:tcW w:type="dxa" w:w="1662"/>
            <w:vAlign w:val="center"/>
          </w:tcPr>
          <w:p>
            <w:r/>
            <w:r>
              <w:rPr>
                <w:rFonts w:ascii="Arial" w:hAnsi="Arial"/>
                <w:b w:val="0"/>
                <w:sz w:val="18"/>
              </w:rPr>
              <w:t>FRS-AI-001</w:t>
            </w:r>
          </w:p>
        </w:tc>
      </w:tr>
      <w:tr>
        <w:tc>
          <w:tcPr>
            <w:tcW w:type="dxa" w:w="1662"/>
            <w:vAlign w:val="center"/>
          </w:tcPr>
          <w:p>
            <w:r/>
            <w:r>
              <w:rPr>
                <w:rFonts w:ascii="Arial" w:hAnsi="Arial"/>
                <w:b w:val="0"/>
                <w:sz w:val="18"/>
              </w:rPr>
              <w:t>SRS-FR-AI-002</w:t>
            </w:r>
          </w:p>
        </w:tc>
        <w:tc>
          <w:tcPr>
            <w:tcW w:type="dxa" w:w="1662"/>
            <w:vAlign w:val="center"/>
          </w:tcPr>
          <w:p>
            <w:r/>
            <w:r>
              <w:rPr>
                <w:rFonts w:ascii="Arial" w:hAnsi="Arial"/>
                <w:b w:val="0"/>
                <w:sz w:val="18"/>
              </w:rPr>
              <w:t>DISC-002</w:t>
            </w:r>
          </w:p>
        </w:tc>
        <w:tc>
          <w:tcPr>
            <w:tcW w:type="dxa" w:w="1662"/>
            <w:vAlign w:val="center"/>
          </w:tcPr>
          <w:p>
            <w:r/>
            <w:r>
              <w:rPr>
                <w:rFonts w:ascii="Arial" w:hAnsi="Arial"/>
                <w:b w:val="0"/>
                <w:sz w:val="18"/>
              </w:rPr>
              <w:t>AI output shall not create, edit, assign, reclassify, transition, close, reopen, or otherwise mutate a bug; the normal authorized action remains the only decision path.</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FRS-AI-001</w:t>
            </w:r>
          </w:p>
        </w:tc>
      </w:tr>
      <w:tr>
        <w:tc>
          <w:tcPr>
            <w:tcW w:type="dxa" w:w="1662"/>
            <w:vAlign w:val="center"/>
          </w:tcPr>
          <w:p>
            <w:r/>
            <w:r>
              <w:rPr>
                <w:rFonts w:ascii="Arial" w:hAnsi="Arial"/>
                <w:b w:val="0"/>
                <w:sz w:val="18"/>
              </w:rPr>
              <w:t>SRS-FR-AI-003</w:t>
            </w:r>
          </w:p>
        </w:tc>
        <w:tc>
          <w:tcPr>
            <w:tcW w:type="dxa" w:w="1662"/>
            <w:vAlign w:val="center"/>
          </w:tcPr>
          <w:p>
            <w:r/>
            <w:r>
              <w:rPr>
                <w:rFonts w:ascii="Arial" w:hAnsi="Arial"/>
                <w:b w:val="0"/>
                <w:sz w:val="18"/>
              </w:rPr>
              <w:t>DISC-002</w:t>
            </w:r>
          </w:p>
        </w:tc>
        <w:tc>
          <w:tcPr>
            <w:tcW w:type="dxa" w:w="1662"/>
            <w:vAlign w:val="center"/>
          </w:tcPr>
          <w:p>
            <w:r/>
            <w:r>
              <w:rPr>
                <w:rFonts w:ascii="Arial" w:hAnsi="Arial"/>
                <w:b w:val="0"/>
                <w:sz w:val="18"/>
              </w:rPr>
              <w:t>AI requests, responses, audit records, and user-visible failures shall exclude credentials, tokens, private endpoints, attachment bytes, raw provider output, and unnecessary personal data.</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FRS-AI-001</w:t>
            </w:r>
          </w:p>
        </w:tc>
      </w:tr>
      <w:tr>
        <w:tc>
          <w:tcPr>
            <w:tcW w:type="dxa" w:w="1662"/>
            <w:vAlign w:val="center"/>
          </w:tcPr>
          <w:p>
            <w:r/>
            <w:r>
              <w:rPr>
                <w:rFonts w:ascii="Arial" w:hAnsi="Arial"/>
                <w:b w:val="0"/>
                <w:sz w:val="18"/>
              </w:rPr>
              <w:t>SRS-FR-AI-004</w:t>
            </w:r>
          </w:p>
        </w:tc>
        <w:tc>
          <w:tcPr>
            <w:tcW w:type="dxa" w:w="1662"/>
            <w:vAlign w:val="center"/>
          </w:tcPr>
          <w:p>
            <w:r/>
            <w:r>
              <w:rPr>
                <w:rFonts w:ascii="Arial" w:hAnsi="Arial"/>
                <w:b w:val="0"/>
                <w:sz w:val="18"/>
              </w:rPr>
              <w:t>DISC-002</w:t>
            </w:r>
          </w:p>
        </w:tc>
        <w:tc>
          <w:tcPr>
            <w:tcW w:type="dxa" w:w="1662"/>
            <w:vAlign w:val="center"/>
          </w:tcPr>
          <w:p>
            <w:r/>
            <w:r>
              <w:rPr>
                <w:rFonts w:ascii="Arial" w:hAnsi="Arial"/>
                <w:b w:val="0"/>
                <w:sz w:val="18"/>
              </w:rPr>
              <w:t>Source-linked suggestions shall persist only normalized safe data in AiSuggestions. The current implementation creates the audit row in PENDING and exposes no public action that persists ACCEPTED, REJECTED, or IGNORED; the row shall not represent an autonomous workflow decision.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and test</w:t>
            </w:r>
          </w:p>
        </w:tc>
        <w:tc>
          <w:tcPr>
            <w:tcW w:type="dxa" w:w="1662"/>
            <w:vAlign w:val="center"/>
          </w:tcPr>
          <w:p>
            <w:r/>
            <w:r>
              <w:rPr>
                <w:rFonts w:ascii="Arial" w:hAnsi="Arial"/>
                <w:b w:val="0"/>
                <w:sz w:val="18"/>
              </w:rPr>
              <w:t>FRS-AI-001</w:t>
            </w:r>
          </w:p>
        </w:tc>
      </w:tr>
    </w:tbl>
    <w:p>
      <w:pPr>
        <w:pStyle w:val="Heading2"/>
      </w:pPr>
      <w:r>
        <w:t>8. Data Requirements</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ID</w:t>
            </w:r>
          </w:p>
        </w:tc>
        <w:tc>
          <w:tcPr>
            <w:tcW w:type="dxa" w:w="1994"/>
            <w:shd w:val="clear" w:fill="D9E2F3"/>
            <w:vAlign w:val="center"/>
          </w:tcPr>
          <w:p>
            <w:r/>
            <w:r>
              <w:rPr>
                <w:rFonts w:ascii="Arial" w:hAnsi="Arial"/>
                <w:b/>
                <w:sz w:val="18"/>
              </w:rPr>
              <w:t>Entity / Data Area</w:t>
            </w:r>
          </w:p>
        </w:tc>
        <w:tc>
          <w:tcPr>
            <w:tcW w:type="dxa" w:w="1994"/>
            <w:shd w:val="clear" w:fill="D9E2F3"/>
            <w:vAlign w:val="center"/>
          </w:tcPr>
          <w:p>
            <w:r/>
            <w:r>
              <w:rPr>
                <w:rFonts w:ascii="Arial" w:hAnsi="Arial"/>
                <w:b/>
                <w:sz w:val="18"/>
              </w:rPr>
              <w:t>Requirement Statement</w:t>
            </w:r>
          </w:p>
        </w:tc>
        <w:tc>
          <w:tcPr>
            <w:tcW w:type="dxa" w:w="1994"/>
            <w:shd w:val="clear" w:fill="D9E2F3"/>
            <w:vAlign w:val="center"/>
          </w:tcPr>
          <w:p>
            <w:r/>
            <w:r>
              <w:rPr>
                <w:rFonts w:ascii="Arial" w:hAnsi="Arial"/>
                <w:b/>
                <w:sz w:val="18"/>
              </w:rPr>
              <w:t>Priority</w:t>
            </w:r>
          </w:p>
        </w:tc>
        <w:tc>
          <w:tcPr>
            <w:tcW w:type="dxa" w:w="1994"/>
            <w:shd w:val="clear" w:fill="D9E2F3"/>
            <w:vAlign w:val="center"/>
          </w:tcPr>
          <w:p>
            <w:r/>
            <w:r>
              <w:rPr>
                <w:rFonts w:ascii="Arial" w:hAnsi="Arial"/>
                <w:b/>
                <w:sz w:val="18"/>
              </w:rPr>
              <w:t>Verification</w:t>
            </w:r>
          </w:p>
        </w:tc>
      </w:tr>
      <w:tr>
        <w:tc>
          <w:tcPr>
            <w:tcW w:type="dxa" w:w="1994"/>
            <w:vAlign w:val="center"/>
          </w:tcPr>
          <w:p>
            <w:r/>
            <w:r>
              <w:rPr>
                <w:rFonts w:ascii="Arial" w:hAnsi="Arial"/>
                <w:b w:val="0"/>
                <w:sz w:val="18"/>
              </w:rPr>
              <w:t>SRS-DATA-001</w:t>
            </w:r>
          </w:p>
        </w:tc>
        <w:tc>
          <w:tcPr>
            <w:tcW w:type="dxa" w:w="1994"/>
            <w:vAlign w:val="center"/>
          </w:tcPr>
          <w:p>
            <w:r/>
            <w:r>
              <w:rPr>
                <w:rFonts w:ascii="Arial" w:hAnsi="Arial"/>
                <w:b w:val="0"/>
                <w:sz w:val="18"/>
              </w:rPr>
              <w:t>Bugs</w:t>
            </w:r>
          </w:p>
        </w:tc>
        <w:tc>
          <w:tcPr>
            <w:tcW w:type="dxa" w:w="1994"/>
            <w:vAlign w:val="center"/>
          </w:tcPr>
          <w:p>
            <w:r/>
            <w:r>
              <w:rPr>
                <w:rFonts w:ascii="Arial" w:hAnsi="Arial"/>
                <w:b w:val="0"/>
                <w:sz w:val="18"/>
              </w:rPr>
              <w:t>IDTS shall store a unique technical ID and a human-readable bugNumber for every bug.</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SRS-DATA-002</w:t>
            </w:r>
          </w:p>
        </w:tc>
        <w:tc>
          <w:tcPr>
            <w:tcW w:type="dxa" w:w="1994"/>
            <w:vAlign w:val="center"/>
          </w:tcPr>
          <w:p>
            <w:r/>
            <w:r>
              <w:rPr>
                <w:rFonts w:ascii="Arial" w:hAnsi="Arial"/>
                <w:b w:val="0"/>
                <w:sz w:val="18"/>
              </w:rPr>
              <w:t>Bugs</w:t>
            </w:r>
          </w:p>
        </w:tc>
        <w:tc>
          <w:tcPr>
            <w:tcW w:type="dxa" w:w="1994"/>
            <w:vAlign w:val="center"/>
          </w:tcPr>
          <w:p>
            <w:r/>
            <w:r>
              <w:rPr>
                <w:rFonts w:ascii="Arial" w:hAnsi="Arial"/>
                <w:b w:val="0"/>
                <w:sz w:val="18"/>
              </w:rPr>
              <w:t>IDTS shall store status, priority, severity, environment, reproduction steps, actual result, expected result, reporter, assignee when assigned, and nextProcessor when applicable.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SRS-DATA-003</w:t>
            </w:r>
          </w:p>
        </w:tc>
        <w:tc>
          <w:tcPr>
            <w:tcW w:type="dxa" w:w="1994"/>
            <w:vAlign w:val="center"/>
          </w:tcPr>
          <w:p>
            <w:r/>
            <w:r>
              <w:rPr>
                <w:rFonts w:ascii="Arial" w:hAnsi="Arial"/>
                <w:b w:val="0"/>
                <w:sz w:val="18"/>
              </w:rPr>
              <w:t>Bugs</w:t>
            </w:r>
          </w:p>
        </w:tc>
        <w:tc>
          <w:tcPr>
            <w:tcW w:type="dxa" w:w="1994"/>
            <w:vAlign w:val="center"/>
          </w:tcPr>
          <w:p>
            <w:r/>
            <w:r>
              <w:rPr>
                <w:rFonts w:ascii="Arial" w:hAnsi="Arial"/>
                <w:b w:val="0"/>
                <w:sz w:val="18"/>
              </w:rPr>
              <w:t>IDTS shall store optional testCaseRef and testRunRef without implementing a full test management module.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SRS-DATA-004</w:t>
            </w:r>
          </w:p>
        </w:tc>
        <w:tc>
          <w:tcPr>
            <w:tcW w:type="dxa" w:w="1994"/>
            <w:vAlign w:val="center"/>
          </w:tcPr>
          <w:p>
            <w:r/>
            <w:r>
              <w:rPr>
                <w:rFonts w:ascii="Arial" w:hAnsi="Arial"/>
                <w:b w:val="0"/>
                <w:sz w:val="18"/>
              </w:rPr>
              <w:t>Classification</w:t>
            </w:r>
          </w:p>
        </w:tc>
        <w:tc>
          <w:tcPr>
            <w:tcW w:type="dxa" w:w="1994"/>
            <w:vAlign w:val="center"/>
          </w:tcPr>
          <w:p>
            <w:r/>
            <w:r>
              <w:rPr>
                <w:rFonts w:ascii="Arial" w:hAnsi="Arial"/>
                <w:b w:val="0"/>
                <w:sz w:val="18"/>
              </w:rPr>
              <w:t>IDTS shall store SAPModules, ApplicationComponents, DefectCategories, ComponentCategories, and DeveloperResponsibilities as maintainable master data or value-help data.</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SRS-DATA-005</w:t>
            </w:r>
          </w:p>
        </w:tc>
        <w:tc>
          <w:tcPr>
            <w:tcW w:type="dxa" w:w="1994"/>
            <w:vAlign w:val="center"/>
          </w:tcPr>
          <w:p>
            <w:r/>
            <w:r>
              <w:rPr>
                <w:rFonts w:ascii="Arial" w:hAnsi="Arial"/>
                <w:b w:val="0"/>
                <w:sz w:val="18"/>
              </w:rPr>
              <w:t>Responsibility</w:t>
            </w:r>
          </w:p>
        </w:tc>
        <w:tc>
          <w:tcPr>
            <w:tcW w:type="dxa" w:w="1994"/>
            <w:vAlign w:val="center"/>
          </w:tcPr>
          <w:p>
            <w:r/>
            <w:r>
              <w:rPr>
                <w:rFonts w:ascii="Arial" w:hAnsi="Arial"/>
                <w:b w:val="0"/>
                <w:sz w:val="18"/>
              </w:rPr>
              <w:t>IDTS shall store active/inactive state for Developer profiles and responsibility mappings to prevent inactive Developers from being selected.</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Test</w:t>
            </w:r>
          </w:p>
        </w:tc>
      </w:tr>
      <w:tr>
        <w:tc>
          <w:tcPr>
            <w:tcW w:type="dxa" w:w="1994"/>
            <w:vAlign w:val="center"/>
          </w:tcPr>
          <w:p>
            <w:r/>
            <w:r>
              <w:rPr>
                <w:rFonts w:ascii="Arial" w:hAnsi="Arial"/>
                <w:b w:val="0"/>
                <w:sz w:val="18"/>
              </w:rPr>
              <w:t>SRS-DATA-006</w:t>
            </w:r>
          </w:p>
        </w:tc>
        <w:tc>
          <w:tcPr>
            <w:tcW w:type="dxa" w:w="1994"/>
            <w:vAlign w:val="center"/>
          </w:tcPr>
          <w:p>
            <w:r/>
            <w:r>
              <w:rPr>
                <w:rFonts w:ascii="Arial" w:hAnsi="Arial"/>
                <w:b w:val="0"/>
                <w:sz w:val="18"/>
              </w:rPr>
              <w:t>Comments</w:t>
            </w:r>
          </w:p>
        </w:tc>
        <w:tc>
          <w:tcPr>
            <w:tcW w:type="dxa" w:w="1994"/>
            <w:vAlign w:val="center"/>
          </w:tcPr>
          <w:p>
            <w:r/>
            <w:r>
              <w:rPr>
                <w:rFonts w:ascii="Arial" w:hAnsi="Arial"/>
                <w:b w:val="0"/>
                <w:sz w:val="18"/>
              </w:rPr>
              <w:t>IDTS shall store comment content, author, author role, timestamp, and parent bug reference.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SRS-DATA-007</w:t>
            </w:r>
          </w:p>
        </w:tc>
        <w:tc>
          <w:tcPr>
            <w:tcW w:type="dxa" w:w="1994"/>
            <w:vAlign w:val="center"/>
          </w:tcPr>
          <w:p>
            <w:r/>
            <w:r>
              <w:rPr>
                <w:rFonts w:ascii="Arial" w:hAnsi="Arial"/>
                <w:b w:val="0"/>
                <w:sz w:val="18"/>
              </w:rPr>
              <w:t>Attachments</w:t>
            </w:r>
          </w:p>
        </w:tc>
        <w:tc>
          <w:tcPr>
            <w:tcW w:type="dxa" w:w="1994"/>
            <w:vAlign w:val="center"/>
          </w:tcPr>
          <w:p>
            <w:r/>
            <w:r>
              <w:rPr>
                <w:rFonts w:ascii="Arial" w:hAnsi="Arial"/>
                <w:b w:val="0"/>
                <w:sz w:val="18"/>
              </w:rPr>
              <w:t>IDTS shall store attachment metadata through the attachment composition and keep content in the configured DB fallback or external object store without exposing storage credentials.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 and test</w:t>
            </w:r>
          </w:p>
        </w:tc>
      </w:tr>
      <w:tr>
        <w:tc>
          <w:tcPr>
            <w:tcW w:type="dxa" w:w="1994"/>
            <w:vAlign w:val="center"/>
          </w:tcPr>
          <w:p>
            <w:r/>
            <w:r>
              <w:rPr>
                <w:rFonts w:ascii="Arial" w:hAnsi="Arial"/>
                <w:b w:val="0"/>
                <w:sz w:val="18"/>
              </w:rPr>
              <w:t>SRS-DATA-008</w:t>
            </w:r>
          </w:p>
        </w:tc>
        <w:tc>
          <w:tcPr>
            <w:tcW w:type="dxa" w:w="1994"/>
            <w:vAlign w:val="center"/>
          </w:tcPr>
          <w:p>
            <w:r/>
            <w:r>
              <w:rPr>
                <w:rFonts w:ascii="Arial" w:hAnsi="Arial"/>
                <w:b w:val="0"/>
                <w:sz w:val="18"/>
              </w:rPr>
              <w:t>Notifications</w:t>
            </w:r>
          </w:p>
        </w:tc>
        <w:tc>
          <w:tcPr>
            <w:tcW w:type="dxa" w:w="1994"/>
            <w:vAlign w:val="center"/>
          </w:tcPr>
          <w:p>
            <w:r/>
            <w:r>
              <w:rPr>
                <w:rFonts w:ascii="Arial" w:hAnsi="Arial"/>
                <w:b w:val="0"/>
                <w:sz w:val="18"/>
              </w:rPr>
              <w:t>IDTS shall store in-app notification event type, recipient, channel, delivery status, timestamp, and parent bug reference.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SRS-DATA-009</w:t>
            </w:r>
          </w:p>
        </w:tc>
        <w:tc>
          <w:tcPr>
            <w:tcW w:type="dxa" w:w="1994"/>
            <w:vAlign w:val="center"/>
          </w:tcPr>
          <w:p>
            <w:r/>
            <w:r>
              <w:rPr>
                <w:rFonts w:ascii="Arial" w:hAnsi="Arial"/>
                <w:b w:val="0"/>
                <w:sz w:val="18"/>
              </w:rPr>
              <w:t>Authentication sessions</w:t>
            </w:r>
          </w:p>
        </w:tc>
        <w:tc>
          <w:tcPr>
            <w:tcW w:type="dxa" w:w="1994"/>
            <w:vAlign w:val="center"/>
          </w:tcPr>
          <w:p>
            <w:r/>
            <w:r>
              <w:rPr>
                <w:rFonts w:ascii="Arial" w:hAnsi="Arial"/>
                <w:b w:val="0"/>
                <w:sz w:val="18"/>
              </w:rPr>
              <w:t>IDTS shall store hashed/token-safe session records with user, expiry, and revocation state in AuthSessions; bearer tokens and passwords shall not be committed to source.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 and test</w:t>
            </w:r>
          </w:p>
        </w:tc>
      </w:tr>
      <w:tr>
        <w:tc>
          <w:tcPr>
            <w:tcW w:type="dxa" w:w="1994"/>
            <w:vAlign w:val="center"/>
          </w:tcPr>
          <w:p>
            <w:r/>
            <w:r>
              <w:rPr>
                <w:rFonts w:ascii="Arial" w:hAnsi="Arial"/>
                <w:b w:val="0"/>
                <w:sz w:val="18"/>
              </w:rPr>
              <w:t>SRS-DATA-010</w:t>
            </w:r>
          </w:p>
        </w:tc>
        <w:tc>
          <w:tcPr>
            <w:tcW w:type="dxa" w:w="1994"/>
            <w:vAlign w:val="center"/>
          </w:tcPr>
          <w:p>
            <w:r/>
            <w:r>
              <w:rPr>
                <w:rFonts w:ascii="Arial" w:hAnsi="Arial"/>
                <w:b w:val="0"/>
                <w:sz w:val="18"/>
              </w:rPr>
              <w:t>Email delivery outbox</w:t>
            </w:r>
          </w:p>
        </w:tc>
        <w:tc>
          <w:tcPr>
            <w:tcW w:type="dxa" w:w="1994"/>
            <w:vAlign w:val="center"/>
          </w:tcPr>
          <w:p>
            <w:r/>
            <w:r>
              <w:rPr>
                <w:rFonts w:ascii="Arial" w:hAnsi="Arial"/>
                <w:b w:val="0"/>
                <w:sz w:val="18"/>
              </w:rPr>
              <w:t>IDTS shall store safe payload snapshots, attempts, retry timing, status, locking, and sanitized failure details in NotificationDeliveries.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 and test</w:t>
            </w:r>
          </w:p>
        </w:tc>
      </w:tr>
      <w:tr>
        <w:tc>
          <w:tcPr>
            <w:tcW w:type="dxa" w:w="1994"/>
            <w:vAlign w:val="center"/>
          </w:tcPr>
          <w:p>
            <w:r/>
            <w:r>
              <w:rPr>
                <w:rFonts w:ascii="Arial" w:hAnsi="Arial"/>
                <w:b w:val="0"/>
                <w:sz w:val="18"/>
              </w:rPr>
              <w:t>SRS-DATA-011</w:t>
            </w:r>
          </w:p>
        </w:tc>
        <w:tc>
          <w:tcPr>
            <w:tcW w:type="dxa" w:w="1994"/>
            <w:vAlign w:val="center"/>
          </w:tcPr>
          <w:p>
            <w:r/>
            <w:r>
              <w:rPr>
                <w:rFonts w:ascii="Arial" w:hAnsi="Arial"/>
                <w:b w:val="0"/>
                <w:sz w:val="18"/>
              </w:rPr>
              <w:t>AI suggestion audit</w:t>
            </w:r>
          </w:p>
        </w:tc>
        <w:tc>
          <w:tcPr>
            <w:tcW w:type="dxa" w:w="1994"/>
            <w:vAlign w:val="center"/>
          </w:tcPr>
          <w:p>
            <w:r/>
            <w:r>
              <w:rPr>
                <w:rFonts w:ascii="Arial" w:hAnsi="Arial"/>
                <w:b w:val="0"/>
                <w:sz w:val="18"/>
              </w:rPr>
              <w:t>IDTS shall store normalized source-linked suggestion data in AiSuggestions without raw prompts, raw provider responses, credentials, attachment content, or hidden reasoning. Current source-linked rows begin and remain in PENDING until a separately approved review-state feature exists.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 and test</w:t>
            </w:r>
          </w:p>
        </w:tc>
      </w:tr>
      <w:tr>
        <w:tc>
          <w:tcPr>
            <w:tcW w:type="dxa" w:w="1994"/>
            <w:vAlign w:val="center"/>
          </w:tcPr>
          <w:p>
            <w:r/>
            <w:r>
              <w:rPr>
                <w:rFonts w:ascii="Arial" w:hAnsi="Arial"/>
                <w:b w:val="0"/>
                <w:sz w:val="18"/>
              </w:rPr>
              <w:t>SRS-DATA-012</w:t>
            </w:r>
          </w:p>
        </w:tc>
        <w:tc>
          <w:tcPr>
            <w:tcW w:type="dxa" w:w="1994"/>
            <w:vAlign w:val="center"/>
          </w:tcPr>
          <w:p>
            <w:r/>
            <w:r>
              <w:rPr>
                <w:rFonts w:ascii="Arial" w:hAnsi="Arial"/>
                <w:b w:val="0"/>
                <w:sz w:val="18"/>
              </w:rPr>
              <w:t>HistoryLogs</w:t>
            </w:r>
          </w:p>
        </w:tc>
        <w:tc>
          <w:tcPr>
            <w:tcW w:type="dxa" w:w="1994"/>
            <w:vAlign w:val="center"/>
          </w:tcPr>
          <w:p>
            <w:r/>
            <w:r>
              <w:rPr>
                <w:rFonts w:ascii="Arial" w:hAnsi="Arial"/>
                <w:b w:val="0"/>
                <w:sz w:val="18"/>
              </w:rPr>
              <w:t>IDTS shall store history logs as bug-owned audit records.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bl>
    <w:p>
      <w:pPr>
        <w:pStyle w:val="Heading2"/>
      </w:pPr>
      <w:r>
        <w:t>9. External Interface and UI Interface Requirements</w:t>
      </w:r>
    </w:p>
    <w:p>
      <w:pPr>
        <w:pStyle w:val="Heading3"/>
      </w:pPr>
      <w:r>
        <w:t>9.1 OData Interface</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ID</w:t>
            </w:r>
          </w:p>
        </w:tc>
        <w:tc>
          <w:tcPr>
            <w:tcW w:type="dxa" w:w="2493"/>
            <w:shd w:val="clear" w:fill="D9E2F3"/>
            <w:vAlign w:val="center"/>
          </w:tcPr>
          <w:p>
            <w:r/>
            <w:r>
              <w:rPr>
                <w:rFonts w:ascii="Arial" w:hAnsi="Arial"/>
                <w:b/>
                <w:sz w:val="18"/>
              </w:rPr>
              <w:t>Requirement Statement</w:t>
            </w:r>
          </w:p>
        </w:tc>
        <w:tc>
          <w:tcPr>
            <w:tcW w:type="dxa" w:w="2493"/>
            <w:shd w:val="clear" w:fill="D9E2F3"/>
            <w:vAlign w:val="center"/>
          </w:tcPr>
          <w:p>
            <w:r/>
            <w:r>
              <w:rPr>
                <w:rFonts w:ascii="Arial" w:hAnsi="Arial"/>
                <w:b/>
                <w:sz w:val="18"/>
              </w:rPr>
              <w:t>Priority</w:t>
            </w:r>
          </w:p>
        </w:tc>
        <w:tc>
          <w:tcPr>
            <w:tcW w:type="dxa" w:w="2493"/>
            <w:shd w:val="clear" w:fill="D9E2F3"/>
            <w:vAlign w:val="center"/>
          </w:tcPr>
          <w:p>
            <w:r/>
            <w:r>
              <w:rPr>
                <w:rFonts w:ascii="Arial" w:hAnsi="Arial"/>
                <w:b/>
                <w:sz w:val="18"/>
              </w:rPr>
              <w:t>Verification</w:t>
            </w:r>
          </w:p>
        </w:tc>
      </w:tr>
      <w:tr>
        <w:tc>
          <w:tcPr>
            <w:tcW w:type="dxa" w:w="2493"/>
            <w:vAlign w:val="center"/>
          </w:tcPr>
          <w:p>
            <w:r/>
            <w:r>
              <w:rPr>
                <w:rFonts w:ascii="Arial" w:hAnsi="Arial"/>
                <w:b w:val="0"/>
                <w:sz w:val="18"/>
              </w:rPr>
              <w:t>SRS-IF-ODATA-001</w:t>
            </w:r>
          </w:p>
        </w:tc>
        <w:tc>
          <w:tcPr>
            <w:tcW w:type="dxa" w:w="2493"/>
            <w:vAlign w:val="center"/>
          </w:tcPr>
          <w:p>
            <w:r/>
            <w:r>
              <w:rPr>
                <w:rFonts w:ascii="Arial" w:hAnsi="Arial"/>
                <w:b w:val="0"/>
                <w:sz w:val="18"/>
              </w:rPr>
              <w:t>IDTS shall expose core bug tracking data through OData V4 services suitable for Fiori Elements consumption.</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Inspection and compile</w:t>
            </w:r>
          </w:p>
        </w:tc>
      </w:tr>
      <w:tr>
        <w:tc>
          <w:tcPr>
            <w:tcW w:type="dxa" w:w="2493"/>
            <w:vAlign w:val="center"/>
          </w:tcPr>
          <w:p>
            <w:r/>
            <w:r>
              <w:rPr>
                <w:rFonts w:ascii="Arial" w:hAnsi="Arial"/>
                <w:b w:val="0"/>
                <w:sz w:val="18"/>
              </w:rPr>
              <w:t>SRS-IF-ODATA-002</w:t>
            </w:r>
          </w:p>
        </w:tc>
        <w:tc>
          <w:tcPr>
            <w:tcW w:type="dxa" w:w="2493"/>
            <w:vAlign w:val="center"/>
          </w:tcPr>
          <w:p>
            <w:r/>
            <w:r>
              <w:rPr>
                <w:rFonts w:ascii="Arial" w:hAnsi="Arial"/>
                <w:b w:val="0"/>
                <w:sz w:val="18"/>
              </w:rPr>
              <w:t>IDTS shall expose value-help data required for SAP Module, Application Component, Defect Category, Component Category, Developer, priority, severity, and status selection.</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Inspection and demonstration</w:t>
            </w:r>
          </w:p>
        </w:tc>
      </w:tr>
      <w:tr>
        <w:tc>
          <w:tcPr>
            <w:tcW w:type="dxa" w:w="2493"/>
            <w:vAlign w:val="center"/>
          </w:tcPr>
          <w:p>
            <w:r/>
            <w:r>
              <w:rPr>
                <w:rFonts w:ascii="Arial" w:hAnsi="Arial"/>
                <w:b w:val="0"/>
                <w:sz w:val="18"/>
              </w:rPr>
              <w:t>SRS-IF-ODATA-003</w:t>
            </w:r>
          </w:p>
        </w:tc>
        <w:tc>
          <w:tcPr>
            <w:tcW w:type="dxa" w:w="2493"/>
            <w:vAlign w:val="center"/>
          </w:tcPr>
          <w:p>
            <w:r/>
            <w:r>
              <w:rPr>
                <w:rFonts w:ascii="Arial" w:hAnsi="Arial"/>
                <w:b w:val="0"/>
                <w:sz w:val="18"/>
              </w:rPr>
              <w:t>IDTS shall expose actions or update operations for business-critical status transitions when simple field updates are not sufficient to enforce rules.</w:t>
            </w:r>
          </w:p>
        </w:tc>
        <w:tc>
          <w:tcPr>
            <w:tcW w:type="dxa" w:w="2493"/>
            <w:vAlign w:val="center"/>
          </w:tcPr>
          <w:p>
            <w:r/>
            <w:r>
              <w:rPr>
                <w:rFonts w:ascii="Arial" w:hAnsi="Arial"/>
                <w:b w:val="0"/>
                <w:sz w:val="18"/>
              </w:rPr>
              <w:t>Should</w:t>
            </w:r>
          </w:p>
        </w:tc>
        <w:tc>
          <w:tcPr>
            <w:tcW w:type="dxa" w:w="2493"/>
            <w:vAlign w:val="center"/>
          </w:tcPr>
          <w:p>
            <w:r/>
            <w:r>
              <w:rPr>
                <w:rFonts w:ascii="Arial" w:hAnsi="Arial"/>
                <w:b w:val="0"/>
                <w:sz w:val="18"/>
              </w:rPr>
              <w:t>Inspection and test</w:t>
            </w:r>
          </w:p>
        </w:tc>
      </w:tr>
      <w:tr>
        <w:tc>
          <w:tcPr>
            <w:tcW w:type="dxa" w:w="2493"/>
            <w:vAlign w:val="center"/>
          </w:tcPr>
          <w:p>
            <w:r/>
            <w:r>
              <w:rPr>
                <w:rFonts w:ascii="Arial" w:hAnsi="Arial"/>
                <w:b w:val="0"/>
                <w:sz w:val="18"/>
              </w:rPr>
              <w:t>SRS-IF-ODATA-004</w:t>
            </w:r>
          </w:p>
        </w:tc>
        <w:tc>
          <w:tcPr>
            <w:tcW w:type="dxa" w:w="2493"/>
            <w:vAlign w:val="center"/>
          </w:tcPr>
          <w:p>
            <w:r/>
            <w:r>
              <w:rPr>
                <w:rFonts w:ascii="Arial" w:hAnsi="Arial"/>
                <w:b w:val="0"/>
                <w:sz w:val="18"/>
              </w:rPr>
              <w:t>The deployed authentication service base path shall be /odata/v4/auth/, and the protected bug-management service base path shall be /odata/v4/bug/.</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Metadata inspection and HTTP test</w:t>
            </w:r>
          </w:p>
        </w:tc>
      </w:tr>
      <w:tr>
        <w:tc>
          <w:tcPr>
            <w:tcW w:type="dxa" w:w="2493"/>
            <w:vAlign w:val="center"/>
          </w:tcPr>
          <w:p>
            <w:r/>
            <w:r>
              <w:rPr>
                <w:rFonts w:ascii="Arial" w:hAnsi="Arial"/>
                <w:b w:val="0"/>
                <w:sz w:val="18"/>
              </w:rPr>
              <w:t>SRS-IF-ODATA-005</w:t>
            </w:r>
          </w:p>
        </w:tc>
        <w:tc>
          <w:tcPr>
            <w:tcW w:type="dxa" w:w="2493"/>
            <w:vAlign w:val="center"/>
          </w:tcPr>
          <w:p>
            <w:r/>
            <w:r>
              <w:rPr>
                <w:rFonts w:ascii="Arial" w:hAnsi="Arial"/>
                <w:b w:val="0"/>
                <w:sz w:val="18"/>
              </w:rPr>
              <w:t>Draft creation/editing shall use CAP draft events (NEW, repeated PATCH, and SAVE), while active persistence shall continue through CREATE for a new active Bug and UPDATE for an edited active Bug.</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Handler trace and integration test</w:t>
            </w:r>
          </w:p>
        </w:tc>
      </w:tr>
      <w:tr>
        <w:tc>
          <w:tcPr>
            <w:tcW w:type="dxa" w:w="2493"/>
            <w:vAlign w:val="center"/>
          </w:tcPr>
          <w:p>
            <w:r/>
            <w:r>
              <w:rPr>
                <w:rFonts w:ascii="Arial" w:hAnsi="Arial"/>
                <w:b w:val="0"/>
                <w:sz w:val="18"/>
              </w:rPr>
              <w:t>SRS-IF-ODATA-006</w:t>
            </w:r>
          </w:p>
        </w:tc>
        <w:tc>
          <w:tcPr>
            <w:tcW w:type="dxa" w:w="2493"/>
            <w:vAlign w:val="center"/>
          </w:tcPr>
          <w:p>
            <w:r/>
            <w:r>
              <w:rPr>
                <w:rFonts w:ascii="Arial" w:hAnsi="Arial"/>
                <w:b w:val="0"/>
                <w:sz w:val="18"/>
              </w:rPr>
              <w:t>The audit catalog shall distinguish the 11 exact workflow commands: ASSIGN_TO_DEVELOPER, MOVE_TO_PENDING_ASSIGNMENT, MARK_IN_REVIEW, REQUEST_MORE_INFORMATION, RESUBMIT_TO_DEVELOPER, REJECT_BUG, START_PROGRESS, RESOLVE_BUG, SEND_TO_RETEST, CLOSE_BUG, and REOPEN_BUG.</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Database inspection and IDTS-89 regression</w:t>
            </w:r>
          </w:p>
        </w:tc>
      </w:tr>
    </w:tbl>
    <w:p>
      <w:pPr>
        <w:pStyle w:val="Heading3"/>
      </w:pPr>
      <w:r>
        <w:t>9.2 Fiori UI Interface</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ID</w:t>
            </w:r>
          </w:p>
        </w:tc>
        <w:tc>
          <w:tcPr>
            <w:tcW w:type="dxa" w:w="2493"/>
            <w:shd w:val="clear" w:fill="D9E2F3"/>
            <w:vAlign w:val="center"/>
          </w:tcPr>
          <w:p>
            <w:r/>
            <w:r>
              <w:rPr>
                <w:rFonts w:ascii="Arial" w:hAnsi="Arial"/>
                <w:b/>
                <w:sz w:val="18"/>
              </w:rPr>
              <w:t>Requirement Statement</w:t>
            </w:r>
          </w:p>
        </w:tc>
        <w:tc>
          <w:tcPr>
            <w:tcW w:type="dxa" w:w="2493"/>
            <w:shd w:val="clear" w:fill="D9E2F3"/>
            <w:vAlign w:val="center"/>
          </w:tcPr>
          <w:p>
            <w:r/>
            <w:r>
              <w:rPr>
                <w:rFonts w:ascii="Arial" w:hAnsi="Arial"/>
                <w:b/>
                <w:sz w:val="18"/>
              </w:rPr>
              <w:t>Priority</w:t>
            </w:r>
          </w:p>
        </w:tc>
        <w:tc>
          <w:tcPr>
            <w:tcW w:type="dxa" w:w="2493"/>
            <w:shd w:val="clear" w:fill="D9E2F3"/>
            <w:vAlign w:val="center"/>
          </w:tcPr>
          <w:p>
            <w:r/>
            <w:r>
              <w:rPr>
                <w:rFonts w:ascii="Arial" w:hAnsi="Arial"/>
                <w:b/>
                <w:sz w:val="18"/>
              </w:rPr>
              <w:t>Verification</w:t>
            </w:r>
          </w:p>
        </w:tc>
      </w:tr>
      <w:tr>
        <w:tc>
          <w:tcPr>
            <w:tcW w:type="dxa" w:w="2493"/>
            <w:vAlign w:val="center"/>
          </w:tcPr>
          <w:p>
            <w:r/>
            <w:r>
              <w:rPr>
                <w:rFonts w:ascii="Arial" w:hAnsi="Arial"/>
                <w:b w:val="0"/>
                <w:sz w:val="18"/>
              </w:rPr>
              <w:t>SRS-IF-UI-001</w:t>
            </w:r>
          </w:p>
        </w:tc>
        <w:tc>
          <w:tcPr>
            <w:tcW w:type="dxa" w:w="2493"/>
            <w:vAlign w:val="center"/>
          </w:tcPr>
          <w:p>
            <w:r/>
            <w:r>
              <w:rPr>
                <w:rFonts w:ascii="Arial" w:hAnsi="Arial"/>
                <w:b w:val="0"/>
                <w:sz w:val="18"/>
              </w:rPr>
              <w:t>IDTS shall use Fiori Elements List Report/Object Page as the default user interface for bug management.</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Demonstration</w:t>
            </w:r>
          </w:p>
        </w:tc>
      </w:tr>
      <w:tr>
        <w:tc>
          <w:tcPr>
            <w:tcW w:type="dxa" w:w="2493"/>
            <w:vAlign w:val="center"/>
          </w:tcPr>
          <w:p>
            <w:r/>
            <w:r>
              <w:rPr>
                <w:rFonts w:ascii="Arial" w:hAnsi="Arial"/>
                <w:b w:val="0"/>
                <w:sz w:val="18"/>
              </w:rPr>
              <w:t>SRS-IF-UI-002</w:t>
            </w:r>
          </w:p>
        </w:tc>
        <w:tc>
          <w:tcPr>
            <w:tcW w:type="dxa" w:w="2493"/>
            <w:vAlign w:val="center"/>
          </w:tcPr>
          <w:p>
            <w:r/>
            <w:r>
              <w:rPr>
                <w:rFonts w:ascii="Arial" w:hAnsi="Arial"/>
                <w:b w:val="0"/>
                <w:sz w:val="18"/>
              </w:rPr>
              <w:t>The List Report shall show key columns for bugNumber, title, status, priority, severity, SAP Module, Application Component, Defect Category, assignee, nextProcessor, due date, and update date where available.</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Demonstration</w:t>
            </w:r>
          </w:p>
        </w:tc>
      </w:tr>
      <w:tr>
        <w:tc>
          <w:tcPr>
            <w:tcW w:type="dxa" w:w="2493"/>
            <w:vAlign w:val="center"/>
          </w:tcPr>
          <w:p>
            <w:r/>
            <w:r>
              <w:rPr>
                <w:rFonts w:ascii="Arial" w:hAnsi="Arial"/>
                <w:b w:val="0"/>
                <w:sz w:val="18"/>
              </w:rPr>
              <w:t>SRS-IF-UI-003</w:t>
            </w:r>
          </w:p>
        </w:tc>
        <w:tc>
          <w:tcPr>
            <w:tcW w:type="dxa" w:w="2493"/>
            <w:vAlign w:val="center"/>
          </w:tcPr>
          <w:p>
            <w:r/>
            <w:r>
              <w:rPr>
                <w:rFonts w:ascii="Arial" w:hAnsi="Arial"/>
                <w:b w:val="0"/>
                <w:sz w:val="18"/>
              </w:rPr>
              <w:t>The Object Page shall group fields into Bug Details, Classification, Assignment, Reproduction, Comments, Attachments, History, Notifications, and PM Monitoring sections where implemented.</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Demonstration</w:t>
            </w:r>
          </w:p>
        </w:tc>
      </w:tr>
      <w:tr>
        <w:tc>
          <w:tcPr>
            <w:tcW w:type="dxa" w:w="2493"/>
            <w:vAlign w:val="center"/>
          </w:tcPr>
          <w:p>
            <w:r/>
            <w:r>
              <w:rPr>
                <w:rFonts w:ascii="Arial" w:hAnsi="Arial"/>
                <w:b w:val="0"/>
                <w:sz w:val="18"/>
              </w:rPr>
              <w:t>SRS-IF-UI-004</w:t>
            </w:r>
          </w:p>
        </w:tc>
        <w:tc>
          <w:tcPr>
            <w:tcW w:type="dxa" w:w="2493"/>
            <w:vAlign w:val="center"/>
          </w:tcPr>
          <w:p>
            <w:r/>
            <w:r>
              <w:rPr>
                <w:rFonts w:ascii="Arial" w:hAnsi="Arial"/>
                <w:b w:val="0"/>
                <w:sz w:val="18"/>
              </w:rPr>
              <w:t>UI actions shall be visible only when appropriate for role and status, while backend validation shall remain authoritative.</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Test</w:t>
            </w:r>
          </w:p>
        </w:tc>
      </w:tr>
      <w:tr>
        <w:tc>
          <w:tcPr>
            <w:tcW w:type="dxa" w:w="2493"/>
            <w:vAlign w:val="center"/>
          </w:tcPr>
          <w:p>
            <w:r/>
            <w:r>
              <w:rPr>
                <w:rFonts w:ascii="Arial" w:hAnsi="Arial"/>
                <w:b w:val="0"/>
                <w:sz w:val="18"/>
              </w:rPr>
              <w:t>SRS-IF-UI-005</w:t>
            </w:r>
          </w:p>
        </w:tc>
        <w:tc>
          <w:tcPr>
            <w:tcW w:type="dxa" w:w="2493"/>
            <w:vAlign w:val="center"/>
          </w:tcPr>
          <w:p>
            <w:r/>
            <w:r>
              <w:rPr>
                <w:rFonts w:ascii="Arial" w:hAnsi="Arial"/>
                <w:b w:val="0"/>
                <w:sz w:val="18"/>
              </w:rPr>
              <w:t>The UI shall show Rejected bugs with rejection reason, nextProcessor, and available follow-up actions.</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Demonstration</w:t>
            </w:r>
          </w:p>
        </w:tc>
      </w:tr>
    </w:tbl>
    <w:p>
      <w:pPr>
        <w:pStyle w:val="Heading2"/>
      </w:pPr>
      <w:r>
        <w:t>10. Non-Functional Requirements</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ID</w:t>
            </w:r>
          </w:p>
        </w:tc>
        <w:tc>
          <w:tcPr>
            <w:tcW w:type="dxa" w:w="1994"/>
            <w:shd w:val="clear" w:fill="D9E2F3"/>
            <w:vAlign w:val="center"/>
          </w:tcPr>
          <w:p>
            <w:r/>
            <w:r>
              <w:rPr>
                <w:rFonts w:ascii="Arial" w:hAnsi="Arial"/>
                <w:b/>
                <w:sz w:val="18"/>
              </w:rPr>
              <w:t>Category</w:t>
            </w:r>
          </w:p>
        </w:tc>
        <w:tc>
          <w:tcPr>
            <w:tcW w:type="dxa" w:w="1994"/>
            <w:shd w:val="clear" w:fill="D9E2F3"/>
            <w:vAlign w:val="center"/>
          </w:tcPr>
          <w:p>
            <w:r/>
            <w:r>
              <w:rPr>
                <w:rFonts w:ascii="Arial" w:hAnsi="Arial"/>
                <w:b/>
                <w:sz w:val="18"/>
              </w:rPr>
              <w:t>Requirement Statement</w:t>
            </w:r>
          </w:p>
        </w:tc>
        <w:tc>
          <w:tcPr>
            <w:tcW w:type="dxa" w:w="1994"/>
            <w:shd w:val="clear" w:fill="D9E2F3"/>
            <w:vAlign w:val="center"/>
          </w:tcPr>
          <w:p>
            <w:r/>
            <w:r>
              <w:rPr>
                <w:rFonts w:ascii="Arial" w:hAnsi="Arial"/>
                <w:b/>
                <w:sz w:val="18"/>
              </w:rPr>
              <w:t>Priority</w:t>
            </w:r>
          </w:p>
        </w:tc>
        <w:tc>
          <w:tcPr>
            <w:tcW w:type="dxa" w:w="1994"/>
            <w:shd w:val="clear" w:fill="D9E2F3"/>
            <w:vAlign w:val="center"/>
          </w:tcPr>
          <w:p>
            <w:r/>
            <w:r>
              <w:rPr>
                <w:rFonts w:ascii="Arial" w:hAnsi="Arial"/>
                <w:b/>
                <w:sz w:val="18"/>
              </w:rPr>
              <w:t>Verification</w:t>
            </w:r>
          </w:p>
        </w:tc>
      </w:tr>
      <w:tr>
        <w:tc>
          <w:tcPr>
            <w:tcW w:type="dxa" w:w="1994"/>
            <w:vAlign w:val="center"/>
          </w:tcPr>
          <w:p>
            <w:r/>
            <w:r>
              <w:rPr>
                <w:rFonts w:ascii="Arial" w:hAnsi="Arial"/>
                <w:b w:val="0"/>
                <w:sz w:val="18"/>
              </w:rPr>
              <w:t>SRS-NFR-SEC-001</w:t>
            </w:r>
          </w:p>
        </w:tc>
        <w:tc>
          <w:tcPr>
            <w:tcW w:type="dxa" w:w="1994"/>
            <w:vAlign w:val="center"/>
          </w:tcPr>
          <w:p>
            <w:r/>
            <w:r>
              <w:rPr>
                <w:rFonts w:ascii="Arial" w:hAnsi="Arial"/>
                <w:b w:val="0"/>
                <w:sz w:val="18"/>
              </w:rPr>
              <w:t>Security</w:t>
            </w:r>
          </w:p>
        </w:tc>
        <w:tc>
          <w:tcPr>
            <w:tcW w:type="dxa" w:w="1994"/>
            <w:vAlign w:val="center"/>
          </w:tcPr>
          <w:p>
            <w:r/>
            <w:r>
              <w:rPr>
                <w:rFonts w:ascii="Arial" w:hAnsi="Arial"/>
                <w:b w:val="0"/>
                <w:sz w:val="18"/>
              </w:rPr>
              <w:t>IDTS shall enforce role-based permissions for create, edit, assign, reject, resolve, close, reopen, monitoring, and administrative actions.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Test</w:t>
            </w:r>
          </w:p>
        </w:tc>
      </w:tr>
      <w:tr>
        <w:tc>
          <w:tcPr>
            <w:tcW w:type="dxa" w:w="1994"/>
            <w:vAlign w:val="center"/>
          </w:tcPr>
          <w:p>
            <w:r/>
            <w:r>
              <w:rPr>
                <w:rFonts w:ascii="Arial" w:hAnsi="Arial"/>
                <w:b w:val="0"/>
                <w:sz w:val="18"/>
              </w:rPr>
              <w:t>SRS-NFR-AUD-001</w:t>
            </w:r>
          </w:p>
        </w:tc>
        <w:tc>
          <w:tcPr>
            <w:tcW w:type="dxa" w:w="1994"/>
            <w:vAlign w:val="center"/>
          </w:tcPr>
          <w:p>
            <w:r/>
            <w:r>
              <w:rPr>
                <w:rFonts w:ascii="Arial" w:hAnsi="Arial"/>
                <w:b w:val="0"/>
                <w:sz w:val="18"/>
              </w:rPr>
              <w:t>Auditability</w:t>
            </w:r>
          </w:p>
        </w:tc>
        <w:tc>
          <w:tcPr>
            <w:tcW w:type="dxa" w:w="1994"/>
            <w:vAlign w:val="center"/>
          </w:tcPr>
          <w:p>
            <w:r/>
            <w:r>
              <w:rPr>
                <w:rFonts w:ascii="Arial" w:hAnsi="Arial"/>
                <w:b w:val="0"/>
                <w:sz w:val="18"/>
              </w:rPr>
              <w:t>IDTS shall preserve an audit trail for important lifecycle changes.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SRS-NFR-INT-001</w:t>
            </w:r>
          </w:p>
        </w:tc>
        <w:tc>
          <w:tcPr>
            <w:tcW w:type="dxa" w:w="1994"/>
            <w:vAlign w:val="center"/>
          </w:tcPr>
          <w:p>
            <w:r/>
            <w:r>
              <w:rPr>
                <w:rFonts w:ascii="Arial" w:hAnsi="Arial"/>
                <w:b w:val="0"/>
                <w:sz w:val="18"/>
              </w:rPr>
              <w:t>Data integrity</w:t>
            </w:r>
          </w:p>
        </w:tc>
        <w:tc>
          <w:tcPr>
            <w:tcW w:type="dxa" w:w="1994"/>
            <w:vAlign w:val="center"/>
          </w:tcPr>
          <w:p>
            <w:r/>
            <w:r>
              <w:rPr>
                <w:rFonts w:ascii="Arial" w:hAnsi="Arial"/>
                <w:b w:val="0"/>
                <w:sz w:val="18"/>
              </w:rPr>
              <w:t>IDTS shall enforce required fields, valid classification pairs, valid assignee responsibility, and allowed status transitions.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Test</w:t>
            </w:r>
          </w:p>
        </w:tc>
      </w:tr>
      <w:tr>
        <w:tc>
          <w:tcPr>
            <w:tcW w:type="dxa" w:w="1994"/>
            <w:vAlign w:val="center"/>
          </w:tcPr>
          <w:p>
            <w:r/>
            <w:r>
              <w:rPr>
                <w:rFonts w:ascii="Arial" w:hAnsi="Arial"/>
                <w:b w:val="0"/>
                <w:sz w:val="18"/>
              </w:rPr>
              <w:t>SRS-NFR-USE-001</w:t>
            </w:r>
          </w:p>
        </w:tc>
        <w:tc>
          <w:tcPr>
            <w:tcW w:type="dxa" w:w="1994"/>
            <w:vAlign w:val="center"/>
          </w:tcPr>
          <w:p>
            <w:r/>
            <w:r>
              <w:rPr>
                <w:rFonts w:ascii="Arial" w:hAnsi="Arial"/>
                <w:b w:val="0"/>
                <w:sz w:val="18"/>
              </w:rPr>
              <w:t>Usability</w:t>
            </w:r>
          </w:p>
        </w:tc>
        <w:tc>
          <w:tcPr>
            <w:tcW w:type="dxa" w:w="1994"/>
            <w:vAlign w:val="center"/>
          </w:tcPr>
          <w:p>
            <w:r/>
            <w:r>
              <w:rPr>
                <w:rFonts w:ascii="Arial" w:hAnsi="Arial"/>
                <w:b w:val="0"/>
                <w:sz w:val="18"/>
              </w:rPr>
              <w:t>IDTS shall provide clear Fiori labels and value helps for SAP Module, Application Component, Defect Category, Assignee, and Next Processor.</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Demonstration</w:t>
            </w:r>
          </w:p>
        </w:tc>
      </w:tr>
      <w:tr>
        <w:tc>
          <w:tcPr>
            <w:tcW w:type="dxa" w:w="1994"/>
            <w:vAlign w:val="center"/>
          </w:tcPr>
          <w:p>
            <w:r/>
            <w:r>
              <w:rPr>
                <w:rFonts w:ascii="Arial" w:hAnsi="Arial"/>
                <w:b w:val="0"/>
                <w:sz w:val="18"/>
              </w:rPr>
              <w:t>SRS-NFR-USE-002</w:t>
            </w:r>
          </w:p>
        </w:tc>
        <w:tc>
          <w:tcPr>
            <w:tcW w:type="dxa" w:w="1994"/>
            <w:vAlign w:val="center"/>
          </w:tcPr>
          <w:p>
            <w:r/>
            <w:r>
              <w:rPr>
                <w:rFonts w:ascii="Arial" w:hAnsi="Arial"/>
                <w:b w:val="0"/>
                <w:sz w:val="18"/>
              </w:rPr>
              <w:t>Accessibility</w:t>
            </w:r>
          </w:p>
        </w:tc>
        <w:tc>
          <w:tcPr>
            <w:tcW w:type="dxa" w:w="1994"/>
            <w:vAlign w:val="center"/>
          </w:tcPr>
          <w:p>
            <w:r/>
            <w:r>
              <w:rPr>
                <w:rFonts w:ascii="Arial" w:hAnsi="Arial"/>
                <w:b w:val="0"/>
                <w:sz w:val="18"/>
              </w:rPr>
              <w:t>IDTS should follow SAP Fiori accessibility and message handling guidance for forms, tables, validation messages, and status indicators.</w:t>
            </w:r>
          </w:p>
        </w:tc>
        <w:tc>
          <w:tcPr>
            <w:tcW w:type="dxa" w:w="1994"/>
            <w:vAlign w:val="center"/>
          </w:tcPr>
          <w:p>
            <w:r/>
            <w:r>
              <w:rPr>
                <w:rFonts w:ascii="Arial" w:hAnsi="Arial"/>
                <w:b w:val="0"/>
                <w:sz w:val="18"/>
              </w:rPr>
              <w:t>Should</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SRS-NFR-PERF-001</w:t>
            </w:r>
          </w:p>
        </w:tc>
        <w:tc>
          <w:tcPr>
            <w:tcW w:type="dxa" w:w="1994"/>
            <w:vAlign w:val="center"/>
          </w:tcPr>
          <w:p>
            <w:r/>
            <w:r>
              <w:rPr>
                <w:rFonts w:ascii="Arial" w:hAnsi="Arial"/>
                <w:b w:val="0"/>
                <w:sz w:val="18"/>
              </w:rPr>
              <w:t>Performance</w:t>
            </w:r>
          </w:p>
        </w:tc>
        <w:tc>
          <w:tcPr>
            <w:tcW w:type="dxa" w:w="1994"/>
            <w:vAlign w:val="center"/>
          </w:tcPr>
          <w:p>
            <w:r/>
            <w:r>
              <w:rPr>
                <w:rFonts w:ascii="Arial" w:hAnsi="Arial"/>
                <w:b w:val="0"/>
                <w:sz w:val="18"/>
              </w:rPr>
              <w:t>IDTS shall support responsive search, filter, create, and status update behavior for educational and demo-scale data.</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Demonstration</w:t>
            </w:r>
          </w:p>
        </w:tc>
      </w:tr>
      <w:tr>
        <w:tc>
          <w:tcPr>
            <w:tcW w:type="dxa" w:w="1994"/>
            <w:vAlign w:val="center"/>
          </w:tcPr>
          <w:p>
            <w:r/>
            <w:r>
              <w:rPr>
                <w:rFonts w:ascii="Arial" w:hAnsi="Arial"/>
                <w:b w:val="0"/>
                <w:sz w:val="18"/>
              </w:rPr>
              <w:t>SRS-NFR-MAINT-001</w:t>
            </w:r>
          </w:p>
        </w:tc>
        <w:tc>
          <w:tcPr>
            <w:tcW w:type="dxa" w:w="1994"/>
            <w:vAlign w:val="center"/>
          </w:tcPr>
          <w:p>
            <w:r/>
            <w:r>
              <w:rPr>
                <w:rFonts w:ascii="Arial" w:hAnsi="Arial"/>
                <w:b w:val="0"/>
                <w:sz w:val="18"/>
              </w:rPr>
              <w:t>Maintainability</w:t>
            </w:r>
          </w:p>
        </w:tc>
        <w:tc>
          <w:tcPr>
            <w:tcW w:type="dxa" w:w="1994"/>
            <w:vAlign w:val="center"/>
          </w:tcPr>
          <w:p>
            <w:r/>
            <w:r>
              <w:rPr>
                <w:rFonts w:ascii="Arial" w:hAnsi="Arial"/>
                <w:b w:val="0"/>
                <w:sz w:val="18"/>
              </w:rPr>
              <w:t>IDTS shall keep classification, value-help, and Developer Responsibility data maintainable rather than hardcoded in handlers.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SRS-NFR-CONF-001</w:t>
            </w:r>
          </w:p>
        </w:tc>
        <w:tc>
          <w:tcPr>
            <w:tcW w:type="dxa" w:w="1994"/>
            <w:vAlign w:val="center"/>
          </w:tcPr>
          <w:p>
            <w:r/>
            <w:r>
              <w:rPr>
                <w:rFonts w:ascii="Arial" w:hAnsi="Arial"/>
                <w:b w:val="0"/>
                <w:sz w:val="18"/>
              </w:rPr>
              <w:t>Configuration</w:t>
            </w:r>
          </w:p>
        </w:tc>
        <w:tc>
          <w:tcPr>
            <w:tcW w:type="dxa" w:w="1994"/>
            <w:vAlign w:val="center"/>
          </w:tcPr>
          <w:p>
            <w:r/>
            <w:r>
              <w:rPr>
                <w:rFonts w:ascii="Arial" w:hAnsi="Arial"/>
                <w:b w:val="0"/>
                <w:sz w:val="18"/>
              </w:rPr>
              <w:t>IDTS shall keep environment-specific values outside source code and shall not commit credentials or private endpoints.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SRS-NFR-LOC-001</w:t>
            </w:r>
          </w:p>
        </w:tc>
        <w:tc>
          <w:tcPr>
            <w:tcW w:type="dxa" w:w="1994"/>
            <w:vAlign w:val="center"/>
          </w:tcPr>
          <w:p>
            <w:r/>
            <w:r>
              <w:rPr>
                <w:rFonts w:ascii="Arial" w:hAnsi="Arial"/>
                <w:b w:val="0"/>
                <w:sz w:val="18"/>
              </w:rPr>
              <w:t>Localization</w:t>
            </w:r>
          </w:p>
        </w:tc>
        <w:tc>
          <w:tcPr>
            <w:tcW w:type="dxa" w:w="1994"/>
            <w:vAlign w:val="center"/>
          </w:tcPr>
          <w:p>
            <w:r/>
            <w:r>
              <w:rPr>
                <w:rFonts w:ascii="Arial" w:hAnsi="Arial"/>
                <w:b w:val="0"/>
                <w:sz w:val="18"/>
              </w:rPr>
              <w:t>User-facing UI text should be prepared for i18n during implementation.</w:t>
            </w:r>
          </w:p>
        </w:tc>
        <w:tc>
          <w:tcPr>
            <w:tcW w:type="dxa" w:w="1994"/>
            <w:vAlign w:val="center"/>
          </w:tcPr>
          <w:p>
            <w:r/>
            <w:r>
              <w:rPr>
                <w:rFonts w:ascii="Arial" w:hAnsi="Arial"/>
                <w:b w:val="0"/>
                <w:sz w:val="18"/>
              </w:rPr>
              <w:t>Should</w:t>
            </w:r>
          </w:p>
        </w:tc>
        <w:tc>
          <w:tcPr>
            <w:tcW w:type="dxa" w:w="1994"/>
            <w:vAlign w:val="center"/>
          </w:tcPr>
          <w:p>
            <w:r/>
            <w:r>
              <w:rPr>
                <w:rFonts w:ascii="Arial" w:hAnsi="Arial"/>
                <w:b w:val="0"/>
                <w:sz w:val="18"/>
              </w:rPr>
              <w:t>Inspection</w:t>
            </w:r>
          </w:p>
        </w:tc>
      </w:tr>
    </w:tbl>
    <w:p>
      <w:pPr>
        <w:pStyle w:val="Heading2"/>
      </w:pPr>
      <w:r>
        <w:t>11. Traceability Matrix</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BRD Requirement</w:t>
            </w:r>
          </w:p>
        </w:tc>
        <w:tc>
          <w:tcPr>
            <w:tcW w:type="dxa" w:w="3324"/>
            <w:shd w:val="clear" w:fill="D9E2F3"/>
            <w:vAlign w:val="center"/>
          </w:tcPr>
          <w:p>
            <w:r/>
            <w:r>
              <w:rPr>
                <w:rFonts w:ascii="Arial" w:hAnsi="Arial"/>
                <w:b/>
                <w:sz w:val="18"/>
              </w:rPr>
              <w:t>SRS Requirement IDs</w:t>
            </w:r>
          </w:p>
        </w:tc>
        <w:tc>
          <w:tcPr>
            <w:tcW w:type="dxa" w:w="3324"/>
            <w:shd w:val="clear" w:fill="D9E2F3"/>
            <w:vAlign w:val="center"/>
          </w:tcPr>
          <w:p>
            <w:r/>
            <w:r>
              <w:rPr>
                <w:rFonts w:ascii="Arial" w:hAnsi="Arial"/>
                <w:b/>
                <w:sz w:val="18"/>
              </w:rPr>
              <w:t>FRS Target</w:t>
            </w:r>
          </w:p>
        </w:tc>
      </w:tr>
      <w:tr>
        <w:tc>
          <w:tcPr>
            <w:tcW w:type="dxa" w:w="3324"/>
            <w:vAlign w:val="center"/>
          </w:tcPr>
          <w:p>
            <w:r/>
            <w:r>
              <w:rPr>
                <w:rFonts w:ascii="Arial" w:hAnsi="Arial"/>
                <w:b w:val="0"/>
                <w:sz w:val="18"/>
              </w:rPr>
              <w:t>BRD-BR-001 Structured bug reporting</w:t>
            </w:r>
          </w:p>
        </w:tc>
        <w:tc>
          <w:tcPr>
            <w:tcW w:type="dxa" w:w="3324"/>
            <w:vAlign w:val="center"/>
          </w:tcPr>
          <w:p>
            <w:r/>
            <w:r>
              <w:rPr>
                <w:rFonts w:ascii="Arial" w:hAnsi="Arial"/>
                <w:b w:val="0"/>
                <w:sz w:val="18"/>
              </w:rPr>
              <w:t>SRS-FR-BUG-001, SRS-FR-BUG-002, SRS-DATA-001, SRS-DATA-002</w:t>
            </w:r>
          </w:p>
        </w:tc>
        <w:tc>
          <w:tcPr>
            <w:tcW w:type="dxa" w:w="3324"/>
            <w:vAlign w:val="center"/>
          </w:tcPr>
          <w:p>
            <w:r/>
            <w:r>
              <w:rPr>
                <w:rFonts w:ascii="Arial" w:hAnsi="Arial"/>
                <w:b w:val="0"/>
                <w:sz w:val="18"/>
              </w:rPr>
              <w:t>FRS-BUG-001</w:t>
            </w:r>
          </w:p>
        </w:tc>
      </w:tr>
      <w:tr>
        <w:tc>
          <w:tcPr>
            <w:tcW w:type="dxa" w:w="3324"/>
            <w:vAlign w:val="center"/>
          </w:tcPr>
          <w:p>
            <w:r/>
            <w:r>
              <w:rPr>
                <w:rFonts w:ascii="Arial" w:hAnsi="Arial"/>
                <w:b w:val="0"/>
                <w:sz w:val="18"/>
              </w:rPr>
              <w:t>BRD-BR-002 Duplicate checking</w:t>
            </w:r>
          </w:p>
        </w:tc>
        <w:tc>
          <w:tcPr>
            <w:tcW w:type="dxa" w:w="3324"/>
            <w:vAlign w:val="center"/>
          </w:tcPr>
          <w:p>
            <w:r/>
            <w:r>
              <w:rPr>
                <w:rFonts w:ascii="Arial" w:hAnsi="Arial"/>
                <w:b w:val="0"/>
                <w:sz w:val="18"/>
              </w:rPr>
              <w:t>SRS-FR-BUG-003, SRS-FR-BUG-004</w:t>
            </w:r>
          </w:p>
        </w:tc>
        <w:tc>
          <w:tcPr>
            <w:tcW w:type="dxa" w:w="3324"/>
            <w:vAlign w:val="center"/>
          </w:tcPr>
          <w:p>
            <w:r/>
            <w:r>
              <w:rPr>
                <w:rFonts w:ascii="Arial" w:hAnsi="Arial"/>
                <w:b w:val="0"/>
                <w:sz w:val="18"/>
              </w:rPr>
              <w:t>FRS-BUG-002</w:t>
            </w:r>
          </w:p>
        </w:tc>
      </w:tr>
      <w:tr>
        <w:tc>
          <w:tcPr>
            <w:tcW w:type="dxa" w:w="3324"/>
            <w:vAlign w:val="center"/>
          </w:tcPr>
          <w:p>
            <w:r/>
            <w:r>
              <w:rPr>
                <w:rFonts w:ascii="Arial" w:hAnsi="Arial"/>
                <w:b w:val="0"/>
                <w:sz w:val="18"/>
              </w:rPr>
              <w:t>BRD-BR-003 Classification</w:t>
            </w:r>
          </w:p>
        </w:tc>
        <w:tc>
          <w:tcPr>
            <w:tcW w:type="dxa" w:w="3324"/>
            <w:vAlign w:val="center"/>
          </w:tcPr>
          <w:p>
            <w:r/>
            <w:r>
              <w:rPr>
                <w:rFonts w:ascii="Arial" w:hAnsi="Arial"/>
                <w:b w:val="0"/>
                <w:sz w:val="18"/>
              </w:rPr>
              <w:t>SRS-FR-CLASS-001 to SRS-FR-CLASS-005, SRS-DATA-004</w:t>
            </w:r>
          </w:p>
        </w:tc>
        <w:tc>
          <w:tcPr>
            <w:tcW w:type="dxa" w:w="3324"/>
            <w:vAlign w:val="center"/>
          </w:tcPr>
          <w:p>
            <w:r/>
            <w:r>
              <w:rPr>
                <w:rFonts w:ascii="Arial" w:hAnsi="Arial"/>
                <w:b w:val="0"/>
                <w:sz w:val="18"/>
              </w:rPr>
              <w:t>FRS-CLASS-001, FRS-UX-001</w:t>
            </w:r>
          </w:p>
        </w:tc>
      </w:tr>
      <w:tr>
        <w:tc>
          <w:tcPr>
            <w:tcW w:type="dxa" w:w="3324"/>
            <w:vAlign w:val="center"/>
          </w:tcPr>
          <w:p>
            <w:r/>
            <w:r>
              <w:rPr>
                <w:rFonts w:ascii="Arial" w:hAnsi="Arial"/>
                <w:b w:val="0"/>
                <w:sz w:val="18"/>
              </w:rPr>
              <w:t>BRD-BR-004 Developer assignment</w:t>
            </w:r>
          </w:p>
        </w:tc>
        <w:tc>
          <w:tcPr>
            <w:tcW w:type="dxa" w:w="3324"/>
            <w:vAlign w:val="center"/>
          </w:tcPr>
          <w:p>
            <w:r/>
            <w:r>
              <w:rPr>
                <w:rFonts w:ascii="Arial" w:hAnsi="Arial"/>
                <w:b w:val="0"/>
                <w:sz w:val="18"/>
              </w:rPr>
              <w:t>SRS-FR-ASSIGN-001, SRS-FR-ASSIGN-002, SRS-DATA-005</w:t>
            </w:r>
          </w:p>
        </w:tc>
        <w:tc>
          <w:tcPr>
            <w:tcW w:type="dxa" w:w="3324"/>
            <w:vAlign w:val="center"/>
          </w:tcPr>
          <w:p>
            <w:r/>
            <w:r>
              <w:rPr>
                <w:rFonts w:ascii="Arial" w:hAnsi="Arial"/>
                <w:b w:val="0"/>
                <w:sz w:val="18"/>
              </w:rPr>
              <w:t>FRS-ASSIGN-001</w:t>
            </w:r>
          </w:p>
        </w:tc>
      </w:tr>
      <w:tr>
        <w:tc>
          <w:tcPr>
            <w:tcW w:type="dxa" w:w="3324"/>
            <w:vAlign w:val="center"/>
          </w:tcPr>
          <w:p>
            <w:r/>
            <w:r>
              <w:rPr>
                <w:rFonts w:ascii="Arial" w:hAnsi="Arial"/>
                <w:b w:val="0"/>
                <w:sz w:val="18"/>
              </w:rPr>
              <w:t>BRD-BR-005 Pending Assignment</w:t>
            </w:r>
          </w:p>
        </w:tc>
        <w:tc>
          <w:tcPr>
            <w:tcW w:type="dxa" w:w="3324"/>
            <w:vAlign w:val="center"/>
          </w:tcPr>
          <w:p>
            <w:r/>
            <w:r>
              <w:rPr>
                <w:rFonts w:ascii="Arial" w:hAnsi="Arial"/>
                <w:b w:val="0"/>
                <w:sz w:val="18"/>
              </w:rPr>
              <w:t>SRS-FR-ASSIGN-003, SRS-FR-PM-003</w:t>
            </w:r>
          </w:p>
        </w:tc>
        <w:tc>
          <w:tcPr>
            <w:tcW w:type="dxa" w:w="3324"/>
            <w:vAlign w:val="center"/>
          </w:tcPr>
          <w:p>
            <w:r/>
            <w:r>
              <w:rPr>
                <w:rFonts w:ascii="Arial" w:hAnsi="Arial"/>
                <w:b w:val="0"/>
                <w:sz w:val="18"/>
              </w:rPr>
              <w:t>FRS-ASSIGN-002</w:t>
            </w:r>
          </w:p>
        </w:tc>
      </w:tr>
      <w:tr>
        <w:tc>
          <w:tcPr>
            <w:tcW w:type="dxa" w:w="3324"/>
            <w:vAlign w:val="center"/>
          </w:tcPr>
          <w:p>
            <w:r/>
            <w:r>
              <w:rPr>
                <w:rFonts w:ascii="Arial" w:hAnsi="Arial"/>
                <w:b w:val="0"/>
                <w:sz w:val="18"/>
              </w:rPr>
              <w:t>BRD-BR-006 Developer review</w:t>
            </w:r>
          </w:p>
        </w:tc>
        <w:tc>
          <w:tcPr>
            <w:tcW w:type="dxa" w:w="3324"/>
            <w:vAlign w:val="center"/>
          </w:tcPr>
          <w:p>
            <w:r/>
            <w:r>
              <w:rPr>
                <w:rFonts w:ascii="Arial" w:hAnsi="Arial"/>
                <w:b w:val="0"/>
                <w:sz w:val="18"/>
              </w:rPr>
              <w:t>SRS-FR-STATUS-001, SRS-FR-STATUS-002, SRS-FR-STATUS-005</w:t>
            </w:r>
          </w:p>
        </w:tc>
        <w:tc>
          <w:tcPr>
            <w:tcW w:type="dxa" w:w="3324"/>
            <w:vAlign w:val="center"/>
          </w:tcPr>
          <w:p>
            <w:r/>
            <w:r>
              <w:rPr>
                <w:rFonts w:ascii="Arial" w:hAnsi="Arial"/>
                <w:b w:val="0"/>
                <w:sz w:val="18"/>
              </w:rPr>
              <w:t>FRS-DEV-001, FRS-INFO-001</w:t>
            </w:r>
          </w:p>
        </w:tc>
      </w:tr>
      <w:tr>
        <w:tc>
          <w:tcPr>
            <w:tcW w:type="dxa" w:w="3324"/>
            <w:vAlign w:val="center"/>
          </w:tcPr>
          <w:p>
            <w:r/>
            <w:r>
              <w:rPr>
                <w:rFonts w:ascii="Arial" w:hAnsi="Arial"/>
                <w:b w:val="0"/>
                <w:sz w:val="18"/>
              </w:rPr>
              <w:t>BRD-BR-007 Controlled rejection</w:t>
            </w:r>
          </w:p>
        </w:tc>
        <w:tc>
          <w:tcPr>
            <w:tcW w:type="dxa" w:w="3324"/>
            <w:vAlign w:val="center"/>
          </w:tcPr>
          <w:p>
            <w:r/>
            <w:r>
              <w:rPr>
                <w:rFonts w:ascii="Arial" w:hAnsi="Arial"/>
                <w:b w:val="0"/>
                <w:sz w:val="18"/>
              </w:rPr>
              <w:t>SRS-FR-STATUS-003, SRS-FR-STATUS-004</w:t>
            </w:r>
          </w:p>
        </w:tc>
        <w:tc>
          <w:tcPr>
            <w:tcW w:type="dxa" w:w="3324"/>
            <w:vAlign w:val="center"/>
          </w:tcPr>
          <w:p>
            <w:r/>
            <w:r>
              <w:rPr>
                <w:rFonts w:ascii="Arial" w:hAnsi="Arial"/>
                <w:b w:val="0"/>
                <w:sz w:val="18"/>
              </w:rPr>
              <w:t>FRS-REJECT-001</w:t>
            </w:r>
          </w:p>
        </w:tc>
      </w:tr>
      <w:tr>
        <w:tc>
          <w:tcPr>
            <w:tcW w:type="dxa" w:w="3324"/>
            <w:vAlign w:val="center"/>
          </w:tcPr>
          <w:p>
            <w:r/>
            <w:r>
              <w:rPr>
                <w:rFonts w:ascii="Arial" w:hAnsi="Arial"/>
                <w:b w:val="0"/>
                <w:sz w:val="18"/>
              </w:rPr>
              <w:t>BRD-BR-008 Rejected follow-up</w:t>
            </w:r>
          </w:p>
        </w:tc>
        <w:tc>
          <w:tcPr>
            <w:tcW w:type="dxa" w:w="3324"/>
            <w:vAlign w:val="center"/>
          </w:tcPr>
          <w:p>
            <w:r/>
            <w:r>
              <w:rPr>
                <w:rFonts w:ascii="Arial" w:hAnsi="Arial"/>
                <w:b w:val="0"/>
                <w:sz w:val="18"/>
              </w:rPr>
              <w:t>SRS-FR-STATUS-003, SRS-FR-STATUS-004, SRS-FR-STATUS-009</w:t>
            </w:r>
          </w:p>
        </w:tc>
        <w:tc>
          <w:tcPr>
            <w:tcW w:type="dxa" w:w="3324"/>
            <w:vAlign w:val="center"/>
          </w:tcPr>
          <w:p>
            <w:r/>
            <w:r>
              <w:rPr>
                <w:rFonts w:ascii="Arial" w:hAnsi="Arial"/>
                <w:b w:val="0"/>
                <w:sz w:val="18"/>
              </w:rPr>
              <w:t>FRS-REJECT-001, FRS-NEXTP-001</w:t>
            </w:r>
          </w:p>
        </w:tc>
      </w:tr>
      <w:tr>
        <w:tc>
          <w:tcPr>
            <w:tcW w:type="dxa" w:w="3324"/>
            <w:vAlign w:val="center"/>
          </w:tcPr>
          <w:p>
            <w:r/>
            <w:r>
              <w:rPr>
                <w:rFonts w:ascii="Arial" w:hAnsi="Arial"/>
                <w:b w:val="0"/>
                <w:sz w:val="18"/>
              </w:rPr>
              <w:t>BRD-BR-009 Status lifecycle</w:t>
            </w:r>
          </w:p>
        </w:tc>
        <w:tc>
          <w:tcPr>
            <w:tcW w:type="dxa" w:w="3324"/>
            <w:vAlign w:val="center"/>
          </w:tcPr>
          <w:p>
            <w:r/>
            <w:r>
              <w:rPr>
                <w:rFonts w:ascii="Arial" w:hAnsi="Arial"/>
                <w:b w:val="0"/>
                <w:sz w:val="18"/>
              </w:rPr>
              <w:t>SRS-FR-STATUS-006 to SRS-FR-STATUS-008</w:t>
            </w:r>
          </w:p>
        </w:tc>
        <w:tc>
          <w:tcPr>
            <w:tcW w:type="dxa" w:w="3324"/>
            <w:vAlign w:val="center"/>
          </w:tcPr>
          <w:p>
            <w:r/>
            <w:r>
              <w:rPr>
                <w:rFonts w:ascii="Arial" w:hAnsi="Arial"/>
                <w:b w:val="0"/>
                <w:sz w:val="18"/>
              </w:rPr>
              <w:t>FRS-STATUS-002 to FRS-STATUS-005</w:t>
            </w:r>
          </w:p>
        </w:tc>
      </w:tr>
      <w:tr>
        <w:tc>
          <w:tcPr>
            <w:tcW w:type="dxa" w:w="3324"/>
            <w:vAlign w:val="center"/>
          </w:tcPr>
          <w:p>
            <w:r/>
            <w:r>
              <w:rPr>
                <w:rFonts w:ascii="Arial" w:hAnsi="Arial"/>
                <w:b w:val="0"/>
                <w:sz w:val="18"/>
              </w:rPr>
              <w:t>BRD-BR-010 Comments</w:t>
            </w:r>
          </w:p>
        </w:tc>
        <w:tc>
          <w:tcPr>
            <w:tcW w:type="dxa" w:w="3324"/>
            <w:vAlign w:val="center"/>
          </w:tcPr>
          <w:p>
            <w:r/>
            <w:r>
              <w:rPr>
                <w:rFonts w:ascii="Arial" w:hAnsi="Arial"/>
                <w:b w:val="0"/>
                <w:sz w:val="18"/>
              </w:rPr>
              <w:t>SRS-FR-COMMENT-001, SRS-FR-COMMENT-002</w:t>
            </w:r>
          </w:p>
        </w:tc>
        <w:tc>
          <w:tcPr>
            <w:tcW w:type="dxa" w:w="3324"/>
            <w:vAlign w:val="center"/>
          </w:tcPr>
          <w:p>
            <w:r/>
            <w:r>
              <w:rPr>
                <w:rFonts w:ascii="Arial" w:hAnsi="Arial"/>
                <w:b w:val="0"/>
                <w:sz w:val="18"/>
              </w:rPr>
              <w:t>FRS-COMMENT-001</w:t>
            </w:r>
          </w:p>
        </w:tc>
      </w:tr>
      <w:tr>
        <w:tc>
          <w:tcPr>
            <w:tcW w:type="dxa" w:w="3324"/>
            <w:vAlign w:val="center"/>
          </w:tcPr>
          <w:p>
            <w:r/>
            <w:r>
              <w:rPr>
                <w:rFonts w:ascii="Arial" w:hAnsi="Arial"/>
                <w:b w:val="0"/>
                <w:sz w:val="18"/>
              </w:rPr>
              <w:t>BRD-BR-011 History log</w:t>
            </w:r>
          </w:p>
        </w:tc>
        <w:tc>
          <w:tcPr>
            <w:tcW w:type="dxa" w:w="3324"/>
            <w:vAlign w:val="center"/>
          </w:tcPr>
          <w:p>
            <w:r/>
            <w:r>
              <w:rPr>
                <w:rFonts w:ascii="Arial" w:hAnsi="Arial"/>
                <w:b w:val="0"/>
                <w:sz w:val="18"/>
              </w:rPr>
              <w:t>SRS-FR-AUDIT-001, SRS-FR-AUDIT-002</w:t>
            </w:r>
          </w:p>
        </w:tc>
        <w:tc>
          <w:tcPr>
            <w:tcW w:type="dxa" w:w="3324"/>
            <w:vAlign w:val="center"/>
          </w:tcPr>
          <w:p>
            <w:r/>
            <w:r>
              <w:rPr>
                <w:rFonts w:ascii="Arial" w:hAnsi="Arial"/>
                <w:b w:val="0"/>
                <w:sz w:val="18"/>
              </w:rPr>
              <w:t>FRS-AUDIT-001</w:t>
            </w:r>
          </w:p>
        </w:tc>
      </w:tr>
      <w:tr>
        <w:tc>
          <w:tcPr>
            <w:tcW w:type="dxa" w:w="3324"/>
            <w:vAlign w:val="center"/>
          </w:tcPr>
          <w:p>
            <w:r/>
            <w:r>
              <w:rPr>
                <w:rFonts w:ascii="Arial" w:hAnsi="Arial"/>
                <w:b w:val="0"/>
                <w:sz w:val="18"/>
              </w:rPr>
              <w:t>BRD-BR-012 Notification records</w:t>
            </w:r>
          </w:p>
        </w:tc>
        <w:tc>
          <w:tcPr>
            <w:tcW w:type="dxa" w:w="3324"/>
            <w:vAlign w:val="center"/>
          </w:tcPr>
          <w:p>
            <w:r/>
            <w:r>
              <w:rPr>
                <w:rFonts w:ascii="Arial" w:hAnsi="Arial"/>
                <w:b w:val="0"/>
                <w:sz w:val="18"/>
              </w:rPr>
              <w:t>SRS-FR-NOTIF-001, SRS-FR-NOTIF-002</w:t>
            </w:r>
          </w:p>
        </w:tc>
        <w:tc>
          <w:tcPr>
            <w:tcW w:type="dxa" w:w="3324"/>
            <w:vAlign w:val="center"/>
          </w:tcPr>
          <w:p>
            <w:r/>
            <w:r>
              <w:rPr>
                <w:rFonts w:ascii="Arial" w:hAnsi="Arial"/>
                <w:b w:val="0"/>
                <w:sz w:val="18"/>
              </w:rPr>
              <w:t>FRS-NOTIF-001</w:t>
            </w:r>
          </w:p>
        </w:tc>
      </w:tr>
      <w:tr>
        <w:tc>
          <w:tcPr>
            <w:tcW w:type="dxa" w:w="3324"/>
            <w:vAlign w:val="center"/>
          </w:tcPr>
          <w:p>
            <w:r/>
            <w:r>
              <w:rPr>
                <w:rFonts w:ascii="Arial" w:hAnsi="Arial"/>
                <w:b w:val="0"/>
                <w:sz w:val="18"/>
              </w:rPr>
              <w:t>BRD-BR-013 PM monitoring</w:t>
            </w:r>
          </w:p>
        </w:tc>
        <w:tc>
          <w:tcPr>
            <w:tcW w:type="dxa" w:w="3324"/>
            <w:vAlign w:val="center"/>
          </w:tcPr>
          <w:p>
            <w:r/>
            <w:r>
              <w:rPr>
                <w:rFonts w:ascii="Arial" w:hAnsi="Arial"/>
                <w:b w:val="0"/>
                <w:sz w:val="18"/>
              </w:rPr>
              <w:t>SRS-FR-PM-001 to SRS-FR-PM-004</w:t>
            </w:r>
          </w:p>
        </w:tc>
        <w:tc>
          <w:tcPr>
            <w:tcW w:type="dxa" w:w="3324"/>
            <w:vAlign w:val="center"/>
          </w:tcPr>
          <w:p>
            <w:r/>
            <w:r>
              <w:rPr>
                <w:rFonts w:ascii="Arial" w:hAnsi="Arial"/>
                <w:b w:val="0"/>
                <w:sz w:val="18"/>
              </w:rPr>
              <w:t>FRS-PM-001, FRS-PM-002</w:t>
            </w:r>
          </w:p>
        </w:tc>
      </w:tr>
    </w:tbl>
    <w:p>
      <w:pPr>
        <w:pStyle w:val="Heading2"/>
      </w:pPr>
      <w:r>
        <w:t>12. Verification Approach</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Area</w:t>
            </w:r>
          </w:p>
        </w:tc>
        <w:tc>
          <w:tcPr>
            <w:tcW w:type="dxa" w:w="4986"/>
            <w:shd w:val="clear" w:fill="D9E2F3"/>
            <w:vAlign w:val="center"/>
          </w:tcPr>
          <w:p>
            <w:r/>
            <w:r>
              <w:rPr>
                <w:rFonts w:ascii="Arial" w:hAnsi="Arial"/>
                <w:b/>
                <w:sz w:val="18"/>
              </w:rPr>
              <w:t>Verification approach</w:t>
            </w:r>
          </w:p>
        </w:tc>
      </w:tr>
      <w:tr>
        <w:tc>
          <w:tcPr>
            <w:tcW w:type="dxa" w:w="4986"/>
            <w:vAlign w:val="center"/>
          </w:tcPr>
          <w:p>
            <w:r/>
            <w:r>
              <w:rPr>
                <w:rFonts w:ascii="Arial" w:hAnsi="Arial"/>
                <w:b w:val="0"/>
                <w:sz w:val="18"/>
              </w:rPr>
              <w:t>Requirements review</w:t>
            </w:r>
          </w:p>
        </w:tc>
        <w:tc>
          <w:tcPr>
            <w:tcW w:type="dxa" w:w="4986"/>
            <w:vAlign w:val="center"/>
          </w:tcPr>
          <w:p>
            <w:r/>
            <w:r>
              <w:rPr>
                <w:rFonts w:ascii="Arial" w:hAnsi="Arial"/>
                <w:b w:val="0"/>
                <w:sz w:val="18"/>
              </w:rPr>
              <w:t>Review SRS against BRD, BA backlog, status matrix, authorization matrix, and project scope.</w:t>
            </w:r>
          </w:p>
        </w:tc>
      </w:tr>
      <w:tr>
        <w:tc>
          <w:tcPr>
            <w:tcW w:type="dxa" w:w="4986"/>
            <w:vAlign w:val="center"/>
          </w:tcPr>
          <w:p>
            <w:r/>
            <w:r>
              <w:rPr>
                <w:rFonts w:ascii="Arial" w:hAnsi="Arial"/>
                <w:b w:val="0"/>
                <w:sz w:val="18"/>
              </w:rPr>
              <w:t>CAP model and service</w:t>
            </w:r>
          </w:p>
        </w:tc>
        <w:tc>
          <w:tcPr>
            <w:tcW w:type="dxa" w:w="4986"/>
            <w:vAlign w:val="center"/>
          </w:tcPr>
          <w:p>
            <w:r/>
            <w:r>
              <w:rPr>
                <w:rFonts w:ascii="Arial" w:hAnsi="Arial"/>
                <w:b w:val="0"/>
                <w:sz w:val="18"/>
              </w:rPr>
              <w:t>Run CAP compile and inspect generated OData metadata when implementation exists.</w:t>
            </w:r>
          </w:p>
        </w:tc>
      </w:tr>
      <w:tr>
        <w:tc>
          <w:tcPr>
            <w:tcW w:type="dxa" w:w="4986"/>
            <w:vAlign w:val="center"/>
          </w:tcPr>
          <w:p>
            <w:r/>
            <w:r>
              <w:rPr>
                <w:rFonts w:ascii="Arial" w:hAnsi="Arial"/>
                <w:b w:val="0"/>
                <w:sz w:val="18"/>
              </w:rPr>
              <w:t>Backend rules</w:t>
            </w:r>
          </w:p>
        </w:tc>
        <w:tc>
          <w:tcPr>
            <w:tcW w:type="dxa" w:w="4986"/>
            <w:vAlign w:val="center"/>
          </w:tcPr>
          <w:p>
            <w:r/>
            <w:r>
              <w:rPr>
                <w:rFonts w:ascii="Arial" w:hAnsi="Arial"/>
                <w:b w:val="0"/>
                <w:sz w:val="18"/>
              </w:rPr>
              <w:t>Use manual or automated tests for required fields, assignment, status transition, Rejected follow-up, nextProcessor, history, and authorization.</w:t>
            </w:r>
          </w:p>
        </w:tc>
      </w:tr>
      <w:tr>
        <w:tc>
          <w:tcPr>
            <w:tcW w:type="dxa" w:w="4986"/>
            <w:vAlign w:val="center"/>
          </w:tcPr>
          <w:p>
            <w:r/>
            <w:r>
              <w:rPr>
                <w:rFonts w:ascii="Arial" w:hAnsi="Arial"/>
                <w:b w:val="0"/>
                <w:sz w:val="18"/>
              </w:rPr>
              <w:t>Fiori behavior</w:t>
            </w:r>
          </w:p>
        </w:tc>
        <w:tc>
          <w:tcPr>
            <w:tcW w:type="dxa" w:w="4986"/>
            <w:vAlign w:val="center"/>
          </w:tcPr>
          <w:p>
            <w:r/>
            <w:r>
              <w:rPr>
                <w:rFonts w:ascii="Arial" w:hAnsi="Arial"/>
                <w:b w:val="0"/>
                <w:sz w:val="18"/>
              </w:rPr>
              <w:t>Demonstrate List Report/Object Page creation, value helps, actions, validation messages, and semantic status indicators.</w:t>
            </w:r>
          </w:p>
        </w:tc>
      </w:tr>
      <w:tr>
        <w:tc>
          <w:tcPr>
            <w:tcW w:type="dxa" w:w="4986"/>
            <w:vAlign w:val="center"/>
          </w:tcPr>
          <w:p>
            <w:r/>
            <w:r>
              <w:rPr>
                <w:rFonts w:ascii="Arial" w:hAnsi="Arial"/>
                <w:b w:val="0"/>
                <w:sz w:val="18"/>
              </w:rPr>
              <w:t>PM monitoring</w:t>
            </w:r>
          </w:p>
        </w:tc>
        <w:tc>
          <w:tcPr>
            <w:tcW w:type="dxa" w:w="4986"/>
            <w:vAlign w:val="center"/>
          </w:tcPr>
          <w:p>
            <w:r/>
            <w:r>
              <w:rPr>
                <w:rFonts w:ascii="Arial" w:hAnsi="Arial"/>
                <w:b w:val="0"/>
                <w:sz w:val="18"/>
              </w:rPr>
              <w:t>Demonstrate filters, queues, workload, overdue state, and nextProcessor views with seed/demo data.</w:t>
            </w:r>
          </w:p>
        </w:tc>
      </w:tr>
      <w:tr>
        <w:tc>
          <w:tcPr>
            <w:tcW w:type="dxa" w:w="4986"/>
            <w:vAlign w:val="center"/>
          </w:tcPr>
          <w:p>
            <w:r/>
            <w:r>
              <w:rPr>
                <w:rFonts w:ascii="Arial" w:hAnsi="Arial"/>
                <w:b w:val="0"/>
                <w:sz w:val="18"/>
              </w:rPr>
              <w:t>DOCX deliverable</w:t>
            </w:r>
          </w:p>
        </w:tc>
        <w:tc>
          <w:tcPr>
            <w:tcW w:type="dxa" w:w="4986"/>
            <w:vAlign w:val="center"/>
          </w:tcPr>
          <w:p>
            <w:r/>
            <w:r>
              <w:rPr>
                <w:rFonts w:ascii="Arial" w:hAnsi="Arial"/>
                <w:b w:val="0"/>
                <w:sz w:val="18"/>
              </w:rPr>
              <w:t>Confirm Markdown tables render as true Word tables in generated DOCX.</w:t>
            </w:r>
          </w:p>
        </w:tc>
      </w:tr>
    </w:tbl>
    <w:p>
      <w:pPr>
        <w:pStyle w:val="Heading2"/>
      </w:pPr>
      <w:r>
        <w:t>13. Open Issues</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ID</w:t>
            </w:r>
          </w:p>
        </w:tc>
        <w:tc>
          <w:tcPr>
            <w:tcW w:type="dxa" w:w="2493"/>
            <w:shd w:val="clear" w:fill="D9E2F3"/>
            <w:vAlign w:val="center"/>
          </w:tcPr>
          <w:p>
            <w:r/>
            <w:r>
              <w:rPr>
                <w:rFonts w:ascii="Arial" w:hAnsi="Arial"/>
                <w:b/>
                <w:sz w:val="18"/>
              </w:rPr>
              <w:t>Open Issue</w:t>
            </w:r>
          </w:p>
        </w:tc>
        <w:tc>
          <w:tcPr>
            <w:tcW w:type="dxa" w:w="2493"/>
            <w:shd w:val="clear" w:fill="D9E2F3"/>
            <w:vAlign w:val="center"/>
          </w:tcPr>
          <w:p>
            <w:r/>
            <w:r>
              <w:rPr>
                <w:rFonts w:ascii="Arial" w:hAnsi="Arial"/>
                <w:b/>
                <w:sz w:val="18"/>
              </w:rPr>
              <w:t>Owner</w:t>
            </w:r>
          </w:p>
        </w:tc>
        <w:tc>
          <w:tcPr>
            <w:tcW w:type="dxa" w:w="2493"/>
            <w:shd w:val="clear" w:fill="D9E2F3"/>
            <w:vAlign w:val="center"/>
          </w:tcPr>
          <w:p>
            <w:r/>
            <w:r>
              <w:rPr>
                <w:rFonts w:ascii="Arial" w:hAnsi="Arial"/>
                <w:b/>
                <w:sz w:val="18"/>
              </w:rPr>
              <w:t>Impact</w:t>
            </w:r>
          </w:p>
        </w:tc>
      </w:tr>
      <w:tr>
        <w:tc>
          <w:tcPr>
            <w:tcW w:type="dxa" w:w="2493"/>
            <w:vAlign w:val="center"/>
          </w:tcPr>
          <w:p>
            <w:r/>
            <w:r>
              <w:rPr>
                <w:rFonts w:ascii="Arial" w:hAnsi="Arial"/>
                <w:b w:val="0"/>
                <w:sz w:val="18"/>
              </w:rPr>
              <w:t>OI-SRS-001</w:t>
            </w:r>
          </w:p>
        </w:tc>
        <w:tc>
          <w:tcPr>
            <w:tcW w:type="dxa" w:w="2493"/>
            <w:vAlign w:val="center"/>
          </w:tcPr>
          <w:p>
            <w:r/>
            <w:r>
              <w:rPr>
                <w:rFonts w:ascii="Arial" w:hAnsi="Arial"/>
                <w:b w:val="0"/>
                <w:sz w:val="18"/>
              </w:rPr>
              <w:t>Confirm whether PM can directly assign/reassign in MVP or only request reassignment.</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Authorization and Fiori action visibility.</w:t>
            </w:r>
          </w:p>
        </w:tc>
      </w:tr>
      <w:tr>
        <w:tc>
          <w:tcPr>
            <w:tcW w:type="dxa" w:w="2493"/>
            <w:vAlign w:val="center"/>
          </w:tcPr>
          <w:p>
            <w:r/>
            <w:r>
              <w:rPr>
                <w:rFonts w:ascii="Arial" w:hAnsi="Arial"/>
                <w:b w:val="0"/>
                <w:sz w:val="18"/>
              </w:rPr>
              <w:t>OI-SRS-002</w:t>
            </w:r>
          </w:p>
        </w:tc>
        <w:tc>
          <w:tcPr>
            <w:tcW w:type="dxa" w:w="2493"/>
            <w:vAlign w:val="center"/>
          </w:tcPr>
          <w:p>
            <w:r/>
            <w:r>
              <w:rPr>
                <w:rFonts w:ascii="Arial" w:hAnsi="Arial"/>
                <w:b w:val="0"/>
                <w:sz w:val="18"/>
              </w:rPr>
              <w:t>Confirm the evidence required for mentor acceptance of the implemented in-app notification and asynchronous email-outbox flow.</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Live provider delivery must not be claimed without approved private configuration and evidence.</w:t>
            </w:r>
          </w:p>
        </w:tc>
      </w:tr>
      <w:tr>
        <w:tc>
          <w:tcPr>
            <w:tcW w:type="dxa" w:w="2493"/>
            <w:vAlign w:val="center"/>
          </w:tcPr>
          <w:p>
            <w:r/>
            <w:r>
              <w:rPr>
                <w:rFonts w:ascii="Arial" w:hAnsi="Arial"/>
                <w:b w:val="0"/>
                <w:sz w:val="18"/>
              </w:rPr>
              <w:t>OI-SRS-003</w:t>
            </w:r>
          </w:p>
        </w:tc>
        <w:tc>
          <w:tcPr>
            <w:tcW w:type="dxa" w:w="2493"/>
            <w:vAlign w:val="center"/>
          </w:tcPr>
          <w:p>
            <w:r/>
            <w:r>
              <w:rPr>
                <w:rFonts w:ascii="Arial" w:hAnsi="Arial"/>
                <w:b w:val="0"/>
                <w:sz w:val="18"/>
              </w:rPr>
              <w:t>Confirm the evidence required for mentor acceptance of externally bound attachment storage in shared QA.</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Storage implementation exists; final acceptance depends on binding and test evidence.</w:t>
            </w:r>
          </w:p>
        </w:tc>
      </w:tr>
      <w:tr>
        <w:tc>
          <w:tcPr>
            <w:tcW w:type="dxa" w:w="2493"/>
            <w:vAlign w:val="center"/>
          </w:tcPr>
          <w:p>
            <w:r/>
            <w:r>
              <w:rPr>
                <w:rFonts w:ascii="Arial" w:hAnsi="Arial"/>
                <w:b w:val="0"/>
                <w:sz w:val="18"/>
              </w:rPr>
              <w:t>OI-SRS-004</w:t>
            </w:r>
          </w:p>
        </w:tc>
        <w:tc>
          <w:tcPr>
            <w:tcW w:type="dxa" w:w="2493"/>
            <w:vAlign w:val="center"/>
          </w:tcPr>
          <w:p>
            <w:r/>
            <w:r>
              <w:rPr>
                <w:rFonts w:ascii="Arial" w:hAnsi="Arial"/>
                <w:b w:val="0"/>
                <w:sz w:val="18"/>
              </w:rPr>
              <w:t>Confirm overdue thresholds by priority/severity.</w:t>
            </w:r>
          </w:p>
        </w:tc>
        <w:tc>
          <w:tcPr>
            <w:tcW w:type="dxa" w:w="2493"/>
            <w:vAlign w:val="center"/>
          </w:tcPr>
          <w:p>
            <w:r/>
            <w:r>
              <w:rPr>
                <w:rFonts w:ascii="Arial" w:hAnsi="Arial"/>
                <w:b w:val="0"/>
                <w:sz w:val="18"/>
              </w:rPr>
              <w:t>Team / PM</w:t>
            </w:r>
          </w:p>
        </w:tc>
        <w:tc>
          <w:tcPr>
            <w:tcW w:type="dxa" w:w="2493"/>
            <w:vAlign w:val="center"/>
          </w:tcPr>
          <w:p>
            <w:r/>
            <w:r>
              <w:rPr>
                <w:rFonts w:ascii="Arial" w:hAnsi="Arial"/>
                <w:b w:val="0"/>
                <w:sz w:val="18"/>
              </w:rPr>
              <w:t>PM dashboard and escalation logic.</w:t>
            </w:r>
          </w:p>
        </w:tc>
      </w:tr>
      <w:tr>
        <w:tc>
          <w:tcPr>
            <w:tcW w:type="dxa" w:w="2493"/>
            <w:vAlign w:val="center"/>
          </w:tcPr>
          <w:p>
            <w:r/>
            <w:r>
              <w:rPr>
                <w:rFonts w:ascii="Arial" w:hAnsi="Arial"/>
                <w:b w:val="0"/>
                <w:sz w:val="18"/>
              </w:rPr>
              <w:t>OI-SRS-005</w:t>
            </w:r>
          </w:p>
        </w:tc>
        <w:tc>
          <w:tcPr>
            <w:tcW w:type="dxa" w:w="2493"/>
            <w:vAlign w:val="center"/>
          </w:tcPr>
          <w:p>
            <w:r/>
            <w:r>
              <w:rPr>
                <w:rFonts w:ascii="Arial" w:hAnsi="Arial"/>
                <w:b w:val="0"/>
                <w:sz w:val="18"/>
              </w:rPr>
              <w:t>Confirm SAP490 acceptance of CAP/Fiori artifacts as SAP Coding deliverables.</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Final report structure and evidence mapping.</w:t>
            </w:r>
          </w:p>
        </w:tc>
      </w:tr>
    </w:tbl>
    <w:p>
      <w:pPr>
        <w:pStyle w:val="Heading2"/>
      </w:pPr>
      <w:r>
        <w:t>14. Glossary</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Term</w:t>
            </w:r>
          </w:p>
        </w:tc>
        <w:tc>
          <w:tcPr>
            <w:tcW w:type="dxa" w:w="4986"/>
            <w:shd w:val="clear" w:fill="D9E2F3"/>
            <w:vAlign w:val="center"/>
          </w:tcPr>
          <w:p>
            <w:r/>
            <w:r>
              <w:rPr>
                <w:rFonts w:ascii="Arial" w:hAnsi="Arial"/>
                <w:b/>
                <w:sz w:val="18"/>
              </w:rPr>
              <w:t>Meaning</w:t>
            </w:r>
          </w:p>
        </w:tc>
      </w:tr>
      <w:tr>
        <w:tc>
          <w:tcPr>
            <w:tcW w:type="dxa" w:w="4986"/>
            <w:vAlign w:val="center"/>
          </w:tcPr>
          <w:p>
            <w:r/>
            <w:r>
              <w:rPr>
                <w:rFonts w:ascii="Arial" w:hAnsi="Arial"/>
                <w:b w:val="0"/>
                <w:sz w:val="18"/>
              </w:rPr>
              <w:t>SAP Module</w:t>
            </w:r>
          </w:p>
        </w:tc>
        <w:tc>
          <w:tcPr>
            <w:tcW w:type="dxa" w:w="4986"/>
            <w:vAlign w:val="center"/>
          </w:tcPr>
          <w:p>
            <w:r/>
            <w:r>
              <w:rPr>
                <w:rFonts w:ascii="Arial" w:hAnsi="Arial"/>
                <w:b w:val="0"/>
                <w:sz w:val="18"/>
              </w:rPr>
              <w:t>Optional SAP business context such as FI, MM, SD, CO, PP, or HCM.</w:t>
            </w:r>
          </w:p>
        </w:tc>
      </w:tr>
      <w:tr>
        <w:tc>
          <w:tcPr>
            <w:tcW w:type="dxa" w:w="4986"/>
            <w:vAlign w:val="center"/>
          </w:tcPr>
          <w:p>
            <w:r/>
            <w:r>
              <w:rPr>
                <w:rFonts w:ascii="Arial" w:hAnsi="Arial"/>
                <w:b w:val="0"/>
                <w:sz w:val="18"/>
              </w:rPr>
              <w:t>Application Component</w:t>
            </w:r>
          </w:p>
        </w:tc>
        <w:tc>
          <w:tcPr>
            <w:tcW w:type="dxa" w:w="4986"/>
            <w:vAlign w:val="center"/>
          </w:tcPr>
          <w:p>
            <w:r/>
            <w:r>
              <w:rPr>
                <w:rFonts w:ascii="Arial" w:hAnsi="Arial"/>
                <w:b w:val="0"/>
                <w:sz w:val="18"/>
              </w:rPr>
              <w:t>The app, screen, service, or feature area where the bug appears.</w:t>
            </w:r>
          </w:p>
        </w:tc>
      </w:tr>
      <w:tr>
        <w:tc>
          <w:tcPr>
            <w:tcW w:type="dxa" w:w="4986"/>
            <w:vAlign w:val="center"/>
          </w:tcPr>
          <w:p>
            <w:r/>
            <w:r>
              <w:rPr>
                <w:rFonts w:ascii="Arial" w:hAnsi="Arial"/>
                <w:b w:val="0"/>
                <w:sz w:val="18"/>
              </w:rPr>
              <w:t>Defect Category</w:t>
            </w:r>
          </w:p>
        </w:tc>
        <w:tc>
          <w:tcPr>
            <w:tcW w:type="dxa" w:w="4986"/>
            <w:vAlign w:val="center"/>
          </w:tcPr>
          <w:p>
            <w:r/>
            <w:r>
              <w:rPr>
                <w:rFonts w:ascii="Arial" w:hAnsi="Arial"/>
                <w:b w:val="0"/>
                <w:sz w:val="18"/>
              </w:rPr>
              <w:t>The defect type or technical layer such as Fiori/UI5, CAP backend, database, authorization, integration, workflow, notification, or reporting.</w:t>
            </w:r>
          </w:p>
        </w:tc>
      </w:tr>
      <w:tr>
        <w:tc>
          <w:tcPr>
            <w:tcW w:type="dxa" w:w="4986"/>
            <w:vAlign w:val="center"/>
          </w:tcPr>
          <w:p>
            <w:r/>
            <w:r>
              <w:rPr>
                <w:rFonts w:ascii="Arial" w:hAnsi="Arial"/>
                <w:b w:val="0"/>
                <w:sz w:val="18"/>
              </w:rPr>
              <w:t>Component Category</w:t>
            </w:r>
          </w:p>
        </w:tc>
        <w:tc>
          <w:tcPr>
            <w:tcW w:type="dxa" w:w="4986"/>
            <w:vAlign w:val="center"/>
          </w:tcPr>
          <w:p>
            <w:r/>
            <w:r>
              <w:rPr>
                <w:rFonts w:ascii="Arial" w:hAnsi="Arial"/>
                <w:b w:val="0"/>
                <w:sz w:val="18"/>
              </w:rPr>
              <w:t>A valid Application Component and Defect Category pair.</w:t>
            </w:r>
          </w:p>
        </w:tc>
      </w:tr>
      <w:tr>
        <w:tc>
          <w:tcPr>
            <w:tcW w:type="dxa" w:w="4986"/>
            <w:vAlign w:val="center"/>
          </w:tcPr>
          <w:p>
            <w:r/>
            <w:r>
              <w:rPr>
                <w:rFonts w:ascii="Arial" w:hAnsi="Arial"/>
                <w:b w:val="0"/>
                <w:sz w:val="18"/>
              </w:rPr>
              <w:t>Developer Responsibility</w:t>
            </w:r>
          </w:p>
        </w:tc>
        <w:tc>
          <w:tcPr>
            <w:tcW w:type="dxa" w:w="4986"/>
            <w:vAlign w:val="center"/>
          </w:tcPr>
          <w:p>
            <w:r/>
            <w:r>
              <w:rPr>
                <w:rFonts w:ascii="Arial" w:hAnsi="Arial"/>
                <w:b w:val="0"/>
                <w:sz w:val="18"/>
              </w:rPr>
              <w:t>Mapping that defines which Developer can handle a Component Category and optional SAP Module.</w:t>
            </w:r>
          </w:p>
        </w:tc>
      </w:tr>
      <w:tr>
        <w:tc>
          <w:tcPr>
            <w:tcW w:type="dxa" w:w="4986"/>
            <w:vAlign w:val="center"/>
          </w:tcPr>
          <w:p>
            <w:r/>
            <w:r>
              <w:rPr>
                <w:rFonts w:ascii="Arial" w:hAnsi="Arial"/>
                <w:b w:val="0"/>
                <w:sz w:val="18"/>
              </w:rPr>
              <w:t>Assignee</w:t>
            </w:r>
          </w:p>
        </w:tc>
        <w:tc>
          <w:tcPr>
            <w:tcW w:type="dxa" w:w="4986"/>
            <w:vAlign w:val="center"/>
          </w:tcPr>
          <w:p>
            <w:r/>
            <w:r>
              <w:rPr>
                <w:rFonts w:ascii="Arial" w:hAnsi="Arial"/>
                <w:b w:val="0"/>
                <w:sz w:val="18"/>
              </w:rPr>
              <w:t>The main Developer responsible for technical handling of the bug.</w:t>
            </w:r>
          </w:p>
        </w:tc>
      </w:tr>
      <w:tr>
        <w:tc>
          <w:tcPr>
            <w:tcW w:type="dxa" w:w="4986"/>
            <w:vAlign w:val="center"/>
          </w:tcPr>
          <w:p>
            <w:r/>
            <w:r>
              <w:rPr>
                <w:rFonts w:ascii="Arial" w:hAnsi="Arial"/>
                <w:b w:val="0"/>
                <w:sz w:val="18"/>
              </w:rPr>
              <w:t>nextProcessor</w:t>
            </w:r>
          </w:p>
        </w:tc>
        <w:tc>
          <w:tcPr>
            <w:tcW w:type="dxa" w:w="4986"/>
            <w:vAlign w:val="center"/>
          </w:tcPr>
          <w:p>
            <w:r/>
            <w:r>
              <w:rPr>
                <w:rFonts w:ascii="Arial" w:hAnsi="Arial"/>
                <w:b w:val="0"/>
                <w:sz w:val="18"/>
              </w:rPr>
              <w:t>The current action owner or queue. It does not replace assignee.</w:t>
            </w:r>
          </w:p>
        </w:tc>
      </w:tr>
      <w:tr>
        <w:tc>
          <w:tcPr>
            <w:tcW w:type="dxa" w:w="4986"/>
            <w:vAlign w:val="center"/>
          </w:tcPr>
          <w:p>
            <w:r/>
            <w:r>
              <w:rPr>
                <w:rFonts w:ascii="Arial" w:hAnsi="Arial"/>
                <w:b w:val="0"/>
                <w:sz w:val="18"/>
              </w:rPr>
              <w:t>Rejected</w:t>
            </w:r>
          </w:p>
        </w:tc>
        <w:tc>
          <w:tcPr>
            <w:tcW w:type="dxa" w:w="4986"/>
            <w:vAlign w:val="center"/>
          </w:tcPr>
          <w:p>
            <w:r/>
            <w:r>
              <w:rPr>
                <w:rFonts w:ascii="Arial" w:hAnsi="Arial"/>
                <w:b w:val="0"/>
                <w:sz w:val="18"/>
              </w:rPr>
              <w:t>Follow-up status used when assignment or classification is unsuitable. It must have reason and next action.</w:t>
            </w:r>
          </w:p>
        </w:tc>
      </w:tr>
      <w:tr>
        <w:tc>
          <w:tcPr>
            <w:tcW w:type="dxa" w:w="4986"/>
            <w:vAlign w:val="center"/>
          </w:tcPr>
          <w:p>
            <w:r/>
            <w:r>
              <w:rPr>
                <w:rFonts w:ascii="Arial" w:hAnsi="Arial"/>
                <w:b w:val="0"/>
                <w:sz w:val="18"/>
              </w:rPr>
              <w:t>Retest Required</w:t>
            </w:r>
          </w:p>
        </w:tc>
        <w:tc>
          <w:tcPr>
            <w:tcW w:type="dxa" w:w="4986"/>
            <w:vAlign w:val="center"/>
          </w:tcPr>
          <w:p>
            <w:r/>
            <w:r>
              <w:rPr>
                <w:rFonts w:ascii="Arial" w:hAnsi="Arial"/>
                <w:b w:val="0"/>
                <w:sz w:val="18"/>
              </w:rPr>
              <w:t>Verification status between Resolved and Closed.</w:t>
            </w:r>
          </w:p>
        </w:tc>
      </w:tr>
      <w:tr>
        <w:tc>
          <w:tcPr>
            <w:tcW w:type="dxa" w:w="4986"/>
            <w:vAlign w:val="center"/>
          </w:tcPr>
          <w:p>
            <w:r/>
            <w:r>
              <w:rPr>
                <w:rFonts w:ascii="Arial" w:hAnsi="Arial"/>
                <w:b w:val="0"/>
                <w:sz w:val="18"/>
              </w:rPr>
              <w:t>OData V4</w:t>
            </w:r>
          </w:p>
        </w:tc>
        <w:tc>
          <w:tcPr>
            <w:tcW w:type="dxa" w:w="4986"/>
            <w:vAlign w:val="center"/>
          </w:tcPr>
          <w:p>
            <w:r/>
            <w:r>
              <w:rPr>
                <w:rFonts w:ascii="Arial" w:hAnsi="Arial"/>
                <w:b w:val="0"/>
                <w:sz w:val="18"/>
              </w:rPr>
              <w:t>API protocol used by CAP service and consumed by Fiori Elements.</w:t>
            </w:r>
          </w:p>
        </w:tc>
      </w:tr>
    </w:tbl>
    <w:sectPr w:rsidR="00FC693F" w:rsidRPr="0006063C" w:rsidSect="00034616">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IDTS SAP490 Review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