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886" w:rsidRPr="00454290" w:rsidRDefault="00FF5FEE" w:rsidP="00160D6A">
      <w:pPr>
        <w:widowControl w:val="0"/>
        <w:spacing w:line="228" w:lineRule="auto"/>
        <w:ind w:right="51"/>
        <w:jc w:val="both"/>
        <w:rPr>
          <w:rFonts w:eastAsia="Calibri"/>
          <w:b/>
          <w:color w:val="000000"/>
          <w:sz w:val="20"/>
          <w:szCs w:val="20"/>
          <w:lang w:val="es-GT"/>
        </w:rPr>
      </w:pPr>
      <w:r w:rsidRPr="00454290">
        <w:rPr>
          <w:noProof/>
          <w:sz w:val="20"/>
          <w:szCs w:val="20"/>
          <w:lang w:val="es-GT" w:eastAsia="es-GT"/>
        </w:rPr>
        <w:drawing>
          <wp:inline distT="0" distB="0" distL="0" distR="0">
            <wp:extent cx="5612130" cy="8102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886" w:rsidRPr="00454290" w:rsidRDefault="00D96886" w:rsidP="00160D6A">
      <w:pPr>
        <w:widowControl w:val="0"/>
        <w:spacing w:line="228" w:lineRule="auto"/>
        <w:ind w:right="51"/>
        <w:jc w:val="both"/>
        <w:rPr>
          <w:rFonts w:eastAsia="Calibri"/>
          <w:b/>
          <w:color w:val="000000"/>
          <w:sz w:val="20"/>
          <w:szCs w:val="20"/>
          <w:lang w:val="es-GT"/>
        </w:rPr>
      </w:pPr>
    </w:p>
    <w:p w:rsidR="00D96886" w:rsidRPr="00454290" w:rsidRDefault="00D96886" w:rsidP="00160D6A">
      <w:pPr>
        <w:widowControl w:val="0"/>
        <w:spacing w:line="228" w:lineRule="auto"/>
        <w:ind w:right="51"/>
        <w:jc w:val="both"/>
        <w:rPr>
          <w:rFonts w:eastAsia="Calibri"/>
          <w:b/>
          <w:color w:val="000000"/>
          <w:sz w:val="20"/>
          <w:szCs w:val="20"/>
          <w:lang w:val="es-GT"/>
        </w:rPr>
      </w:pPr>
    </w:p>
    <w:p w:rsidR="00D96886" w:rsidRPr="00454290" w:rsidRDefault="00FF5FEE" w:rsidP="00160D6A">
      <w:pPr>
        <w:widowControl w:val="0"/>
        <w:spacing w:line="228" w:lineRule="auto"/>
        <w:ind w:right="51"/>
        <w:jc w:val="center"/>
        <w:rPr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t>PROYECTO DEL CURSO: ESTÁNDARES DE SEGURIDAD</w:t>
      </w:r>
    </w:p>
    <w:p w:rsidR="006D3075" w:rsidRPr="00454290" w:rsidRDefault="006D3075" w:rsidP="00160D6A">
      <w:pPr>
        <w:suppressAutoHyphens w:val="0"/>
        <w:spacing w:before="100" w:beforeAutospacing="1" w:after="100" w:afterAutospacing="1" w:line="240" w:lineRule="auto"/>
        <w:jc w:val="center"/>
        <w:rPr>
          <w:rFonts w:eastAsia="Times New Roman"/>
          <w:sz w:val="20"/>
          <w:szCs w:val="20"/>
          <w:lang w:val="es-GT" w:eastAsia="es-GT"/>
        </w:rPr>
      </w:pPr>
      <w:r w:rsidRPr="00454290">
        <w:rPr>
          <w:rFonts w:eastAsia="Times New Roman"/>
          <w:b/>
          <w:bCs/>
          <w:sz w:val="20"/>
          <w:szCs w:val="20"/>
          <w:lang w:val="es-GT" w:eastAsia="es-GT"/>
        </w:rPr>
        <w:t>NOMBRE DEL PROYECTO:</w:t>
      </w:r>
      <w:r w:rsidRPr="006D3075">
        <w:rPr>
          <w:rFonts w:eastAsia="Times New Roman"/>
          <w:sz w:val="20"/>
          <w:szCs w:val="20"/>
          <w:lang w:val="es-GT" w:eastAsia="es-GT"/>
        </w:rPr>
        <w:t xml:space="preserve"> Implementación de un Sistema de Gestión de Seguridad de la Información (SGSI).</w:t>
      </w:r>
    </w:p>
    <w:p w:rsidR="00160D6A" w:rsidRPr="00454290" w:rsidRDefault="006D3075" w:rsidP="00160D6A">
      <w:pPr>
        <w:suppressAutoHyphens w:val="0"/>
        <w:spacing w:before="100" w:beforeAutospacing="1" w:after="100" w:afterAutospacing="1" w:line="240" w:lineRule="auto"/>
        <w:jc w:val="both"/>
        <w:rPr>
          <w:rFonts w:eastAsia="Times New Roman"/>
          <w:b/>
          <w:bCs/>
          <w:sz w:val="20"/>
          <w:szCs w:val="20"/>
          <w:lang w:val="es-GT" w:eastAsia="es-GT"/>
        </w:rPr>
      </w:pPr>
      <w:r w:rsidRPr="00454290">
        <w:rPr>
          <w:rFonts w:eastAsia="Times New Roman"/>
          <w:b/>
          <w:bCs/>
          <w:sz w:val="20"/>
          <w:szCs w:val="20"/>
          <w:lang w:val="es-GT" w:eastAsia="es-GT"/>
        </w:rPr>
        <w:t>DESCRIPCIÓN DEL PROYECTO:</w:t>
      </w:r>
    </w:p>
    <w:p w:rsidR="006D3075" w:rsidRPr="006D3075" w:rsidRDefault="006D3075" w:rsidP="00160D6A">
      <w:pPr>
        <w:suppressAutoHyphens w:val="0"/>
        <w:spacing w:before="100" w:beforeAutospacing="1" w:after="100" w:afterAutospacing="1" w:line="240" w:lineRule="auto"/>
        <w:jc w:val="both"/>
        <w:rPr>
          <w:rFonts w:eastAsia="Times New Roman"/>
          <w:sz w:val="20"/>
          <w:szCs w:val="20"/>
          <w:lang w:val="es-GT" w:eastAsia="es-GT"/>
        </w:rPr>
      </w:pPr>
      <w:r w:rsidRPr="006D3075">
        <w:rPr>
          <w:rFonts w:eastAsia="Times New Roman"/>
          <w:sz w:val="20"/>
          <w:szCs w:val="20"/>
          <w:lang w:val="es-GT" w:eastAsia="es-GT"/>
        </w:rPr>
        <w:t>El proyecto consiste en diseñar e implementar un SGSI que permita garantizar la integridad, confidencialidad y disponibilidad de la información, brindando confianza tanto a clientes como a proveedores. Se tomará en cuenta un enfoque basado en riesgos, siguiendo estándares internacionales de seguridad informática ampliamente aceptados.</w:t>
      </w:r>
    </w:p>
    <w:p w:rsidR="006D3075" w:rsidRPr="006D3075" w:rsidRDefault="006D3075" w:rsidP="00160D6A">
      <w:pPr>
        <w:suppressAutoHyphens w:val="0"/>
        <w:spacing w:before="100" w:beforeAutospacing="1" w:after="100" w:afterAutospacing="1" w:line="240" w:lineRule="auto"/>
        <w:jc w:val="both"/>
        <w:rPr>
          <w:rFonts w:eastAsia="Times New Roman"/>
          <w:sz w:val="20"/>
          <w:szCs w:val="20"/>
          <w:lang w:val="es-GT" w:eastAsia="es-GT"/>
        </w:rPr>
      </w:pPr>
      <w:r w:rsidRPr="00454290">
        <w:rPr>
          <w:rFonts w:eastAsia="Times New Roman"/>
          <w:b/>
          <w:bCs/>
          <w:sz w:val="20"/>
          <w:szCs w:val="20"/>
          <w:lang w:val="es-GT" w:eastAsia="es-GT"/>
        </w:rPr>
        <w:t>Giro de Negocio:</w:t>
      </w:r>
      <w:r w:rsidRPr="006D3075">
        <w:rPr>
          <w:rFonts w:eastAsia="Times New Roman"/>
          <w:sz w:val="20"/>
          <w:szCs w:val="20"/>
          <w:lang w:val="es-GT" w:eastAsia="es-GT"/>
        </w:rPr>
        <w:t xml:space="preserve"> Se desarrollará un caso práctico para uno de los siguientes sectores: Educación, Banca, </w:t>
      </w:r>
      <w:proofErr w:type="spellStart"/>
      <w:r w:rsidRPr="006D3075">
        <w:rPr>
          <w:rFonts w:eastAsia="Times New Roman"/>
          <w:sz w:val="20"/>
          <w:szCs w:val="20"/>
          <w:lang w:val="es-GT" w:eastAsia="es-GT"/>
        </w:rPr>
        <w:t>Retail</w:t>
      </w:r>
      <w:proofErr w:type="spellEnd"/>
      <w:r w:rsidRPr="006D3075">
        <w:rPr>
          <w:rFonts w:eastAsia="Times New Roman"/>
          <w:sz w:val="20"/>
          <w:szCs w:val="20"/>
          <w:lang w:val="es-GT" w:eastAsia="es-GT"/>
        </w:rPr>
        <w:t xml:space="preserve">, Logística, </w:t>
      </w:r>
      <w:r w:rsidRPr="00454290">
        <w:rPr>
          <w:rFonts w:eastAsia="Times New Roman"/>
          <w:sz w:val="20"/>
          <w:szCs w:val="20"/>
          <w:lang w:val="es-GT" w:eastAsia="es-GT"/>
        </w:rPr>
        <w:t>y deberán aplicar una de las siguientes opciones de</w:t>
      </w:r>
      <w:r w:rsidRPr="006D3075">
        <w:rPr>
          <w:rFonts w:eastAsia="Times New Roman"/>
          <w:sz w:val="20"/>
          <w:szCs w:val="20"/>
          <w:lang w:val="es-GT" w:eastAsia="es-GT"/>
        </w:rPr>
        <w:t xml:space="preserve"> arquitectura:</w:t>
      </w:r>
    </w:p>
    <w:p w:rsidR="006D3075" w:rsidRPr="006D3075" w:rsidRDefault="006D3075" w:rsidP="00160D6A">
      <w:pPr>
        <w:numPr>
          <w:ilvl w:val="0"/>
          <w:numId w:val="7"/>
        </w:numPr>
        <w:suppressAutoHyphens w:val="0"/>
        <w:spacing w:before="100" w:beforeAutospacing="1" w:after="100" w:afterAutospacing="1" w:line="240" w:lineRule="auto"/>
        <w:jc w:val="both"/>
        <w:rPr>
          <w:rFonts w:eastAsia="Times New Roman"/>
          <w:sz w:val="20"/>
          <w:szCs w:val="20"/>
          <w:lang w:val="es-GT" w:eastAsia="es-GT"/>
        </w:rPr>
      </w:pPr>
      <w:r w:rsidRPr="006D3075">
        <w:rPr>
          <w:rFonts w:eastAsia="Times New Roman"/>
          <w:sz w:val="20"/>
          <w:szCs w:val="20"/>
          <w:lang w:val="es-GT" w:eastAsia="es-GT"/>
        </w:rPr>
        <w:t>Nube privada (On-premise)</w:t>
      </w:r>
    </w:p>
    <w:p w:rsidR="006D3075" w:rsidRPr="006D3075" w:rsidRDefault="006D3075" w:rsidP="00160D6A">
      <w:pPr>
        <w:numPr>
          <w:ilvl w:val="0"/>
          <w:numId w:val="7"/>
        </w:numPr>
        <w:suppressAutoHyphens w:val="0"/>
        <w:spacing w:before="100" w:beforeAutospacing="1" w:after="100" w:afterAutospacing="1" w:line="240" w:lineRule="auto"/>
        <w:jc w:val="both"/>
        <w:rPr>
          <w:rFonts w:eastAsia="Times New Roman"/>
          <w:sz w:val="20"/>
          <w:szCs w:val="20"/>
          <w:lang w:val="es-GT" w:eastAsia="es-GT"/>
        </w:rPr>
      </w:pPr>
      <w:r w:rsidRPr="006D3075">
        <w:rPr>
          <w:rFonts w:eastAsia="Times New Roman"/>
          <w:sz w:val="20"/>
          <w:szCs w:val="20"/>
          <w:lang w:val="es-GT" w:eastAsia="es-GT"/>
        </w:rPr>
        <w:t>Nube pública</w:t>
      </w:r>
    </w:p>
    <w:p w:rsidR="006D3075" w:rsidRPr="006D3075" w:rsidRDefault="006D3075" w:rsidP="00160D6A">
      <w:pPr>
        <w:numPr>
          <w:ilvl w:val="0"/>
          <w:numId w:val="7"/>
        </w:numPr>
        <w:suppressAutoHyphens w:val="0"/>
        <w:spacing w:before="100" w:beforeAutospacing="1" w:after="100" w:afterAutospacing="1" w:line="240" w:lineRule="auto"/>
        <w:jc w:val="both"/>
        <w:rPr>
          <w:rFonts w:eastAsia="Times New Roman"/>
          <w:sz w:val="20"/>
          <w:szCs w:val="20"/>
          <w:lang w:val="es-GT" w:eastAsia="es-GT"/>
        </w:rPr>
      </w:pPr>
      <w:r w:rsidRPr="006D3075">
        <w:rPr>
          <w:rFonts w:eastAsia="Times New Roman"/>
          <w:sz w:val="20"/>
          <w:szCs w:val="20"/>
          <w:lang w:val="es-GT" w:eastAsia="es-GT"/>
        </w:rPr>
        <w:t>Nube híbrida con soporte para dispositivos móviles.</w:t>
      </w:r>
    </w:p>
    <w:p w:rsidR="006D3075" w:rsidRPr="00454290" w:rsidRDefault="006D3075" w:rsidP="00160D6A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454290">
        <w:rPr>
          <w:rStyle w:val="Textoennegrita"/>
          <w:rFonts w:ascii="Arial" w:hAnsi="Arial" w:cs="Arial"/>
          <w:sz w:val="20"/>
          <w:szCs w:val="20"/>
        </w:rPr>
        <w:t>Fases del proyecto</w:t>
      </w:r>
      <w:r w:rsidR="00FF5FEE">
        <w:rPr>
          <w:rStyle w:val="Textoennegrita"/>
          <w:rFonts w:ascii="Arial" w:hAnsi="Arial" w:cs="Arial"/>
          <w:sz w:val="20"/>
          <w:szCs w:val="20"/>
        </w:rPr>
        <w:t xml:space="preserve"> para poder desarrollarlo</w:t>
      </w:r>
      <w:r w:rsidRPr="00454290">
        <w:rPr>
          <w:rStyle w:val="Textoennegrita"/>
          <w:rFonts w:ascii="Arial" w:hAnsi="Arial" w:cs="Arial"/>
          <w:sz w:val="20"/>
          <w:szCs w:val="20"/>
        </w:rPr>
        <w:t>:</w:t>
      </w:r>
    </w:p>
    <w:p w:rsidR="006D3075" w:rsidRPr="00454290" w:rsidRDefault="006D3075" w:rsidP="00160D6A">
      <w:pPr>
        <w:pStyle w:val="Ttulo3"/>
        <w:jc w:val="both"/>
        <w:rPr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t>Fase 1</w:t>
      </w:r>
      <w:r w:rsidRPr="00454290">
        <w:rPr>
          <w:sz w:val="20"/>
          <w:szCs w:val="20"/>
          <w:lang w:val="es-GT"/>
        </w:rPr>
        <w:t xml:space="preserve">. </w:t>
      </w:r>
      <w:r w:rsidRPr="00454290">
        <w:rPr>
          <w:rStyle w:val="Textoennegrita"/>
          <w:b/>
          <w:bCs w:val="0"/>
          <w:sz w:val="20"/>
          <w:szCs w:val="20"/>
          <w:lang w:val="es-GT"/>
        </w:rPr>
        <w:t>Diseño de Infraestructura:</w:t>
      </w:r>
    </w:p>
    <w:p w:rsidR="006D3075" w:rsidRPr="00454290" w:rsidRDefault="006D3075" w:rsidP="00160D6A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hAnsi="Arial" w:cs="Arial"/>
          <w:sz w:val="20"/>
          <w:szCs w:val="20"/>
        </w:rPr>
        <w:t xml:space="preserve">Crear un diagrama de infraestructura que garantice la viabilidad del proyecto y la resiliencia ante fallos o ataques. </w:t>
      </w:r>
      <w:r w:rsidRPr="00454290">
        <w:rPr>
          <w:rFonts w:ascii="Arial" w:hAnsi="Arial" w:cs="Arial"/>
          <w:sz w:val="20"/>
          <w:szCs w:val="20"/>
        </w:rPr>
        <w:t xml:space="preserve">Este diagrama debe de ser entregado al catedrático una semana después de haber entregado el enunciado de proyecto para su aprobación debida.  </w:t>
      </w:r>
      <w:r w:rsidRPr="00454290">
        <w:rPr>
          <w:rFonts w:ascii="Arial" w:hAnsi="Arial" w:cs="Arial"/>
          <w:sz w:val="20"/>
          <w:szCs w:val="20"/>
        </w:rPr>
        <w:t>Debe incluir:</w:t>
      </w:r>
    </w:p>
    <w:p w:rsidR="006D3075" w:rsidRPr="00454290" w:rsidRDefault="006D3075" w:rsidP="00160D6A">
      <w:pPr>
        <w:pStyle w:val="Prrafodelista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t>Servidores críticos (de almacenamiento, aplicaciones, bases de datos, etc.)</w:t>
      </w:r>
    </w:p>
    <w:p w:rsidR="006D3075" w:rsidRPr="00454290" w:rsidRDefault="006D3075" w:rsidP="00160D6A">
      <w:pPr>
        <w:pStyle w:val="Prrafodelista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sz w:val="20"/>
          <w:szCs w:val="20"/>
        </w:rPr>
      </w:pPr>
      <w:r w:rsidRPr="00454290">
        <w:rPr>
          <w:sz w:val="20"/>
          <w:szCs w:val="20"/>
        </w:rPr>
        <w:t>Periféricos (switches, routers, etc.)</w:t>
      </w:r>
    </w:p>
    <w:p w:rsidR="006D3075" w:rsidRPr="00454290" w:rsidRDefault="006D3075" w:rsidP="00160D6A">
      <w:pPr>
        <w:pStyle w:val="Prrafodelista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t>Firewalls de nueva generación (NGFW) y sistemas IDS/IPS</w:t>
      </w:r>
    </w:p>
    <w:p w:rsidR="006D3075" w:rsidRPr="00454290" w:rsidRDefault="006D3075" w:rsidP="00160D6A">
      <w:pPr>
        <w:pStyle w:val="Prrafodelista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sz w:val="20"/>
          <w:szCs w:val="20"/>
        </w:rPr>
      </w:pPr>
      <w:r w:rsidRPr="00454290">
        <w:rPr>
          <w:sz w:val="20"/>
          <w:szCs w:val="20"/>
        </w:rPr>
        <w:t>Segmentación de red y DMZ</w:t>
      </w:r>
    </w:p>
    <w:p w:rsidR="006D3075" w:rsidRPr="00454290" w:rsidRDefault="006D3075" w:rsidP="00160D6A">
      <w:pPr>
        <w:pStyle w:val="Prrafodelista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t>Tecnologías de virtualización y contenedores</w:t>
      </w:r>
    </w:p>
    <w:p w:rsidR="006D3075" w:rsidRPr="00454290" w:rsidRDefault="006D3075" w:rsidP="00160D6A">
      <w:pPr>
        <w:pStyle w:val="Prrafodelista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t>Control de acceso basado en identidad (IAM) y políticas Zero Trust</w:t>
      </w:r>
    </w:p>
    <w:p w:rsidR="006D3075" w:rsidRPr="00454290" w:rsidRDefault="006D3075" w:rsidP="00160D6A">
      <w:pPr>
        <w:pStyle w:val="Prrafodelista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t>Herramientas de monitoreo y registro (SIEM)</w:t>
      </w:r>
    </w:p>
    <w:p w:rsidR="001C368B" w:rsidRPr="00454290" w:rsidRDefault="001C368B" w:rsidP="00160D6A">
      <w:pPr>
        <w:pStyle w:val="Prrafodelista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t>Debe de contemplar:</w:t>
      </w:r>
    </w:p>
    <w:p w:rsidR="001C368B" w:rsidRPr="00454290" w:rsidRDefault="001C368B" w:rsidP="00160D6A">
      <w:pPr>
        <w:pStyle w:val="Prrafodelista"/>
        <w:numPr>
          <w:ilvl w:val="1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t>Servicios de redundancia</w:t>
      </w:r>
    </w:p>
    <w:p w:rsidR="006D3075" w:rsidRPr="00454290" w:rsidRDefault="001C368B" w:rsidP="00160D6A">
      <w:pPr>
        <w:pStyle w:val="Prrafodelista"/>
        <w:numPr>
          <w:ilvl w:val="1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t>C</w:t>
      </w:r>
      <w:r w:rsidR="006D3075" w:rsidRPr="00454290">
        <w:rPr>
          <w:sz w:val="20"/>
          <w:szCs w:val="20"/>
          <w:lang w:val="es-GT"/>
        </w:rPr>
        <w:t>ontinuidad del negocio y recuperación ante desastres (BCP/DRP), conforme al estándar ISO 22301.</w:t>
      </w:r>
    </w:p>
    <w:p w:rsidR="00160D6A" w:rsidRPr="00454290" w:rsidRDefault="00160D6A" w:rsidP="00160D6A">
      <w:pPr>
        <w:pStyle w:val="Prrafodelista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t>El diagrama va acompañado de una descripción de la toda la solución conceptual propuesta.</w:t>
      </w:r>
    </w:p>
    <w:p w:rsidR="006D3075" w:rsidRPr="00454290" w:rsidRDefault="006D3075" w:rsidP="00160D6A">
      <w:pPr>
        <w:widowControl w:val="0"/>
        <w:spacing w:before="171" w:line="240" w:lineRule="auto"/>
        <w:ind w:left="11" w:firstLine="8"/>
        <w:jc w:val="both"/>
        <w:rPr>
          <w:rFonts w:eastAsia="Calibri"/>
          <w:color w:val="000000"/>
          <w:sz w:val="20"/>
          <w:szCs w:val="20"/>
          <w:lang w:val="es-GT"/>
        </w:rPr>
      </w:pPr>
    </w:p>
    <w:p w:rsidR="006D3075" w:rsidRPr="00454290" w:rsidRDefault="006D3075" w:rsidP="00160D6A">
      <w:pPr>
        <w:pStyle w:val="Ttulo3"/>
        <w:jc w:val="both"/>
        <w:rPr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lastRenderedPageBreak/>
        <w:t xml:space="preserve">Fase </w:t>
      </w:r>
      <w:r w:rsidRPr="00454290">
        <w:rPr>
          <w:sz w:val="20"/>
          <w:szCs w:val="20"/>
          <w:lang w:val="es-GT"/>
        </w:rPr>
        <w:t>2</w:t>
      </w:r>
      <w:r w:rsidRPr="00454290">
        <w:rPr>
          <w:sz w:val="20"/>
          <w:szCs w:val="20"/>
          <w:lang w:val="es-GT"/>
        </w:rPr>
        <w:t xml:space="preserve">. </w:t>
      </w:r>
      <w:r w:rsidRPr="00454290">
        <w:rPr>
          <w:rStyle w:val="Textoennegrita"/>
          <w:b/>
          <w:bCs w:val="0"/>
          <w:sz w:val="20"/>
          <w:szCs w:val="20"/>
          <w:lang w:val="es-GT"/>
        </w:rPr>
        <w:t>Construcción del Ambiente Aprobado</w:t>
      </w:r>
      <w:r w:rsidRPr="00454290">
        <w:rPr>
          <w:rStyle w:val="Textoennegrita"/>
          <w:b/>
          <w:bCs w:val="0"/>
          <w:sz w:val="20"/>
          <w:szCs w:val="20"/>
          <w:lang w:val="es-GT"/>
        </w:rPr>
        <w:t>:</w:t>
      </w:r>
    </w:p>
    <w:p w:rsidR="00E34F4F" w:rsidRPr="00454290" w:rsidRDefault="00E34F4F" w:rsidP="00160D6A">
      <w:pPr>
        <w:widowControl w:val="0"/>
        <w:spacing w:before="171" w:line="240" w:lineRule="auto"/>
        <w:jc w:val="both"/>
        <w:rPr>
          <w:sz w:val="20"/>
          <w:szCs w:val="20"/>
          <w:lang w:val="es-GT"/>
        </w:rPr>
      </w:pPr>
      <w:r w:rsidRPr="00454290">
        <w:rPr>
          <w:rFonts w:eastAsia="Calibri"/>
          <w:color w:val="000000"/>
          <w:sz w:val="20"/>
          <w:szCs w:val="20"/>
          <w:lang w:val="es-GT"/>
        </w:rPr>
        <w:t xml:space="preserve">Una vez se cuente con la aprobación del catedrático </w:t>
      </w:r>
      <w:r w:rsidRPr="00454290">
        <w:rPr>
          <w:rFonts w:eastAsia="Calibri"/>
          <w:color w:val="000000"/>
          <w:sz w:val="20"/>
          <w:szCs w:val="20"/>
          <w:lang w:val="es-GT"/>
        </w:rPr>
        <w:t>y teniendo de insumo el diagrama de Infraestructura del proyecto constru</w:t>
      </w:r>
      <w:r w:rsidRPr="00454290">
        <w:rPr>
          <w:rFonts w:eastAsia="Calibri"/>
          <w:color w:val="000000"/>
          <w:sz w:val="20"/>
          <w:szCs w:val="20"/>
          <w:lang w:val="es-GT"/>
        </w:rPr>
        <w:t>ir el ambiente aprobado utilizando una de las siguientes tres opciones</w:t>
      </w:r>
      <w:r w:rsidRPr="00454290">
        <w:rPr>
          <w:rFonts w:eastAsia="Calibri"/>
          <w:color w:val="000000"/>
          <w:sz w:val="20"/>
          <w:szCs w:val="20"/>
          <w:lang w:val="es-GT"/>
        </w:rPr>
        <w:t>:</w:t>
      </w:r>
    </w:p>
    <w:p w:rsidR="00E34F4F" w:rsidRPr="00454290" w:rsidRDefault="00E34F4F" w:rsidP="00160D6A">
      <w:pPr>
        <w:pStyle w:val="Prrafodelista"/>
        <w:widowControl w:val="0"/>
        <w:numPr>
          <w:ilvl w:val="0"/>
          <w:numId w:val="11"/>
        </w:numPr>
        <w:spacing w:before="171" w:line="240" w:lineRule="auto"/>
        <w:jc w:val="both"/>
        <w:rPr>
          <w:sz w:val="20"/>
          <w:szCs w:val="20"/>
        </w:rPr>
      </w:pPr>
      <w:r w:rsidRPr="00454290">
        <w:rPr>
          <w:rFonts w:eastAsia="Calibri"/>
          <w:color w:val="000000"/>
          <w:sz w:val="20"/>
          <w:szCs w:val="20"/>
          <w:lang w:val="es-GT"/>
        </w:rPr>
        <w:t>Azure</w:t>
      </w:r>
    </w:p>
    <w:p w:rsidR="00E34F4F" w:rsidRPr="00454290" w:rsidRDefault="00E34F4F" w:rsidP="00160D6A">
      <w:pPr>
        <w:pStyle w:val="Prrafodelista"/>
        <w:widowControl w:val="0"/>
        <w:numPr>
          <w:ilvl w:val="0"/>
          <w:numId w:val="11"/>
        </w:numPr>
        <w:spacing w:before="171" w:line="240" w:lineRule="auto"/>
        <w:jc w:val="both"/>
        <w:rPr>
          <w:sz w:val="20"/>
          <w:szCs w:val="20"/>
        </w:rPr>
      </w:pPr>
      <w:r w:rsidRPr="00454290">
        <w:rPr>
          <w:rFonts w:eastAsia="Calibri"/>
          <w:color w:val="000000"/>
          <w:sz w:val="20"/>
          <w:szCs w:val="20"/>
        </w:rPr>
        <w:t>Amazon Web Services (AWS) o</w:t>
      </w:r>
    </w:p>
    <w:p w:rsidR="00E34F4F" w:rsidRPr="00454290" w:rsidRDefault="00E34F4F" w:rsidP="00160D6A">
      <w:pPr>
        <w:pStyle w:val="Prrafodelista"/>
        <w:widowControl w:val="0"/>
        <w:numPr>
          <w:ilvl w:val="0"/>
          <w:numId w:val="11"/>
        </w:numPr>
        <w:spacing w:before="171" w:line="240" w:lineRule="auto"/>
        <w:jc w:val="both"/>
        <w:rPr>
          <w:sz w:val="20"/>
          <w:szCs w:val="20"/>
        </w:rPr>
      </w:pPr>
      <w:r w:rsidRPr="00454290">
        <w:rPr>
          <w:rFonts w:eastAsia="Calibri"/>
          <w:color w:val="000000"/>
          <w:sz w:val="20"/>
          <w:szCs w:val="20"/>
        </w:rPr>
        <w:t>Google Cloud Platform (GCP)</w:t>
      </w:r>
    </w:p>
    <w:p w:rsidR="00E34F4F" w:rsidRPr="00454290" w:rsidRDefault="00E34F4F" w:rsidP="00160D6A">
      <w:pPr>
        <w:pStyle w:val="Ttulo3"/>
        <w:jc w:val="both"/>
        <w:rPr>
          <w:sz w:val="20"/>
          <w:szCs w:val="20"/>
          <w:lang w:val="es-GT"/>
        </w:rPr>
      </w:pPr>
      <w:bookmarkStart w:id="0" w:name="_GoBack"/>
      <w:bookmarkEnd w:id="0"/>
      <w:r w:rsidRPr="00454290">
        <w:rPr>
          <w:rStyle w:val="Textoennegrita"/>
          <w:b/>
          <w:bCs w:val="0"/>
          <w:sz w:val="20"/>
          <w:szCs w:val="20"/>
          <w:lang w:val="es-GT"/>
        </w:rPr>
        <w:t>Fase 3. Selección de la g</w:t>
      </w:r>
      <w:r w:rsidRPr="00454290">
        <w:rPr>
          <w:rStyle w:val="Textoennegrita"/>
          <w:b/>
          <w:bCs w:val="0"/>
          <w:sz w:val="20"/>
          <w:szCs w:val="20"/>
          <w:lang w:val="es-GT"/>
        </w:rPr>
        <w:t>estión de la seguridad de la información:</w:t>
      </w:r>
    </w:p>
    <w:p w:rsidR="00E34F4F" w:rsidRPr="00454290" w:rsidRDefault="00E34F4F" w:rsidP="00160D6A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hAnsi="Arial" w:cs="Arial"/>
          <w:sz w:val="20"/>
          <w:szCs w:val="20"/>
        </w:rPr>
        <w:t>El proyecto implementará controles de seguridad de acuerdo con:</w:t>
      </w:r>
    </w:p>
    <w:p w:rsidR="00E34F4F" w:rsidRPr="00454290" w:rsidRDefault="00E34F4F" w:rsidP="00160D6A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454290">
        <w:rPr>
          <w:rStyle w:val="Textoennegrita"/>
          <w:rFonts w:ascii="Arial" w:hAnsi="Arial" w:cs="Arial"/>
          <w:sz w:val="20"/>
          <w:szCs w:val="20"/>
        </w:rPr>
        <w:t>ISO/IEC 27001 y 27002:</w:t>
      </w:r>
      <w:r w:rsidRPr="00454290">
        <w:rPr>
          <w:rFonts w:ascii="Arial" w:hAnsi="Arial" w:cs="Arial"/>
          <w:sz w:val="20"/>
          <w:szCs w:val="20"/>
        </w:rPr>
        <w:t xml:space="preserve"> Gestión de riesgos de la seguridad de la información, basado en inventarios de activos, análisis de riesgos según ISO/IEC 27005 o NIST SP 800-30.</w:t>
      </w:r>
    </w:p>
    <w:p w:rsidR="00E34F4F" w:rsidRPr="00454290" w:rsidRDefault="00E34F4F" w:rsidP="00160D6A">
      <w:pPr>
        <w:numPr>
          <w:ilvl w:val="1"/>
          <w:numId w:val="12"/>
        </w:numPr>
        <w:suppressAutoHyphens w:val="0"/>
        <w:spacing w:before="100" w:beforeAutospacing="1" w:after="100" w:afterAutospacing="1" w:line="240" w:lineRule="auto"/>
        <w:jc w:val="both"/>
        <w:rPr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t>Evaluación de riesgos (BIA) y matriz de riesgos para priorizar amenazas.</w:t>
      </w:r>
    </w:p>
    <w:p w:rsidR="00E34F4F" w:rsidRPr="00454290" w:rsidRDefault="00E34F4F" w:rsidP="00160D6A">
      <w:pPr>
        <w:numPr>
          <w:ilvl w:val="1"/>
          <w:numId w:val="12"/>
        </w:numPr>
        <w:suppressAutoHyphens w:val="0"/>
        <w:spacing w:before="100" w:beforeAutospacing="1" w:after="100" w:afterAutospacing="1" w:line="240" w:lineRule="auto"/>
        <w:jc w:val="both"/>
        <w:rPr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t>Controles basados en buenas prácticas ISO/IEC 27002.</w:t>
      </w:r>
    </w:p>
    <w:p w:rsidR="00E34F4F" w:rsidRPr="00454290" w:rsidRDefault="00E34F4F" w:rsidP="00160D6A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454290">
        <w:rPr>
          <w:rStyle w:val="Textoennegrita"/>
          <w:rFonts w:ascii="Arial" w:hAnsi="Arial" w:cs="Arial"/>
          <w:sz w:val="20"/>
          <w:szCs w:val="20"/>
        </w:rPr>
        <w:t xml:space="preserve">Zero Trust </w:t>
      </w:r>
      <w:proofErr w:type="spellStart"/>
      <w:r w:rsidRPr="00454290">
        <w:rPr>
          <w:rStyle w:val="Textoennegrita"/>
          <w:rFonts w:ascii="Arial" w:hAnsi="Arial" w:cs="Arial"/>
          <w:sz w:val="20"/>
          <w:szCs w:val="20"/>
        </w:rPr>
        <w:t>Architecture</w:t>
      </w:r>
      <w:proofErr w:type="spellEnd"/>
      <w:r w:rsidRPr="00454290">
        <w:rPr>
          <w:rStyle w:val="Textoennegrita"/>
          <w:rFonts w:ascii="Arial" w:hAnsi="Arial" w:cs="Arial"/>
          <w:sz w:val="20"/>
          <w:szCs w:val="20"/>
        </w:rPr>
        <w:t>:</w:t>
      </w:r>
      <w:r w:rsidRPr="00454290">
        <w:rPr>
          <w:rFonts w:ascii="Arial" w:hAnsi="Arial" w:cs="Arial"/>
          <w:sz w:val="20"/>
          <w:szCs w:val="20"/>
        </w:rPr>
        <w:t xml:space="preserve"> Se empleará un enfoque moderno de seguridad Zero Trust, minimizando la confianza implícita en la red y aplicando autenticación continua.</w:t>
      </w:r>
    </w:p>
    <w:p w:rsidR="00E34F4F" w:rsidRPr="00454290" w:rsidRDefault="00E34F4F" w:rsidP="00160D6A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454290">
        <w:rPr>
          <w:rStyle w:val="Textoennegrita"/>
          <w:rFonts w:ascii="Arial" w:hAnsi="Arial" w:cs="Arial"/>
          <w:sz w:val="20"/>
          <w:szCs w:val="20"/>
        </w:rPr>
        <w:t xml:space="preserve">NIST </w:t>
      </w:r>
      <w:proofErr w:type="spellStart"/>
      <w:r w:rsidRPr="00454290">
        <w:rPr>
          <w:rStyle w:val="Textoennegrita"/>
          <w:rFonts w:ascii="Arial" w:hAnsi="Arial" w:cs="Arial"/>
          <w:sz w:val="20"/>
          <w:szCs w:val="20"/>
        </w:rPr>
        <w:t>Cybersecurity</w:t>
      </w:r>
      <w:proofErr w:type="spellEnd"/>
      <w:r w:rsidRPr="00454290">
        <w:rPr>
          <w:rStyle w:val="Textoennegrita"/>
          <w:rFonts w:ascii="Arial" w:hAnsi="Arial" w:cs="Arial"/>
          <w:sz w:val="20"/>
          <w:szCs w:val="20"/>
        </w:rPr>
        <w:t xml:space="preserve"> Framework (CSF):</w:t>
      </w:r>
      <w:r w:rsidRPr="00454290">
        <w:rPr>
          <w:rFonts w:ascii="Arial" w:hAnsi="Arial" w:cs="Arial"/>
          <w:sz w:val="20"/>
          <w:szCs w:val="20"/>
        </w:rPr>
        <w:t xml:space="preserve"> Utilizado para evaluar, mitigar riesgos y gestionar incidentes cibernéticos, siguiendo las cinco funciones: Identificar, Proteger, Detectar, Responder y Recuperar.</w:t>
      </w:r>
    </w:p>
    <w:p w:rsidR="00E34F4F" w:rsidRPr="00454290" w:rsidRDefault="00E34F4F" w:rsidP="00160D6A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454290">
        <w:rPr>
          <w:rStyle w:val="Textoennegrita"/>
          <w:rFonts w:ascii="Arial" w:hAnsi="Arial" w:cs="Arial"/>
          <w:sz w:val="20"/>
          <w:szCs w:val="20"/>
        </w:rPr>
        <w:t>ITIL/COBIT:</w:t>
      </w:r>
      <w:r w:rsidRPr="00454290">
        <w:rPr>
          <w:rFonts w:ascii="Arial" w:hAnsi="Arial" w:cs="Arial"/>
          <w:sz w:val="20"/>
          <w:szCs w:val="20"/>
        </w:rPr>
        <w:t xml:space="preserve"> Gestión de servicios de TI y operaciones, siguiendo buenas prácticas de ITIL v4 y COBIT 2019, para garantizar el alineamiento de los objetivos de TI con los de la organización.</w:t>
      </w:r>
    </w:p>
    <w:p w:rsidR="00E34F4F" w:rsidRPr="00454290" w:rsidRDefault="00E34F4F" w:rsidP="00160D6A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454290">
        <w:rPr>
          <w:rStyle w:val="Textoennegrita"/>
          <w:rFonts w:ascii="Arial" w:hAnsi="Arial" w:cs="Arial"/>
          <w:sz w:val="20"/>
          <w:szCs w:val="20"/>
        </w:rPr>
        <w:t>ISO 22301 - Continuidad del negocio:</w:t>
      </w:r>
      <w:r w:rsidRPr="00454290">
        <w:rPr>
          <w:rFonts w:ascii="Arial" w:hAnsi="Arial" w:cs="Arial"/>
          <w:sz w:val="20"/>
          <w:szCs w:val="20"/>
        </w:rPr>
        <w:t xml:space="preserve"> Desarrollar planes de continuidad basados en ISO 22301 y la resiliencia del centro de datos con TIA-942, evaluando riesgos y medidas de contingencia.</w:t>
      </w:r>
    </w:p>
    <w:p w:rsidR="00E34F4F" w:rsidRPr="00454290" w:rsidRDefault="00E34F4F" w:rsidP="00160D6A">
      <w:pPr>
        <w:pStyle w:val="Ttulo3"/>
        <w:jc w:val="both"/>
        <w:rPr>
          <w:sz w:val="20"/>
          <w:szCs w:val="20"/>
          <w:lang w:val="es-GT"/>
        </w:rPr>
      </w:pPr>
      <w:r w:rsidRPr="00454290">
        <w:rPr>
          <w:rStyle w:val="Textoennegrita"/>
          <w:b/>
          <w:bCs w:val="0"/>
          <w:sz w:val="20"/>
          <w:szCs w:val="20"/>
          <w:lang w:val="es-GT"/>
        </w:rPr>
        <w:t xml:space="preserve">Fase </w:t>
      </w:r>
      <w:r w:rsidRPr="00454290">
        <w:rPr>
          <w:rStyle w:val="Textoennegrita"/>
          <w:b/>
          <w:bCs w:val="0"/>
          <w:sz w:val="20"/>
          <w:szCs w:val="20"/>
          <w:lang w:val="es-GT"/>
        </w:rPr>
        <w:t>4</w:t>
      </w:r>
      <w:r w:rsidRPr="00454290">
        <w:rPr>
          <w:rStyle w:val="Textoennegrita"/>
          <w:b/>
          <w:bCs w:val="0"/>
          <w:sz w:val="20"/>
          <w:szCs w:val="20"/>
          <w:lang w:val="es-GT"/>
        </w:rPr>
        <w:t xml:space="preserve">. </w:t>
      </w:r>
      <w:r w:rsidRPr="00454290">
        <w:rPr>
          <w:rStyle w:val="Textoennegrita"/>
          <w:b/>
          <w:bCs w:val="0"/>
          <w:sz w:val="20"/>
          <w:szCs w:val="20"/>
          <w:lang w:val="es-GT"/>
        </w:rPr>
        <w:t>Implementación de la solución seleccionada</w:t>
      </w:r>
      <w:r w:rsidRPr="00454290">
        <w:rPr>
          <w:rStyle w:val="Textoennegrita"/>
          <w:b/>
          <w:bCs w:val="0"/>
          <w:sz w:val="20"/>
          <w:szCs w:val="20"/>
          <w:lang w:val="es-GT"/>
        </w:rPr>
        <w:t>:</w:t>
      </w:r>
    </w:p>
    <w:p w:rsidR="00E34F4F" w:rsidRPr="00454290" w:rsidRDefault="00E34F4F" w:rsidP="00160D6A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hAnsi="Arial" w:cs="Arial"/>
          <w:sz w:val="20"/>
          <w:szCs w:val="20"/>
        </w:rPr>
        <w:t xml:space="preserve">Se debe desarrollar los </w:t>
      </w:r>
      <w:r w:rsidR="00160D6A" w:rsidRPr="00454290">
        <w:rPr>
          <w:rFonts w:ascii="Arial" w:hAnsi="Arial" w:cs="Arial"/>
          <w:sz w:val="20"/>
          <w:szCs w:val="20"/>
        </w:rPr>
        <w:t>siguientes elementos</w:t>
      </w:r>
      <w:r w:rsidRPr="00454290">
        <w:rPr>
          <w:rFonts w:ascii="Arial" w:hAnsi="Arial" w:cs="Arial"/>
          <w:sz w:val="20"/>
          <w:szCs w:val="20"/>
        </w:rPr>
        <w:t>:</w:t>
      </w:r>
    </w:p>
    <w:p w:rsidR="00E34F4F" w:rsidRPr="00454290" w:rsidRDefault="00E34F4F" w:rsidP="00160D6A">
      <w:pPr>
        <w:pStyle w:val="NormalWeb"/>
        <w:widowControl w:val="0"/>
        <w:numPr>
          <w:ilvl w:val="0"/>
          <w:numId w:val="13"/>
        </w:numPr>
        <w:spacing w:before="171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Inventario de activos</w:t>
      </w:r>
      <w:r w:rsidRPr="00454290">
        <w:rPr>
          <w:rFonts w:ascii="Arial" w:eastAsia="Calibri" w:hAnsi="Arial" w:cs="Arial"/>
          <w:color w:val="000000"/>
          <w:sz w:val="20"/>
          <w:szCs w:val="20"/>
        </w:rPr>
        <w:t xml:space="preserve"> (ISO/IEC 27005)</w:t>
      </w:r>
    </w:p>
    <w:p w:rsidR="001C368B" w:rsidRPr="00454290" w:rsidRDefault="001C368B" w:rsidP="00160D6A">
      <w:pPr>
        <w:pStyle w:val="NormalWeb"/>
        <w:widowControl w:val="0"/>
        <w:numPr>
          <w:ilvl w:val="0"/>
          <w:numId w:val="13"/>
        </w:numPr>
        <w:spacing w:before="171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BIA: Análisis de impacto en el negocio.</w:t>
      </w:r>
      <w:r w:rsidR="00160D6A" w:rsidRPr="00454290">
        <w:rPr>
          <w:rFonts w:ascii="Arial" w:eastAsia="Calibri" w:hAnsi="Arial" w:cs="Arial"/>
          <w:color w:val="000000"/>
          <w:sz w:val="20"/>
          <w:szCs w:val="20"/>
        </w:rPr>
        <w:t xml:space="preserve"> (ISO 22301)</w:t>
      </w:r>
    </w:p>
    <w:p w:rsidR="00E34F4F" w:rsidRPr="00454290" w:rsidRDefault="00E34F4F" w:rsidP="00160D6A">
      <w:pPr>
        <w:pStyle w:val="NormalWeb"/>
        <w:widowControl w:val="0"/>
        <w:numPr>
          <w:ilvl w:val="0"/>
          <w:numId w:val="13"/>
        </w:numPr>
        <w:spacing w:before="172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 xml:space="preserve">Análisis de Riesgos </w:t>
      </w:r>
      <w:r w:rsidRPr="00454290">
        <w:rPr>
          <w:rFonts w:ascii="Arial" w:eastAsia="Calibri" w:hAnsi="Arial" w:cs="Arial"/>
          <w:color w:val="000000"/>
          <w:sz w:val="20"/>
          <w:szCs w:val="20"/>
        </w:rPr>
        <w:t>(</w:t>
      </w:r>
      <w:r w:rsidR="001C368B" w:rsidRPr="00454290">
        <w:rPr>
          <w:rFonts w:ascii="Arial" w:eastAsia="Calibri" w:hAnsi="Arial" w:cs="Arial"/>
          <w:color w:val="000000"/>
          <w:sz w:val="20"/>
          <w:szCs w:val="20"/>
        </w:rPr>
        <w:t>NIST SP 800-30</w:t>
      </w:r>
      <w:r w:rsidRPr="00454290">
        <w:rPr>
          <w:rFonts w:ascii="Arial" w:eastAsia="Calibri" w:hAnsi="Arial" w:cs="Arial"/>
          <w:color w:val="000000"/>
          <w:sz w:val="20"/>
          <w:szCs w:val="20"/>
        </w:rPr>
        <w:t>)</w:t>
      </w:r>
    </w:p>
    <w:p w:rsidR="00E34F4F" w:rsidRPr="00454290" w:rsidRDefault="00E34F4F" w:rsidP="00160D6A">
      <w:pPr>
        <w:pStyle w:val="NormalWeb"/>
        <w:widowControl w:val="0"/>
        <w:numPr>
          <w:ilvl w:val="0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 xml:space="preserve">Evaluación del Riesgo </w:t>
      </w:r>
      <w:r w:rsidR="001C368B" w:rsidRPr="00454290">
        <w:rPr>
          <w:rFonts w:ascii="Arial" w:eastAsia="Calibri" w:hAnsi="Arial" w:cs="Arial"/>
          <w:color w:val="000000"/>
          <w:sz w:val="20"/>
          <w:szCs w:val="20"/>
        </w:rPr>
        <w:t>(Modelo de gestión de Riesgos: OCTAVE)</w:t>
      </w:r>
    </w:p>
    <w:p w:rsidR="00E34F4F" w:rsidRPr="00454290" w:rsidRDefault="00E34F4F" w:rsidP="00160D6A">
      <w:pPr>
        <w:pStyle w:val="NormalWeb"/>
        <w:widowControl w:val="0"/>
        <w:numPr>
          <w:ilvl w:val="0"/>
          <w:numId w:val="13"/>
        </w:numPr>
        <w:spacing w:before="171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Zona de Riesgo</w:t>
      </w:r>
      <w:r w:rsidR="00160D6A" w:rsidRPr="00454290">
        <w:rPr>
          <w:rFonts w:ascii="Arial" w:eastAsia="Calibri" w:hAnsi="Arial" w:cs="Arial"/>
          <w:color w:val="000000"/>
          <w:sz w:val="20"/>
          <w:szCs w:val="20"/>
        </w:rPr>
        <w:t xml:space="preserve">: desarrollar la matriz de calor. </w:t>
      </w:r>
      <w:r w:rsidR="00160D6A" w:rsidRPr="00454290">
        <w:rPr>
          <w:rFonts w:ascii="Arial" w:eastAsia="Calibri" w:hAnsi="Arial" w:cs="Arial"/>
          <w:color w:val="000000"/>
          <w:sz w:val="20"/>
          <w:szCs w:val="20"/>
        </w:rPr>
        <w:t>(ISO 22301)</w:t>
      </w:r>
    </w:p>
    <w:p w:rsidR="00E34F4F" w:rsidRPr="00454290" w:rsidRDefault="00E34F4F" w:rsidP="00160D6A">
      <w:pPr>
        <w:pStyle w:val="NormalWeb"/>
        <w:widowControl w:val="0"/>
        <w:numPr>
          <w:ilvl w:val="0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Plan de Tratamiento</w:t>
      </w:r>
      <w:r w:rsidR="001C368B" w:rsidRPr="00454290">
        <w:rPr>
          <w:rFonts w:ascii="Arial" w:eastAsia="Calibri" w:hAnsi="Arial" w:cs="Arial"/>
          <w:color w:val="000000"/>
          <w:sz w:val="20"/>
          <w:szCs w:val="20"/>
        </w:rPr>
        <w:t xml:space="preserve"> Priorizado</w:t>
      </w:r>
      <w:r w:rsidR="00160D6A" w:rsidRPr="00454290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 w:rsidR="00160D6A" w:rsidRPr="00454290">
        <w:rPr>
          <w:rFonts w:ascii="Arial" w:eastAsia="Calibri" w:hAnsi="Arial" w:cs="Arial"/>
          <w:color w:val="000000"/>
          <w:sz w:val="20"/>
          <w:szCs w:val="20"/>
        </w:rPr>
        <w:t>(ISO 22301)</w:t>
      </w:r>
    </w:p>
    <w:p w:rsidR="001C368B" w:rsidRPr="00454290" w:rsidRDefault="001C368B" w:rsidP="00160D6A">
      <w:pPr>
        <w:pStyle w:val="NormalWeb"/>
        <w:widowControl w:val="0"/>
        <w:numPr>
          <w:ilvl w:val="0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Políticas de aseguramiento</w:t>
      </w:r>
      <w:r w:rsidR="00160D6A" w:rsidRPr="00454290">
        <w:rPr>
          <w:rFonts w:ascii="Arial" w:eastAsia="Calibri" w:hAnsi="Arial" w:cs="Arial"/>
          <w:color w:val="000000"/>
          <w:sz w:val="20"/>
          <w:szCs w:val="20"/>
        </w:rPr>
        <w:t>: (basados en los estándares que seleccionen)</w:t>
      </w:r>
    </w:p>
    <w:p w:rsidR="001C368B" w:rsidRPr="00454290" w:rsidRDefault="001C368B" w:rsidP="00160D6A">
      <w:pPr>
        <w:pStyle w:val="NormalWeb"/>
        <w:widowControl w:val="0"/>
        <w:numPr>
          <w:ilvl w:val="1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Dominio</w:t>
      </w:r>
    </w:p>
    <w:p w:rsidR="001C368B" w:rsidRPr="00454290" w:rsidRDefault="001C368B" w:rsidP="00160D6A">
      <w:pPr>
        <w:pStyle w:val="NormalWeb"/>
        <w:widowControl w:val="0"/>
        <w:numPr>
          <w:ilvl w:val="1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Grupos</w:t>
      </w:r>
    </w:p>
    <w:p w:rsidR="001C368B" w:rsidRPr="00454290" w:rsidRDefault="001C368B" w:rsidP="00160D6A">
      <w:pPr>
        <w:pStyle w:val="NormalWeb"/>
        <w:widowControl w:val="0"/>
        <w:numPr>
          <w:ilvl w:val="1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Equipos</w:t>
      </w:r>
    </w:p>
    <w:p w:rsidR="001C368B" w:rsidRPr="00454290" w:rsidRDefault="001C368B" w:rsidP="00160D6A">
      <w:pPr>
        <w:pStyle w:val="NormalWeb"/>
        <w:widowControl w:val="0"/>
        <w:numPr>
          <w:ilvl w:val="1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Usuarios</w:t>
      </w:r>
    </w:p>
    <w:p w:rsidR="001C368B" w:rsidRPr="00454290" w:rsidRDefault="001C368B" w:rsidP="00160D6A">
      <w:pPr>
        <w:pStyle w:val="NormalWeb"/>
        <w:widowControl w:val="0"/>
        <w:numPr>
          <w:ilvl w:val="1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Conectividad a la Nube</w:t>
      </w:r>
    </w:p>
    <w:p w:rsidR="001C368B" w:rsidRPr="00454290" w:rsidRDefault="001C368B" w:rsidP="00160D6A">
      <w:pPr>
        <w:pStyle w:val="NormalWeb"/>
        <w:widowControl w:val="0"/>
        <w:numPr>
          <w:ilvl w:val="1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Conectividad a dispositivos móviles</w:t>
      </w:r>
    </w:p>
    <w:p w:rsidR="001C368B" w:rsidRPr="00454290" w:rsidRDefault="001C368B" w:rsidP="00160D6A">
      <w:pPr>
        <w:pStyle w:val="NormalWeb"/>
        <w:widowControl w:val="0"/>
        <w:numPr>
          <w:ilvl w:val="0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Controles a ser implementados</w:t>
      </w:r>
      <w:r w:rsidR="00160D6A" w:rsidRPr="00454290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 w:rsidR="00160D6A" w:rsidRPr="00454290">
        <w:rPr>
          <w:rFonts w:ascii="Arial" w:eastAsia="Calibri" w:hAnsi="Arial" w:cs="Arial"/>
          <w:color w:val="000000"/>
          <w:sz w:val="20"/>
          <w:szCs w:val="20"/>
        </w:rPr>
        <w:t>(basados en los estándares que seleccionen)</w:t>
      </w:r>
    </w:p>
    <w:p w:rsidR="001C368B" w:rsidRPr="00454290" w:rsidRDefault="001C368B" w:rsidP="00160D6A">
      <w:pPr>
        <w:pStyle w:val="NormalWeb"/>
        <w:widowControl w:val="0"/>
        <w:numPr>
          <w:ilvl w:val="0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Buenas y mejores prácticas para su implementación</w:t>
      </w:r>
      <w:r w:rsidR="00160D6A" w:rsidRPr="00454290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 w:rsidR="00160D6A" w:rsidRPr="00454290">
        <w:rPr>
          <w:rFonts w:ascii="Arial" w:eastAsia="Calibri" w:hAnsi="Arial" w:cs="Arial"/>
          <w:color w:val="000000"/>
          <w:sz w:val="20"/>
          <w:szCs w:val="20"/>
        </w:rPr>
        <w:t>(basados en los estándares que seleccionen)</w:t>
      </w:r>
    </w:p>
    <w:p w:rsidR="001C368B" w:rsidRPr="00454290" w:rsidRDefault="001C368B" w:rsidP="00160D6A">
      <w:pPr>
        <w:pStyle w:val="Ttulo3"/>
        <w:jc w:val="both"/>
        <w:rPr>
          <w:sz w:val="20"/>
          <w:szCs w:val="20"/>
          <w:lang w:val="es-GT"/>
        </w:rPr>
      </w:pPr>
      <w:r w:rsidRPr="00454290">
        <w:rPr>
          <w:rStyle w:val="Textoennegrita"/>
          <w:b/>
          <w:bCs w:val="0"/>
          <w:sz w:val="20"/>
          <w:szCs w:val="20"/>
          <w:lang w:val="es-GT"/>
        </w:rPr>
        <w:lastRenderedPageBreak/>
        <w:t xml:space="preserve">Fase </w:t>
      </w:r>
      <w:r w:rsidRPr="00454290">
        <w:rPr>
          <w:rStyle w:val="Textoennegrita"/>
          <w:b/>
          <w:bCs w:val="0"/>
          <w:sz w:val="20"/>
          <w:szCs w:val="20"/>
          <w:lang w:val="es-GT"/>
        </w:rPr>
        <w:t>5</w:t>
      </w:r>
      <w:r w:rsidRPr="00454290">
        <w:rPr>
          <w:rStyle w:val="Textoennegrita"/>
          <w:b/>
          <w:bCs w:val="0"/>
          <w:sz w:val="20"/>
          <w:szCs w:val="20"/>
          <w:lang w:val="es-GT"/>
        </w:rPr>
        <w:t xml:space="preserve">. </w:t>
      </w:r>
      <w:r w:rsidRPr="00454290">
        <w:rPr>
          <w:rStyle w:val="Textoennegrita"/>
          <w:b/>
          <w:bCs w:val="0"/>
          <w:sz w:val="20"/>
          <w:szCs w:val="20"/>
          <w:lang w:val="es-GT"/>
        </w:rPr>
        <w:t>Uso e implementación de la gobernanza de la información</w:t>
      </w:r>
      <w:r w:rsidRPr="00454290">
        <w:rPr>
          <w:rStyle w:val="Textoennegrita"/>
          <w:b/>
          <w:bCs w:val="0"/>
          <w:sz w:val="20"/>
          <w:szCs w:val="20"/>
          <w:lang w:val="es-GT"/>
        </w:rPr>
        <w:t>:</w:t>
      </w:r>
    </w:p>
    <w:p w:rsidR="001C368B" w:rsidRPr="00454290" w:rsidRDefault="001C368B" w:rsidP="00160D6A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hAnsi="Arial" w:cs="Arial"/>
          <w:sz w:val="20"/>
          <w:szCs w:val="20"/>
        </w:rPr>
        <w:t xml:space="preserve">Basado en </w:t>
      </w:r>
      <w:r w:rsidR="004A5AC3" w:rsidRPr="00454290">
        <w:rPr>
          <w:rFonts w:ascii="Arial" w:hAnsi="Arial" w:cs="Arial"/>
          <w:sz w:val="20"/>
          <w:szCs w:val="20"/>
        </w:rPr>
        <w:t>ITIL/</w:t>
      </w:r>
      <w:r w:rsidRPr="00454290">
        <w:rPr>
          <w:rFonts w:ascii="Arial" w:hAnsi="Arial" w:cs="Arial"/>
          <w:sz w:val="20"/>
          <w:szCs w:val="20"/>
        </w:rPr>
        <w:t>COBIT, aplicar para su escenario lo que concierne a:</w:t>
      </w:r>
    </w:p>
    <w:p w:rsidR="00E34F4F" w:rsidRPr="00454290" w:rsidRDefault="001C368B" w:rsidP="00160D6A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hAnsi="Arial" w:cs="Arial"/>
          <w:sz w:val="20"/>
          <w:szCs w:val="20"/>
        </w:rPr>
        <w:t>La Administración</w:t>
      </w:r>
      <w:r w:rsidR="00160D6A" w:rsidRPr="00454290">
        <w:rPr>
          <w:rFonts w:ascii="Arial" w:hAnsi="Arial" w:cs="Arial"/>
          <w:sz w:val="20"/>
          <w:szCs w:val="20"/>
        </w:rPr>
        <w:t xml:space="preserve"> y gestión de servicios del área de TI</w:t>
      </w:r>
    </w:p>
    <w:p w:rsidR="00160D6A" w:rsidRPr="00454290" w:rsidRDefault="00160D6A" w:rsidP="00160D6A">
      <w:pPr>
        <w:pStyle w:val="Ttulo3"/>
        <w:jc w:val="both"/>
        <w:rPr>
          <w:sz w:val="20"/>
          <w:szCs w:val="20"/>
          <w:lang w:val="es-GT"/>
        </w:rPr>
      </w:pPr>
      <w:r w:rsidRPr="00454290">
        <w:rPr>
          <w:rStyle w:val="Textoennegrita"/>
          <w:b/>
          <w:bCs w:val="0"/>
          <w:sz w:val="20"/>
          <w:szCs w:val="20"/>
          <w:lang w:val="es-GT"/>
        </w:rPr>
        <w:t xml:space="preserve">Fase </w:t>
      </w:r>
      <w:r w:rsidRPr="00454290">
        <w:rPr>
          <w:rStyle w:val="Textoennegrita"/>
          <w:b/>
          <w:bCs w:val="0"/>
          <w:sz w:val="20"/>
          <w:szCs w:val="20"/>
          <w:lang w:val="es-GT"/>
        </w:rPr>
        <w:t>6</w:t>
      </w:r>
      <w:r w:rsidRPr="00454290">
        <w:rPr>
          <w:rStyle w:val="Textoennegrita"/>
          <w:b/>
          <w:bCs w:val="0"/>
          <w:sz w:val="20"/>
          <w:szCs w:val="20"/>
          <w:lang w:val="es-GT"/>
        </w:rPr>
        <w:t xml:space="preserve">. </w:t>
      </w:r>
      <w:r w:rsidRPr="00454290">
        <w:rPr>
          <w:rStyle w:val="Textoennegrita"/>
          <w:b/>
          <w:bCs w:val="0"/>
          <w:sz w:val="20"/>
          <w:szCs w:val="20"/>
          <w:lang w:val="es-GT"/>
        </w:rPr>
        <w:t>Administración del Data Center</w:t>
      </w:r>
      <w:r w:rsidRPr="00454290">
        <w:rPr>
          <w:rStyle w:val="Textoennegrita"/>
          <w:b/>
          <w:bCs w:val="0"/>
          <w:sz w:val="20"/>
          <w:szCs w:val="20"/>
          <w:lang w:val="es-GT"/>
        </w:rPr>
        <w:t>:</w:t>
      </w:r>
    </w:p>
    <w:p w:rsidR="00E34F4F" w:rsidRPr="00454290" w:rsidRDefault="00160D6A" w:rsidP="00160D6A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hAnsi="Arial" w:cs="Arial"/>
          <w:sz w:val="20"/>
          <w:szCs w:val="20"/>
        </w:rPr>
        <w:t>Basado en TIA 942 implementar:</w:t>
      </w:r>
    </w:p>
    <w:p w:rsidR="00D96886" w:rsidRPr="00454290" w:rsidRDefault="00160D6A" w:rsidP="00160D6A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hAnsi="Arial" w:cs="Arial"/>
          <w:sz w:val="20"/>
          <w:szCs w:val="20"/>
        </w:rPr>
        <w:t>Buenas y mejores prácticas para su solución implementada.</w:t>
      </w:r>
    </w:p>
    <w:p w:rsidR="00160D6A" w:rsidRPr="00454290" w:rsidRDefault="00160D6A" w:rsidP="00160D6A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:rsidR="00160D6A" w:rsidRPr="00454290" w:rsidRDefault="00160D6A">
      <w:pPr>
        <w:spacing w:line="240" w:lineRule="auto"/>
        <w:rPr>
          <w:rFonts w:eastAsia="Calibri"/>
          <w:b/>
          <w:color w:val="000000"/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br w:type="page"/>
      </w:r>
    </w:p>
    <w:p w:rsidR="00160D6A" w:rsidRPr="00454290" w:rsidRDefault="00160D6A" w:rsidP="00160D6A">
      <w:pPr>
        <w:widowControl w:val="0"/>
        <w:spacing w:line="240" w:lineRule="auto"/>
        <w:ind w:left="16"/>
        <w:jc w:val="both"/>
        <w:rPr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lastRenderedPageBreak/>
        <w:t>FORMATO DE ENTREGA DE LA DOCUMENTACIÓN</w:t>
      </w:r>
      <w:r w:rsidRPr="00454290">
        <w:rPr>
          <w:rFonts w:eastAsia="Calibri"/>
          <w:color w:val="000000"/>
          <w:sz w:val="20"/>
          <w:szCs w:val="20"/>
          <w:lang w:val="es-GT"/>
        </w:rPr>
        <w:t xml:space="preserve">: </w:t>
      </w:r>
    </w:p>
    <w:p w:rsidR="00160D6A" w:rsidRPr="00454290" w:rsidRDefault="00160D6A" w:rsidP="00160D6A">
      <w:pPr>
        <w:widowControl w:val="0"/>
        <w:spacing w:before="193" w:line="240" w:lineRule="auto"/>
        <w:ind w:left="19"/>
        <w:jc w:val="both"/>
        <w:rPr>
          <w:sz w:val="20"/>
          <w:szCs w:val="20"/>
          <w:lang w:val="es-GT"/>
        </w:rPr>
      </w:pPr>
      <w:r w:rsidRPr="00454290">
        <w:rPr>
          <w:rFonts w:eastAsia="Calibri"/>
          <w:color w:val="000000"/>
          <w:sz w:val="20"/>
          <w:szCs w:val="20"/>
          <w:lang w:val="es-GT"/>
        </w:rPr>
        <w:t xml:space="preserve">Debe de cumplir el siguiente esquema: </w:t>
      </w:r>
    </w:p>
    <w:p w:rsidR="00160D6A" w:rsidRPr="00454290" w:rsidRDefault="00160D6A" w:rsidP="00160D6A">
      <w:pPr>
        <w:widowControl w:val="0"/>
        <w:spacing w:before="459" w:line="240" w:lineRule="auto"/>
        <w:ind w:left="9"/>
        <w:jc w:val="both"/>
        <w:rPr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t>Portada</w:t>
      </w:r>
      <w:r w:rsidRPr="00454290">
        <w:rPr>
          <w:rFonts w:eastAsia="Calibri"/>
          <w:b/>
          <w:color w:val="000000"/>
          <w:sz w:val="20"/>
          <w:szCs w:val="20"/>
          <w:lang w:val="es-GT"/>
        </w:rPr>
        <w:t xml:space="preserve"> </w:t>
      </w:r>
    </w:p>
    <w:p w:rsidR="00160D6A" w:rsidRPr="00454290" w:rsidRDefault="00160D6A" w:rsidP="00160D6A">
      <w:pPr>
        <w:widowControl w:val="0"/>
        <w:spacing w:before="171" w:line="240" w:lineRule="auto"/>
        <w:ind w:left="5"/>
        <w:jc w:val="both"/>
        <w:rPr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t>Tabla de Contenido</w:t>
      </w:r>
      <w:r w:rsidRPr="00454290">
        <w:rPr>
          <w:rFonts w:eastAsia="Calibri"/>
          <w:b/>
          <w:color w:val="000000"/>
          <w:sz w:val="20"/>
          <w:szCs w:val="20"/>
          <w:lang w:val="es-GT"/>
        </w:rPr>
        <w:t xml:space="preserve"> </w:t>
      </w:r>
    </w:p>
    <w:p w:rsidR="00160D6A" w:rsidRPr="00454290" w:rsidRDefault="00160D6A" w:rsidP="00160D6A">
      <w:pPr>
        <w:widowControl w:val="0"/>
        <w:spacing w:before="169" w:line="240" w:lineRule="auto"/>
        <w:ind w:left="16"/>
        <w:jc w:val="both"/>
        <w:rPr>
          <w:rFonts w:eastAsia="Calibri"/>
          <w:b/>
          <w:color w:val="000000"/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t>Introducción</w:t>
      </w:r>
    </w:p>
    <w:p w:rsidR="00160D6A" w:rsidRPr="00454290" w:rsidRDefault="00160D6A" w:rsidP="00160D6A">
      <w:pPr>
        <w:widowControl w:val="0"/>
        <w:spacing w:before="169" w:line="240" w:lineRule="auto"/>
        <w:ind w:left="16"/>
        <w:jc w:val="both"/>
        <w:rPr>
          <w:rFonts w:eastAsia="Calibri"/>
          <w:b/>
          <w:color w:val="000000"/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t>Marco Teórico</w:t>
      </w:r>
    </w:p>
    <w:p w:rsidR="00160D6A" w:rsidRPr="00454290" w:rsidRDefault="00160D6A" w:rsidP="00160D6A">
      <w:pPr>
        <w:widowControl w:val="0"/>
        <w:spacing w:before="169" w:line="240" w:lineRule="auto"/>
        <w:ind w:left="16"/>
        <w:jc w:val="both"/>
        <w:rPr>
          <w:rFonts w:eastAsia="Calibri"/>
          <w:b/>
          <w:color w:val="000000"/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t>Metodología</w:t>
      </w:r>
    </w:p>
    <w:p w:rsidR="00160D6A" w:rsidRPr="00454290" w:rsidRDefault="00160D6A" w:rsidP="00160D6A">
      <w:pPr>
        <w:widowControl w:val="0"/>
        <w:spacing w:before="169" w:line="240" w:lineRule="auto"/>
        <w:ind w:left="16"/>
        <w:jc w:val="both"/>
        <w:rPr>
          <w:rFonts w:eastAsia="Calibri"/>
          <w:b/>
          <w:color w:val="000000"/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t>Resultados</w:t>
      </w:r>
    </w:p>
    <w:p w:rsidR="00160D6A" w:rsidRPr="00454290" w:rsidRDefault="00160D6A" w:rsidP="00160D6A">
      <w:pPr>
        <w:pStyle w:val="NormalWeb"/>
        <w:widowControl w:val="0"/>
        <w:numPr>
          <w:ilvl w:val="0"/>
          <w:numId w:val="13"/>
        </w:numPr>
        <w:spacing w:before="171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hAnsi="Arial" w:cs="Arial"/>
          <w:sz w:val="20"/>
          <w:szCs w:val="20"/>
        </w:rPr>
        <w:t>Diagrama de la solución con su explicación de respaldo.</w:t>
      </w:r>
    </w:p>
    <w:p w:rsidR="00160D6A" w:rsidRPr="00454290" w:rsidRDefault="00160D6A" w:rsidP="00160D6A">
      <w:pPr>
        <w:pStyle w:val="NormalWeb"/>
        <w:widowControl w:val="0"/>
        <w:numPr>
          <w:ilvl w:val="0"/>
          <w:numId w:val="13"/>
        </w:numPr>
        <w:spacing w:before="171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Inventario de activos (ISO/IEC 27005)</w:t>
      </w:r>
    </w:p>
    <w:p w:rsidR="00160D6A" w:rsidRPr="00454290" w:rsidRDefault="00160D6A" w:rsidP="00160D6A">
      <w:pPr>
        <w:pStyle w:val="NormalWeb"/>
        <w:widowControl w:val="0"/>
        <w:numPr>
          <w:ilvl w:val="0"/>
          <w:numId w:val="13"/>
        </w:numPr>
        <w:spacing w:before="171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BIA: Análisis de impacto en el negocio. (ISO 22301)</w:t>
      </w:r>
    </w:p>
    <w:p w:rsidR="00160D6A" w:rsidRPr="00454290" w:rsidRDefault="00160D6A" w:rsidP="00160D6A">
      <w:pPr>
        <w:pStyle w:val="NormalWeb"/>
        <w:widowControl w:val="0"/>
        <w:numPr>
          <w:ilvl w:val="0"/>
          <w:numId w:val="13"/>
        </w:numPr>
        <w:spacing w:before="172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Análisis de Riesgos (NIST SP 800-30)</w:t>
      </w:r>
    </w:p>
    <w:p w:rsidR="00160D6A" w:rsidRPr="00454290" w:rsidRDefault="00160D6A" w:rsidP="00160D6A">
      <w:pPr>
        <w:pStyle w:val="NormalWeb"/>
        <w:widowControl w:val="0"/>
        <w:numPr>
          <w:ilvl w:val="0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Evaluación del Riesgo (Modelo de gestión de Riesgos: OCTAVE)</w:t>
      </w:r>
    </w:p>
    <w:p w:rsidR="00160D6A" w:rsidRPr="00454290" w:rsidRDefault="00160D6A" w:rsidP="00160D6A">
      <w:pPr>
        <w:pStyle w:val="NormalWeb"/>
        <w:widowControl w:val="0"/>
        <w:numPr>
          <w:ilvl w:val="0"/>
          <w:numId w:val="13"/>
        </w:numPr>
        <w:spacing w:before="171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Zona de Riesgo: desarrollar la matriz de calor. (ISO 22301)</w:t>
      </w:r>
    </w:p>
    <w:p w:rsidR="00160D6A" w:rsidRPr="00454290" w:rsidRDefault="00160D6A" w:rsidP="00160D6A">
      <w:pPr>
        <w:pStyle w:val="NormalWeb"/>
        <w:widowControl w:val="0"/>
        <w:numPr>
          <w:ilvl w:val="0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Plan de Tratamiento Priorizado (ISO 22301)</w:t>
      </w:r>
    </w:p>
    <w:p w:rsidR="00160D6A" w:rsidRPr="00454290" w:rsidRDefault="00160D6A" w:rsidP="00160D6A">
      <w:pPr>
        <w:pStyle w:val="NormalWeb"/>
        <w:widowControl w:val="0"/>
        <w:numPr>
          <w:ilvl w:val="0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Políticas de aseguramiento: (basados en los estándares que seleccionen)</w:t>
      </w:r>
    </w:p>
    <w:p w:rsidR="00160D6A" w:rsidRPr="00454290" w:rsidRDefault="00160D6A" w:rsidP="00160D6A">
      <w:pPr>
        <w:pStyle w:val="NormalWeb"/>
        <w:widowControl w:val="0"/>
        <w:numPr>
          <w:ilvl w:val="1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Dominio</w:t>
      </w:r>
    </w:p>
    <w:p w:rsidR="00160D6A" w:rsidRPr="00454290" w:rsidRDefault="00160D6A" w:rsidP="00160D6A">
      <w:pPr>
        <w:pStyle w:val="NormalWeb"/>
        <w:widowControl w:val="0"/>
        <w:numPr>
          <w:ilvl w:val="1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Grupos</w:t>
      </w:r>
    </w:p>
    <w:p w:rsidR="00160D6A" w:rsidRPr="00454290" w:rsidRDefault="00160D6A" w:rsidP="00160D6A">
      <w:pPr>
        <w:pStyle w:val="NormalWeb"/>
        <w:widowControl w:val="0"/>
        <w:numPr>
          <w:ilvl w:val="1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Equipos</w:t>
      </w:r>
    </w:p>
    <w:p w:rsidR="00160D6A" w:rsidRPr="00454290" w:rsidRDefault="00160D6A" w:rsidP="00160D6A">
      <w:pPr>
        <w:pStyle w:val="NormalWeb"/>
        <w:widowControl w:val="0"/>
        <w:numPr>
          <w:ilvl w:val="1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Usuarios</w:t>
      </w:r>
    </w:p>
    <w:p w:rsidR="00160D6A" w:rsidRPr="00454290" w:rsidRDefault="00160D6A" w:rsidP="00160D6A">
      <w:pPr>
        <w:pStyle w:val="NormalWeb"/>
        <w:widowControl w:val="0"/>
        <w:numPr>
          <w:ilvl w:val="1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Conectividad a la Nube</w:t>
      </w:r>
    </w:p>
    <w:p w:rsidR="00160D6A" w:rsidRPr="00454290" w:rsidRDefault="00160D6A" w:rsidP="00160D6A">
      <w:pPr>
        <w:pStyle w:val="NormalWeb"/>
        <w:widowControl w:val="0"/>
        <w:numPr>
          <w:ilvl w:val="1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Conectividad a dispositivos móviles</w:t>
      </w:r>
    </w:p>
    <w:p w:rsidR="00160D6A" w:rsidRPr="00454290" w:rsidRDefault="00160D6A" w:rsidP="00160D6A">
      <w:pPr>
        <w:pStyle w:val="NormalWeb"/>
        <w:widowControl w:val="0"/>
        <w:numPr>
          <w:ilvl w:val="0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Controles a ser implementados (basados en los estándares que seleccionen)</w:t>
      </w:r>
    </w:p>
    <w:p w:rsidR="00160D6A" w:rsidRPr="00454290" w:rsidRDefault="00160D6A" w:rsidP="00160D6A">
      <w:pPr>
        <w:pStyle w:val="NormalWeb"/>
        <w:widowControl w:val="0"/>
        <w:numPr>
          <w:ilvl w:val="0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Buenas y mejores prácticas para su implementación (basados en los estándares que seleccionen)</w:t>
      </w:r>
    </w:p>
    <w:p w:rsidR="004A5AC3" w:rsidRPr="00454290" w:rsidRDefault="004A5AC3" w:rsidP="00160D6A">
      <w:pPr>
        <w:pStyle w:val="NormalWeb"/>
        <w:widowControl w:val="0"/>
        <w:numPr>
          <w:ilvl w:val="0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La administración y gestión de Servicios del área de TI (ITIL/COBIT)</w:t>
      </w:r>
    </w:p>
    <w:p w:rsidR="004A5AC3" w:rsidRPr="00454290" w:rsidRDefault="004A5AC3" w:rsidP="00160D6A">
      <w:pPr>
        <w:pStyle w:val="NormalWeb"/>
        <w:widowControl w:val="0"/>
        <w:numPr>
          <w:ilvl w:val="0"/>
          <w:numId w:val="13"/>
        </w:numPr>
        <w:spacing w:before="169"/>
        <w:jc w:val="both"/>
        <w:rPr>
          <w:rFonts w:ascii="Arial" w:hAnsi="Arial" w:cs="Arial"/>
          <w:sz w:val="20"/>
          <w:szCs w:val="20"/>
        </w:rPr>
      </w:pPr>
      <w:r w:rsidRPr="00454290">
        <w:rPr>
          <w:rFonts w:ascii="Arial" w:eastAsia="Calibri" w:hAnsi="Arial" w:cs="Arial"/>
          <w:color w:val="000000"/>
          <w:sz w:val="20"/>
          <w:szCs w:val="20"/>
        </w:rPr>
        <w:t>Buenas y mejores prácticas para el Data Center (TIA 942)</w:t>
      </w:r>
    </w:p>
    <w:p w:rsidR="00160D6A" w:rsidRPr="00454290" w:rsidRDefault="00160D6A" w:rsidP="00160D6A">
      <w:pPr>
        <w:widowControl w:val="0"/>
        <w:spacing w:before="169" w:line="240" w:lineRule="auto"/>
        <w:ind w:left="16"/>
        <w:jc w:val="both"/>
        <w:rPr>
          <w:rFonts w:eastAsia="Calibri"/>
          <w:b/>
          <w:color w:val="000000"/>
          <w:sz w:val="20"/>
          <w:szCs w:val="20"/>
          <w:lang w:val="es-GT"/>
        </w:rPr>
      </w:pPr>
    </w:p>
    <w:p w:rsidR="004A5AC3" w:rsidRPr="00454290" w:rsidRDefault="004A5AC3" w:rsidP="004A5AC3">
      <w:pPr>
        <w:widowControl w:val="0"/>
        <w:spacing w:before="169" w:line="240" w:lineRule="auto"/>
        <w:ind w:left="16"/>
        <w:jc w:val="both"/>
        <w:rPr>
          <w:rFonts w:eastAsia="Calibri"/>
          <w:b/>
          <w:color w:val="000000"/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t>Discusión</w:t>
      </w:r>
    </w:p>
    <w:p w:rsidR="00454290" w:rsidRPr="00454290" w:rsidRDefault="00454290" w:rsidP="00454290">
      <w:pPr>
        <w:pStyle w:val="Prrafodelista"/>
        <w:widowControl w:val="0"/>
        <w:numPr>
          <w:ilvl w:val="0"/>
          <w:numId w:val="16"/>
        </w:numPr>
        <w:spacing w:before="169" w:line="240" w:lineRule="auto"/>
        <w:jc w:val="both"/>
        <w:rPr>
          <w:rFonts w:eastAsia="Calibri"/>
          <w:color w:val="000000"/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t xml:space="preserve">Discusión sobre la </w:t>
      </w:r>
      <w:r w:rsidRPr="00454290">
        <w:rPr>
          <w:b/>
          <w:sz w:val="20"/>
          <w:szCs w:val="20"/>
          <w:lang w:val="es-GT"/>
        </w:rPr>
        <w:t>implementación de ZTA</w:t>
      </w:r>
      <w:r w:rsidRPr="00454290">
        <w:rPr>
          <w:sz w:val="20"/>
          <w:szCs w:val="20"/>
          <w:lang w:val="es-GT"/>
        </w:rPr>
        <w:t xml:space="preserve"> en </w:t>
      </w:r>
      <w:r>
        <w:rPr>
          <w:sz w:val="20"/>
          <w:szCs w:val="20"/>
          <w:lang w:val="es-GT"/>
        </w:rPr>
        <w:t xml:space="preserve">el entorno </w:t>
      </w:r>
      <w:r w:rsidRPr="00454290">
        <w:rPr>
          <w:sz w:val="20"/>
          <w:szCs w:val="20"/>
          <w:lang w:val="es-GT"/>
        </w:rPr>
        <w:t>de nube pública vs. nube híbrida.</w:t>
      </w:r>
    </w:p>
    <w:p w:rsidR="00454290" w:rsidRPr="00454290" w:rsidRDefault="00454290" w:rsidP="00454290">
      <w:pPr>
        <w:pStyle w:val="Prrafodelista"/>
        <w:widowControl w:val="0"/>
        <w:numPr>
          <w:ilvl w:val="0"/>
          <w:numId w:val="16"/>
        </w:numPr>
        <w:spacing w:before="169" w:line="240" w:lineRule="auto"/>
        <w:jc w:val="both"/>
        <w:rPr>
          <w:rFonts w:eastAsia="Calibri"/>
          <w:color w:val="000000"/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t xml:space="preserve">Discusión sobre las mejores prácticas de </w:t>
      </w:r>
      <w:r w:rsidRPr="00454290">
        <w:rPr>
          <w:b/>
          <w:sz w:val="20"/>
          <w:szCs w:val="20"/>
          <w:lang w:val="es-GT"/>
        </w:rPr>
        <w:t>MDM</w:t>
      </w:r>
      <w:r w:rsidRPr="00454290">
        <w:rPr>
          <w:sz w:val="20"/>
          <w:szCs w:val="20"/>
          <w:lang w:val="es-GT"/>
        </w:rPr>
        <w:t xml:space="preserve"> (Mobile Device Management) y </w:t>
      </w:r>
      <w:r w:rsidRPr="00454290">
        <w:rPr>
          <w:b/>
          <w:sz w:val="20"/>
          <w:szCs w:val="20"/>
          <w:lang w:val="es-GT"/>
        </w:rPr>
        <w:t>DLP</w:t>
      </w:r>
      <w:r w:rsidRPr="00454290">
        <w:rPr>
          <w:sz w:val="20"/>
          <w:szCs w:val="20"/>
          <w:lang w:val="es-GT"/>
        </w:rPr>
        <w:t xml:space="preserve"> (Data Loss Prevention) en dispositivos móviles.</w:t>
      </w:r>
    </w:p>
    <w:p w:rsidR="00454290" w:rsidRPr="00454290" w:rsidRDefault="00454290" w:rsidP="00454290">
      <w:pPr>
        <w:pStyle w:val="Prrafodelista"/>
        <w:widowControl w:val="0"/>
        <w:numPr>
          <w:ilvl w:val="0"/>
          <w:numId w:val="16"/>
        </w:numPr>
        <w:spacing w:before="169" w:line="240" w:lineRule="auto"/>
        <w:jc w:val="both"/>
        <w:rPr>
          <w:rFonts w:eastAsia="Calibri"/>
          <w:color w:val="000000"/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t>Impacto de la Normativa y cumplimiento en la Seguridad en la Nube</w:t>
      </w:r>
      <w:r w:rsidRPr="00454290">
        <w:rPr>
          <w:rFonts w:eastAsia="Calibri"/>
          <w:color w:val="000000"/>
          <w:sz w:val="20"/>
          <w:szCs w:val="20"/>
          <w:lang w:val="es-GT"/>
        </w:rPr>
        <w:t xml:space="preserve">: </w:t>
      </w:r>
      <w:r w:rsidRPr="00454290">
        <w:rPr>
          <w:sz w:val="20"/>
          <w:szCs w:val="20"/>
          <w:lang w:val="es-GT"/>
        </w:rPr>
        <w:t>¿Qué consideraciones adicionales deben tomarse en cuenta para cumplir con las normativas locales e internacionales?</w:t>
      </w:r>
    </w:p>
    <w:p w:rsidR="00454290" w:rsidRPr="00454290" w:rsidRDefault="00454290" w:rsidP="00454290">
      <w:pPr>
        <w:pStyle w:val="Prrafodelista"/>
        <w:widowControl w:val="0"/>
        <w:numPr>
          <w:ilvl w:val="0"/>
          <w:numId w:val="16"/>
        </w:numPr>
        <w:spacing w:before="169" w:line="240" w:lineRule="auto"/>
        <w:jc w:val="both"/>
        <w:rPr>
          <w:rFonts w:eastAsia="Calibri"/>
          <w:color w:val="000000"/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t>Monitoreo y Detección de Amenazas SIEM</w:t>
      </w:r>
      <w:r w:rsidRPr="00454290">
        <w:rPr>
          <w:rFonts w:eastAsia="Calibri"/>
          <w:color w:val="000000"/>
          <w:sz w:val="20"/>
          <w:szCs w:val="20"/>
          <w:lang w:val="es-GT"/>
        </w:rPr>
        <w:t xml:space="preserve">: </w:t>
      </w:r>
      <w:r w:rsidRPr="00454290">
        <w:rPr>
          <w:sz w:val="20"/>
          <w:szCs w:val="20"/>
          <w:lang w:val="es-GT"/>
        </w:rPr>
        <w:t>Efectividad de los sistemas de detección y respuesta ante incidentes en tiempo real (XDR, EDR) en comparación con métodos tradicionales.</w:t>
      </w:r>
    </w:p>
    <w:p w:rsidR="00593CF4" w:rsidRPr="00454290" w:rsidRDefault="00593CF4" w:rsidP="00454290">
      <w:pPr>
        <w:pStyle w:val="Prrafodelista"/>
        <w:widowControl w:val="0"/>
        <w:numPr>
          <w:ilvl w:val="0"/>
          <w:numId w:val="16"/>
        </w:numPr>
        <w:spacing w:before="169" w:line="240" w:lineRule="auto"/>
        <w:jc w:val="both"/>
        <w:rPr>
          <w:rFonts w:eastAsia="Calibri"/>
          <w:color w:val="000000"/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t>Certificación ISO/IEC 27001</w:t>
      </w:r>
      <w:r w:rsidRPr="00454290">
        <w:rPr>
          <w:rFonts w:eastAsia="Calibri"/>
          <w:color w:val="000000"/>
          <w:sz w:val="20"/>
          <w:szCs w:val="20"/>
          <w:lang w:val="es-GT"/>
        </w:rPr>
        <w:t>: ¿Cómo mantener la mejora continua post-certificación?</w:t>
      </w:r>
    </w:p>
    <w:p w:rsidR="00593CF4" w:rsidRPr="00454290" w:rsidRDefault="00593CF4" w:rsidP="00454290">
      <w:pPr>
        <w:pStyle w:val="Prrafodelista"/>
        <w:widowControl w:val="0"/>
        <w:numPr>
          <w:ilvl w:val="0"/>
          <w:numId w:val="16"/>
        </w:numPr>
        <w:spacing w:before="169" w:line="240" w:lineRule="auto"/>
        <w:jc w:val="both"/>
        <w:rPr>
          <w:rFonts w:eastAsia="Calibri"/>
          <w:b/>
          <w:color w:val="000000"/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t xml:space="preserve">ITIL versus COBIT: </w:t>
      </w:r>
      <w:r w:rsidRPr="00454290">
        <w:rPr>
          <w:sz w:val="20"/>
          <w:szCs w:val="20"/>
          <w:lang w:val="es-GT"/>
        </w:rPr>
        <w:t>¿Cómo alinear la seguridad de la información con los objetivos de negocio a través de una gestión de TI eficiente?</w:t>
      </w:r>
    </w:p>
    <w:p w:rsidR="004A5AC3" w:rsidRPr="00454290" w:rsidRDefault="004A5AC3" w:rsidP="004A5AC3">
      <w:pPr>
        <w:widowControl w:val="0"/>
        <w:spacing w:before="169" w:line="240" w:lineRule="auto"/>
        <w:ind w:left="16"/>
        <w:jc w:val="both"/>
        <w:rPr>
          <w:rFonts w:eastAsia="Calibri"/>
          <w:b/>
          <w:color w:val="000000"/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t>Conclusiones</w:t>
      </w:r>
    </w:p>
    <w:p w:rsidR="004A5AC3" w:rsidRPr="00454290" w:rsidRDefault="004A5AC3" w:rsidP="004A5AC3">
      <w:pPr>
        <w:widowControl w:val="0"/>
        <w:spacing w:before="169" w:line="240" w:lineRule="auto"/>
        <w:ind w:left="16"/>
        <w:jc w:val="both"/>
        <w:rPr>
          <w:rFonts w:eastAsia="Calibri"/>
          <w:b/>
          <w:color w:val="000000"/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t>Referencias</w:t>
      </w:r>
    </w:p>
    <w:p w:rsidR="004A5AC3" w:rsidRPr="00454290" w:rsidRDefault="004A5AC3" w:rsidP="004A5AC3">
      <w:pPr>
        <w:widowControl w:val="0"/>
        <w:spacing w:before="169" w:line="240" w:lineRule="auto"/>
        <w:ind w:left="16"/>
        <w:jc w:val="both"/>
        <w:rPr>
          <w:rFonts w:eastAsia="Calibri"/>
          <w:b/>
          <w:color w:val="000000"/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lastRenderedPageBreak/>
        <w:t>Anexos</w:t>
      </w:r>
    </w:p>
    <w:p w:rsidR="00160D6A" w:rsidRPr="00454290" w:rsidRDefault="00160D6A" w:rsidP="00160D6A">
      <w:pPr>
        <w:widowControl w:val="0"/>
        <w:spacing w:before="169" w:line="240" w:lineRule="auto"/>
        <w:ind w:left="16"/>
        <w:jc w:val="both"/>
        <w:rPr>
          <w:sz w:val="20"/>
          <w:szCs w:val="20"/>
          <w:lang w:val="es-GT"/>
        </w:rPr>
      </w:pPr>
    </w:p>
    <w:p w:rsidR="00160D6A" w:rsidRPr="00454290" w:rsidRDefault="00160D6A" w:rsidP="00160D6A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:rsidR="00D96886" w:rsidRPr="00454290" w:rsidRDefault="00FF5FEE" w:rsidP="00160D6A">
      <w:pPr>
        <w:widowControl w:val="0"/>
        <w:spacing w:before="596" w:line="240" w:lineRule="auto"/>
        <w:ind w:left="9"/>
        <w:jc w:val="both"/>
        <w:rPr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t>CALIFICACIÓN</w:t>
      </w:r>
      <w:r w:rsidRPr="00454290">
        <w:rPr>
          <w:rFonts w:eastAsia="Calibri"/>
          <w:color w:val="000000"/>
          <w:sz w:val="20"/>
          <w:szCs w:val="20"/>
          <w:lang w:val="es-GT"/>
        </w:rPr>
        <w:t xml:space="preserve">: </w:t>
      </w:r>
    </w:p>
    <w:p w:rsidR="00D96886" w:rsidRPr="00454290" w:rsidRDefault="00FF5FEE" w:rsidP="00160D6A">
      <w:pPr>
        <w:jc w:val="both"/>
        <w:rPr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t>A continuación, se describen los puntos a evaluar con su respectiva escala de calificación:</w:t>
      </w:r>
    </w:p>
    <w:p w:rsidR="00D96886" w:rsidRPr="00454290" w:rsidRDefault="00D96886" w:rsidP="00160D6A">
      <w:pPr>
        <w:jc w:val="both"/>
        <w:rPr>
          <w:sz w:val="20"/>
          <w:szCs w:val="20"/>
          <w:lang w:val="es-GT"/>
        </w:rPr>
      </w:pPr>
    </w:p>
    <w:p w:rsidR="00D96886" w:rsidRPr="00454290" w:rsidRDefault="00FF5FEE" w:rsidP="00160D6A">
      <w:pPr>
        <w:pStyle w:val="Prrafodelista"/>
        <w:numPr>
          <w:ilvl w:val="0"/>
          <w:numId w:val="4"/>
        </w:numPr>
        <w:jc w:val="both"/>
        <w:rPr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t>Las calificaciones posibles por cada elemento a ser evaluado son:</w:t>
      </w:r>
    </w:p>
    <w:p w:rsidR="00D96886" w:rsidRPr="00454290" w:rsidRDefault="00FF5FEE" w:rsidP="00160D6A">
      <w:pPr>
        <w:pStyle w:val="Prrafodelista"/>
        <w:numPr>
          <w:ilvl w:val="1"/>
          <w:numId w:val="4"/>
        </w:numPr>
        <w:jc w:val="both"/>
        <w:rPr>
          <w:sz w:val="20"/>
          <w:szCs w:val="20"/>
          <w:lang w:val="es-GT"/>
        </w:rPr>
      </w:pPr>
      <w:r w:rsidRPr="00454290">
        <w:rPr>
          <w:b/>
          <w:sz w:val="20"/>
          <w:szCs w:val="20"/>
          <w:lang w:val="es-GT"/>
        </w:rPr>
        <w:t>EXCELENTE</w:t>
      </w:r>
      <w:r w:rsidRPr="00454290">
        <w:rPr>
          <w:sz w:val="20"/>
          <w:szCs w:val="20"/>
          <w:lang w:val="es-GT"/>
        </w:rPr>
        <w:t xml:space="preserve"> (100% del Punteo): Cumple al 100% con la solución debidamente aplicada.</w:t>
      </w:r>
    </w:p>
    <w:p w:rsidR="00D96886" w:rsidRPr="00454290" w:rsidRDefault="00FF5FEE" w:rsidP="00160D6A">
      <w:pPr>
        <w:pStyle w:val="Prrafodelista"/>
        <w:numPr>
          <w:ilvl w:val="1"/>
          <w:numId w:val="4"/>
        </w:numPr>
        <w:jc w:val="both"/>
        <w:rPr>
          <w:sz w:val="20"/>
          <w:szCs w:val="20"/>
          <w:lang w:val="es-GT"/>
        </w:rPr>
      </w:pPr>
      <w:r w:rsidRPr="00454290">
        <w:rPr>
          <w:b/>
          <w:sz w:val="20"/>
          <w:szCs w:val="20"/>
          <w:lang w:val="es-GT"/>
        </w:rPr>
        <w:t>BUENO</w:t>
      </w:r>
      <w:r w:rsidRPr="00454290">
        <w:rPr>
          <w:sz w:val="20"/>
          <w:szCs w:val="20"/>
          <w:lang w:val="es-GT"/>
        </w:rPr>
        <w:t xml:space="preserve"> (80% del Punteo): Cumple a un 80% con la solución debidamente aplicada.</w:t>
      </w:r>
    </w:p>
    <w:p w:rsidR="00D96886" w:rsidRPr="00454290" w:rsidRDefault="00FF5FEE" w:rsidP="00160D6A">
      <w:pPr>
        <w:pStyle w:val="Prrafodelista"/>
        <w:numPr>
          <w:ilvl w:val="1"/>
          <w:numId w:val="4"/>
        </w:numPr>
        <w:jc w:val="both"/>
        <w:rPr>
          <w:sz w:val="20"/>
          <w:szCs w:val="20"/>
          <w:lang w:val="es-GT"/>
        </w:rPr>
      </w:pPr>
      <w:r w:rsidRPr="00454290">
        <w:rPr>
          <w:b/>
          <w:sz w:val="20"/>
          <w:szCs w:val="20"/>
          <w:lang w:val="es-GT"/>
        </w:rPr>
        <w:t>ACEPTABLE</w:t>
      </w:r>
      <w:r w:rsidRPr="00454290">
        <w:rPr>
          <w:sz w:val="20"/>
          <w:szCs w:val="20"/>
          <w:lang w:val="es-GT"/>
        </w:rPr>
        <w:t xml:space="preserve"> (60% del Punteo): Cumple a un 60% con la solución debidamente aplicada.</w:t>
      </w:r>
    </w:p>
    <w:p w:rsidR="00D96886" w:rsidRPr="00454290" w:rsidRDefault="00FF5FEE" w:rsidP="00160D6A">
      <w:pPr>
        <w:pStyle w:val="Prrafodelista"/>
        <w:numPr>
          <w:ilvl w:val="1"/>
          <w:numId w:val="4"/>
        </w:numPr>
        <w:jc w:val="both"/>
        <w:rPr>
          <w:sz w:val="20"/>
          <w:szCs w:val="20"/>
          <w:lang w:val="es-GT"/>
        </w:rPr>
      </w:pPr>
      <w:r w:rsidRPr="00454290">
        <w:rPr>
          <w:b/>
          <w:sz w:val="20"/>
          <w:szCs w:val="20"/>
          <w:lang w:val="es-GT"/>
        </w:rPr>
        <w:t>DEFICIENTE</w:t>
      </w:r>
      <w:r w:rsidRPr="00454290">
        <w:rPr>
          <w:sz w:val="20"/>
          <w:szCs w:val="20"/>
          <w:lang w:val="es-GT"/>
        </w:rPr>
        <w:t xml:space="preserve"> (40% del Pun</w:t>
      </w:r>
      <w:r w:rsidRPr="00454290">
        <w:rPr>
          <w:sz w:val="20"/>
          <w:szCs w:val="20"/>
          <w:lang w:val="es-GT"/>
        </w:rPr>
        <w:t>teo): Cumple a un 40% con la solución debidamente aplicada.</w:t>
      </w:r>
    </w:p>
    <w:p w:rsidR="00D96886" w:rsidRPr="00454290" w:rsidRDefault="00FF5FEE" w:rsidP="00160D6A">
      <w:pPr>
        <w:pStyle w:val="Prrafodelista"/>
        <w:numPr>
          <w:ilvl w:val="1"/>
          <w:numId w:val="4"/>
        </w:numPr>
        <w:jc w:val="both"/>
        <w:rPr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t>NO ACEPTABLE</w:t>
      </w:r>
      <w:r w:rsidRPr="00454290">
        <w:rPr>
          <w:rFonts w:eastAsia="Calibri"/>
          <w:color w:val="000000"/>
          <w:sz w:val="20"/>
          <w:szCs w:val="20"/>
          <w:lang w:val="es-GT"/>
        </w:rPr>
        <w:t xml:space="preserve"> (10% del Punteo): Cumple con menos del 40% con la solución debidamente aplicada.</w:t>
      </w:r>
    </w:p>
    <w:p w:rsidR="00D96886" w:rsidRPr="00454290" w:rsidRDefault="00FF5FEE" w:rsidP="00160D6A">
      <w:pPr>
        <w:widowControl w:val="0"/>
        <w:spacing w:before="281" w:line="240" w:lineRule="auto"/>
        <w:ind w:left="730" w:right="2" w:hanging="352"/>
        <w:jc w:val="both"/>
        <w:rPr>
          <w:rFonts w:eastAsia="Calibri"/>
          <w:color w:val="000000"/>
          <w:sz w:val="20"/>
          <w:szCs w:val="20"/>
          <w:lang w:val="es-GT"/>
        </w:rPr>
      </w:pPr>
      <w:r w:rsidRPr="00454290">
        <w:rPr>
          <w:rFonts w:eastAsia="Times New Roman"/>
          <w:color w:val="000000"/>
          <w:sz w:val="20"/>
          <w:szCs w:val="20"/>
          <w:lang w:val="es-GT"/>
        </w:rPr>
        <w:t xml:space="preserve">● </w:t>
      </w:r>
      <w:r w:rsidRPr="00454290">
        <w:rPr>
          <w:rFonts w:eastAsia="Calibri"/>
          <w:color w:val="000000"/>
          <w:sz w:val="20"/>
          <w:szCs w:val="20"/>
          <w:lang w:val="es-GT"/>
        </w:rPr>
        <w:t xml:space="preserve">El proyecto final será evaluado sobre </w:t>
      </w:r>
      <w:r w:rsidRPr="00454290">
        <w:rPr>
          <w:rFonts w:eastAsia="Calibri"/>
          <w:b/>
          <w:bCs/>
          <w:color w:val="000000"/>
          <w:sz w:val="20"/>
          <w:szCs w:val="20"/>
          <w:lang w:val="es-GT"/>
        </w:rPr>
        <w:t>4</w:t>
      </w:r>
      <w:r w:rsidRPr="00454290">
        <w:rPr>
          <w:rFonts w:eastAsia="Calibri"/>
          <w:b/>
          <w:color w:val="000000"/>
          <w:sz w:val="20"/>
          <w:szCs w:val="20"/>
          <w:lang w:val="es-GT"/>
        </w:rPr>
        <w:t>0 puntos</w:t>
      </w:r>
      <w:r w:rsidRPr="00454290">
        <w:rPr>
          <w:rFonts w:eastAsia="Calibri"/>
          <w:color w:val="000000"/>
          <w:sz w:val="20"/>
          <w:szCs w:val="20"/>
          <w:lang w:val="es-GT"/>
        </w:rPr>
        <w:t xml:space="preserve">. A continuación, </w:t>
      </w:r>
      <w:r w:rsidR="00593CF4" w:rsidRPr="00454290">
        <w:rPr>
          <w:rFonts w:eastAsia="Calibri"/>
          <w:color w:val="000000"/>
          <w:sz w:val="20"/>
          <w:szCs w:val="20"/>
          <w:lang w:val="es-GT"/>
        </w:rPr>
        <w:t xml:space="preserve">se detallan los elementos a ser </w:t>
      </w:r>
      <w:r w:rsidRPr="00454290">
        <w:rPr>
          <w:rFonts w:eastAsia="Calibri"/>
          <w:color w:val="000000"/>
          <w:sz w:val="20"/>
          <w:szCs w:val="20"/>
          <w:lang w:val="es-GT"/>
        </w:rPr>
        <w:t>eva</w:t>
      </w:r>
      <w:r w:rsidRPr="00454290">
        <w:rPr>
          <w:rFonts w:eastAsia="Calibri"/>
          <w:color w:val="000000"/>
          <w:sz w:val="20"/>
          <w:szCs w:val="20"/>
          <w:lang w:val="es-GT"/>
        </w:rPr>
        <w:t xml:space="preserve">luados a detalle con su respectiva ponderación: </w:t>
      </w:r>
    </w:p>
    <w:p w:rsidR="00593CF4" w:rsidRPr="00454290" w:rsidRDefault="00593CF4" w:rsidP="00160D6A">
      <w:pPr>
        <w:widowControl w:val="0"/>
        <w:spacing w:before="281" w:line="240" w:lineRule="auto"/>
        <w:ind w:left="730" w:right="2" w:hanging="352"/>
        <w:jc w:val="both"/>
        <w:rPr>
          <w:sz w:val="20"/>
          <w:szCs w:val="20"/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1"/>
        <w:gridCol w:w="1245"/>
        <w:gridCol w:w="967"/>
        <w:gridCol w:w="1104"/>
        <w:gridCol w:w="1166"/>
        <w:gridCol w:w="1168"/>
        <w:gridCol w:w="1167"/>
      </w:tblGrid>
      <w:tr w:rsidR="00593CF4" w:rsidRPr="00454290" w:rsidTr="005F53C8">
        <w:tc>
          <w:tcPr>
            <w:tcW w:w="2011" w:type="dxa"/>
            <w:shd w:val="clear" w:color="auto" w:fill="D9D9D9" w:themeFill="background1" w:themeFillShade="D9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0268C3">
              <w:rPr>
                <w:rFonts w:ascii="Arial" w:hAnsi="Arial" w:cs="Arial"/>
                <w:b/>
                <w:color w:val="000000"/>
              </w:rPr>
              <w:t>Elemento evaluado</w:t>
            </w:r>
          </w:p>
        </w:tc>
        <w:tc>
          <w:tcPr>
            <w:tcW w:w="1245" w:type="dxa"/>
            <w:shd w:val="clear" w:color="auto" w:fill="D9D9D9" w:themeFill="background1" w:themeFillShade="D9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0268C3">
              <w:rPr>
                <w:rFonts w:ascii="Arial" w:hAnsi="Arial" w:cs="Arial"/>
                <w:b/>
                <w:color w:val="000000"/>
              </w:rPr>
              <w:t>Ponderación (puntos)</w:t>
            </w:r>
          </w:p>
        </w:tc>
        <w:tc>
          <w:tcPr>
            <w:tcW w:w="967" w:type="dxa"/>
            <w:shd w:val="clear" w:color="auto" w:fill="D9D9D9" w:themeFill="background1" w:themeFillShade="D9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0268C3">
              <w:rPr>
                <w:rFonts w:ascii="Arial" w:hAnsi="Arial" w:cs="Arial"/>
                <w:b/>
                <w:color w:val="000000"/>
              </w:rPr>
              <w:t>Excelente</w:t>
            </w:r>
            <w:r w:rsidRPr="000268C3">
              <w:rPr>
                <w:rFonts w:ascii="Arial" w:hAnsi="Arial" w:cs="Arial"/>
                <w:b/>
                <w:color w:val="000000"/>
              </w:rPr>
              <w:br/>
              <w:t>(100%)</w:t>
            </w:r>
          </w:p>
        </w:tc>
        <w:tc>
          <w:tcPr>
            <w:tcW w:w="1104" w:type="dxa"/>
            <w:shd w:val="clear" w:color="auto" w:fill="D9D9D9" w:themeFill="background1" w:themeFillShade="D9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0268C3">
              <w:rPr>
                <w:rFonts w:ascii="Arial" w:hAnsi="Arial" w:cs="Arial"/>
                <w:b/>
                <w:color w:val="000000"/>
              </w:rPr>
              <w:t>Bueno</w:t>
            </w:r>
            <w:r w:rsidRPr="000268C3">
              <w:rPr>
                <w:rFonts w:ascii="Arial" w:hAnsi="Arial" w:cs="Arial"/>
                <w:b/>
                <w:color w:val="000000"/>
              </w:rPr>
              <w:br/>
              <w:t>(80%)</w:t>
            </w:r>
          </w:p>
        </w:tc>
        <w:tc>
          <w:tcPr>
            <w:tcW w:w="1166" w:type="dxa"/>
            <w:shd w:val="clear" w:color="auto" w:fill="D9D9D9" w:themeFill="background1" w:themeFillShade="D9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0268C3">
              <w:rPr>
                <w:rFonts w:ascii="Arial" w:hAnsi="Arial" w:cs="Arial"/>
                <w:b/>
                <w:color w:val="000000"/>
              </w:rPr>
              <w:t>Aceptable</w:t>
            </w:r>
            <w:r w:rsidRPr="000268C3">
              <w:rPr>
                <w:rFonts w:ascii="Arial" w:hAnsi="Arial" w:cs="Arial"/>
                <w:b/>
                <w:color w:val="000000"/>
              </w:rPr>
              <w:br/>
              <w:t>(60%)</w:t>
            </w:r>
          </w:p>
        </w:tc>
        <w:tc>
          <w:tcPr>
            <w:tcW w:w="1168" w:type="dxa"/>
            <w:shd w:val="clear" w:color="auto" w:fill="D9D9D9" w:themeFill="background1" w:themeFillShade="D9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0268C3">
              <w:rPr>
                <w:rFonts w:ascii="Arial" w:hAnsi="Arial" w:cs="Arial"/>
                <w:b/>
                <w:color w:val="000000"/>
              </w:rPr>
              <w:t>Deficiente</w:t>
            </w:r>
            <w:r w:rsidRPr="000268C3">
              <w:rPr>
                <w:rFonts w:ascii="Arial" w:hAnsi="Arial" w:cs="Arial"/>
                <w:b/>
                <w:color w:val="000000"/>
              </w:rPr>
              <w:br/>
              <w:t>(40%)</w:t>
            </w:r>
          </w:p>
        </w:tc>
        <w:tc>
          <w:tcPr>
            <w:tcW w:w="1167" w:type="dxa"/>
            <w:shd w:val="clear" w:color="auto" w:fill="D9D9D9" w:themeFill="background1" w:themeFillShade="D9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0268C3">
              <w:rPr>
                <w:rFonts w:ascii="Arial" w:hAnsi="Arial" w:cs="Arial"/>
                <w:b/>
                <w:color w:val="000000"/>
              </w:rPr>
              <w:t>No Aceptable</w:t>
            </w:r>
            <w:r w:rsidRPr="000268C3">
              <w:rPr>
                <w:rFonts w:ascii="Arial" w:hAnsi="Arial" w:cs="Arial"/>
                <w:b/>
                <w:color w:val="000000"/>
              </w:rPr>
              <w:br/>
              <w:t>(10%)</w:t>
            </w:r>
          </w:p>
        </w:tc>
      </w:tr>
      <w:tr w:rsidR="00593CF4" w:rsidRPr="00454290" w:rsidTr="00711DBC">
        <w:tc>
          <w:tcPr>
            <w:tcW w:w="8828" w:type="dxa"/>
            <w:gridSpan w:val="7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593CF4" w:rsidRPr="00454290" w:rsidTr="00711DBC">
        <w:tc>
          <w:tcPr>
            <w:tcW w:w="2011" w:type="dxa"/>
            <w:shd w:val="clear" w:color="auto" w:fill="F2F2F2" w:themeFill="background1" w:themeFillShade="F2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0268C3">
              <w:rPr>
                <w:rFonts w:ascii="Arial" w:hAnsi="Arial" w:cs="Arial"/>
                <w:b/>
                <w:color w:val="000000"/>
              </w:rPr>
              <w:t>Documentación General</w:t>
            </w:r>
          </w:p>
        </w:tc>
        <w:tc>
          <w:tcPr>
            <w:tcW w:w="6817" w:type="dxa"/>
            <w:gridSpan w:val="6"/>
            <w:shd w:val="clear" w:color="auto" w:fill="F2F2F2" w:themeFill="background1" w:themeFillShade="F2"/>
          </w:tcPr>
          <w:p w:rsidR="00593CF4" w:rsidRPr="000268C3" w:rsidRDefault="00593CF4" w:rsidP="00635FB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0268C3">
              <w:rPr>
                <w:rFonts w:ascii="Arial" w:hAnsi="Arial" w:cs="Arial"/>
                <w:b/>
                <w:color w:val="000000"/>
              </w:rPr>
              <w:t>1</w:t>
            </w:r>
            <w:r w:rsidR="00635FBC" w:rsidRPr="000268C3">
              <w:rPr>
                <w:rFonts w:ascii="Arial" w:hAnsi="Arial" w:cs="Arial"/>
                <w:b/>
                <w:color w:val="000000"/>
              </w:rPr>
              <w:t>2</w:t>
            </w:r>
            <w:r w:rsidRPr="000268C3">
              <w:rPr>
                <w:rFonts w:ascii="Arial" w:hAnsi="Arial" w:cs="Arial"/>
                <w:b/>
                <w:color w:val="000000"/>
              </w:rPr>
              <w:t xml:space="preserve"> Puntos</w:t>
            </w:r>
          </w:p>
        </w:tc>
      </w:tr>
      <w:tr w:rsidR="00593CF4" w:rsidRPr="00454290" w:rsidTr="005F53C8">
        <w:tc>
          <w:tcPr>
            <w:tcW w:w="2011" w:type="dxa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Introducción</w:t>
            </w:r>
          </w:p>
        </w:tc>
        <w:tc>
          <w:tcPr>
            <w:tcW w:w="1245" w:type="dxa"/>
            <w:vAlign w:val="center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 puntos</w:t>
            </w:r>
          </w:p>
        </w:tc>
        <w:tc>
          <w:tcPr>
            <w:tcW w:w="967" w:type="dxa"/>
            <w:vAlign w:val="center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104" w:type="dxa"/>
            <w:vAlign w:val="center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1.6</w:t>
            </w:r>
          </w:p>
        </w:tc>
        <w:tc>
          <w:tcPr>
            <w:tcW w:w="1166" w:type="dxa"/>
            <w:vAlign w:val="center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1.2</w:t>
            </w:r>
          </w:p>
        </w:tc>
        <w:tc>
          <w:tcPr>
            <w:tcW w:w="1168" w:type="dxa"/>
            <w:vAlign w:val="center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0.8</w:t>
            </w:r>
          </w:p>
        </w:tc>
        <w:tc>
          <w:tcPr>
            <w:tcW w:w="1167" w:type="dxa"/>
            <w:vAlign w:val="center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0.2</w:t>
            </w:r>
          </w:p>
        </w:tc>
      </w:tr>
      <w:tr w:rsidR="00593CF4" w:rsidRPr="00454290" w:rsidTr="005F53C8">
        <w:tc>
          <w:tcPr>
            <w:tcW w:w="2011" w:type="dxa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Marco Teórico</w:t>
            </w:r>
          </w:p>
        </w:tc>
        <w:tc>
          <w:tcPr>
            <w:tcW w:w="1245" w:type="dxa"/>
            <w:vAlign w:val="center"/>
          </w:tcPr>
          <w:p w:rsidR="00593CF4" w:rsidRPr="000268C3" w:rsidRDefault="00593CF4" w:rsidP="00635F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</w:t>
            </w:r>
            <w:r w:rsidR="00635FBC" w:rsidRPr="000268C3">
              <w:rPr>
                <w:rFonts w:ascii="Arial" w:hAnsi="Arial" w:cs="Arial"/>
                <w:color w:val="000000"/>
              </w:rPr>
              <w:t xml:space="preserve"> punto</w:t>
            </w:r>
          </w:p>
        </w:tc>
        <w:tc>
          <w:tcPr>
            <w:tcW w:w="967" w:type="dxa"/>
            <w:vAlign w:val="center"/>
          </w:tcPr>
          <w:p w:rsidR="00593CF4" w:rsidRPr="000268C3" w:rsidRDefault="000268C3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104" w:type="dxa"/>
            <w:vAlign w:val="center"/>
          </w:tcPr>
          <w:p w:rsidR="00593CF4" w:rsidRPr="000268C3" w:rsidRDefault="000268C3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0.8</w:t>
            </w:r>
          </w:p>
        </w:tc>
        <w:tc>
          <w:tcPr>
            <w:tcW w:w="1166" w:type="dxa"/>
            <w:vAlign w:val="center"/>
          </w:tcPr>
          <w:p w:rsidR="00593CF4" w:rsidRPr="000268C3" w:rsidRDefault="000268C3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0.6</w:t>
            </w:r>
          </w:p>
        </w:tc>
        <w:tc>
          <w:tcPr>
            <w:tcW w:w="1168" w:type="dxa"/>
            <w:vAlign w:val="center"/>
          </w:tcPr>
          <w:p w:rsidR="00593CF4" w:rsidRPr="000268C3" w:rsidRDefault="000268C3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0.4</w:t>
            </w:r>
          </w:p>
        </w:tc>
        <w:tc>
          <w:tcPr>
            <w:tcW w:w="1167" w:type="dxa"/>
            <w:vAlign w:val="center"/>
          </w:tcPr>
          <w:p w:rsidR="00593CF4" w:rsidRPr="000268C3" w:rsidRDefault="000268C3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0.1</w:t>
            </w:r>
          </w:p>
        </w:tc>
      </w:tr>
      <w:tr w:rsidR="000268C3" w:rsidRPr="00454290" w:rsidTr="005F53C8">
        <w:tc>
          <w:tcPr>
            <w:tcW w:w="2011" w:type="dxa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Metodología</w:t>
            </w:r>
          </w:p>
        </w:tc>
        <w:tc>
          <w:tcPr>
            <w:tcW w:w="1245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 punto</w:t>
            </w:r>
          </w:p>
        </w:tc>
        <w:tc>
          <w:tcPr>
            <w:tcW w:w="9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104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0.8</w:t>
            </w:r>
          </w:p>
        </w:tc>
        <w:tc>
          <w:tcPr>
            <w:tcW w:w="1166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0.6</w:t>
            </w:r>
          </w:p>
        </w:tc>
        <w:tc>
          <w:tcPr>
            <w:tcW w:w="1168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0.4</w:t>
            </w:r>
          </w:p>
        </w:tc>
        <w:tc>
          <w:tcPr>
            <w:tcW w:w="11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0.1</w:t>
            </w:r>
          </w:p>
        </w:tc>
      </w:tr>
      <w:tr w:rsidR="005F53C8" w:rsidRPr="00454290" w:rsidTr="005F53C8">
        <w:tc>
          <w:tcPr>
            <w:tcW w:w="2011" w:type="dxa"/>
          </w:tcPr>
          <w:p w:rsidR="005F53C8" w:rsidRPr="000268C3" w:rsidRDefault="005F53C8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Discusión</w:t>
            </w:r>
          </w:p>
        </w:tc>
        <w:tc>
          <w:tcPr>
            <w:tcW w:w="1245" w:type="dxa"/>
            <w:vAlign w:val="center"/>
          </w:tcPr>
          <w:p w:rsidR="005F53C8" w:rsidRPr="000268C3" w:rsidRDefault="00635FBC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4</w:t>
            </w:r>
            <w:r w:rsidR="005F53C8" w:rsidRPr="000268C3">
              <w:rPr>
                <w:rFonts w:ascii="Arial" w:hAnsi="Arial" w:cs="Arial"/>
                <w:color w:val="000000"/>
              </w:rPr>
              <w:t xml:space="preserve"> puntos</w:t>
            </w:r>
          </w:p>
        </w:tc>
        <w:tc>
          <w:tcPr>
            <w:tcW w:w="967" w:type="dxa"/>
            <w:vAlign w:val="center"/>
          </w:tcPr>
          <w:p w:rsidR="005F53C8" w:rsidRPr="000268C3" w:rsidRDefault="000268C3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104" w:type="dxa"/>
            <w:vAlign w:val="center"/>
          </w:tcPr>
          <w:p w:rsidR="005F53C8" w:rsidRPr="000268C3" w:rsidRDefault="000268C3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3.2</w:t>
            </w:r>
          </w:p>
        </w:tc>
        <w:tc>
          <w:tcPr>
            <w:tcW w:w="1166" w:type="dxa"/>
            <w:vAlign w:val="center"/>
          </w:tcPr>
          <w:p w:rsidR="005F53C8" w:rsidRPr="000268C3" w:rsidRDefault="000268C3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2.4</w:t>
            </w:r>
          </w:p>
        </w:tc>
        <w:tc>
          <w:tcPr>
            <w:tcW w:w="1168" w:type="dxa"/>
            <w:vAlign w:val="center"/>
          </w:tcPr>
          <w:p w:rsidR="005F53C8" w:rsidRPr="000268C3" w:rsidRDefault="000268C3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1.6</w:t>
            </w:r>
          </w:p>
        </w:tc>
        <w:tc>
          <w:tcPr>
            <w:tcW w:w="1167" w:type="dxa"/>
            <w:vAlign w:val="center"/>
          </w:tcPr>
          <w:p w:rsidR="005F53C8" w:rsidRPr="000268C3" w:rsidRDefault="000268C3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0.4</w:t>
            </w:r>
          </w:p>
        </w:tc>
      </w:tr>
      <w:tr w:rsidR="000268C3" w:rsidRPr="00454290" w:rsidTr="005F53C8">
        <w:tc>
          <w:tcPr>
            <w:tcW w:w="2011" w:type="dxa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Conclusiones</w:t>
            </w:r>
          </w:p>
        </w:tc>
        <w:tc>
          <w:tcPr>
            <w:tcW w:w="1245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4</w:t>
            </w:r>
            <w:r w:rsidRPr="000268C3">
              <w:rPr>
                <w:rFonts w:ascii="Arial" w:hAnsi="Arial" w:cs="Arial"/>
                <w:color w:val="000000"/>
              </w:rPr>
              <w:t xml:space="preserve"> puntos</w:t>
            </w:r>
          </w:p>
        </w:tc>
        <w:tc>
          <w:tcPr>
            <w:tcW w:w="9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104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3.2</w:t>
            </w:r>
          </w:p>
        </w:tc>
        <w:tc>
          <w:tcPr>
            <w:tcW w:w="1166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2.4</w:t>
            </w:r>
          </w:p>
        </w:tc>
        <w:tc>
          <w:tcPr>
            <w:tcW w:w="1168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1.6</w:t>
            </w:r>
          </w:p>
        </w:tc>
        <w:tc>
          <w:tcPr>
            <w:tcW w:w="11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0.4</w:t>
            </w:r>
          </w:p>
        </w:tc>
      </w:tr>
      <w:tr w:rsidR="00593CF4" w:rsidRPr="00454290" w:rsidTr="005F53C8">
        <w:tc>
          <w:tcPr>
            <w:tcW w:w="2011" w:type="dxa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245" w:type="dxa"/>
            <w:vAlign w:val="center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967" w:type="dxa"/>
            <w:vAlign w:val="center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04" w:type="dxa"/>
            <w:vAlign w:val="center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66" w:type="dxa"/>
            <w:vAlign w:val="center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68" w:type="dxa"/>
            <w:vAlign w:val="center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67" w:type="dxa"/>
            <w:vAlign w:val="center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593CF4" w:rsidRPr="00454290" w:rsidTr="00711DBC">
        <w:tc>
          <w:tcPr>
            <w:tcW w:w="2011" w:type="dxa"/>
            <w:shd w:val="clear" w:color="auto" w:fill="F2F2F2" w:themeFill="background1" w:themeFillShade="F2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0268C3">
              <w:rPr>
                <w:rFonts w:ascii="Arial" w:hAnsi="Arial" w:cs="Arial"/>
                <w:b/>
                <w:color w:val="000000"/>
              </w:rPr>
              <w:t xml:space="preserve">Contenido </w:t>
            </w:r>
            <w:r w:rsidR="005F53C8" w:rsidRPr="000268C3">
              <w:rPr>
                <w:rFonts w:ascii="Arial" w:hAnsi="Arial" w:cs="Arial"/>
                <w:b/>
                <w:color w:val="000000"/>
              </w:rPr>
              <w:br/>
            </w:r>
            <w:r w:rsidRPr="000268C3">
              <w:rPr>
                <w:rFonts w:ascii="Arial" w:hAnsi="Arial" w:cs="Arial"/>
                <w:b/>
                <w:color w:val="000000"/>
              </w:rPr>
              <w:t>Específico</w:t>
            </w:r>
          </w:p>
        </w:tc>
        <w:tc>
          <w:tcPr>
            <w:tcW w:w="6817" w:type="dxa"/>
            <w:gridSpan w:val="6"/>
            <w:shd w:val="clear" w:color="auto" w:fill="F2F2F2" w:themeFill="background1" w:themeFillShade="F2"/>
            <w:vAlign w:val="center"/>
          </w:tcPr>
          <w:p w:rsidR="00593CF4" w:rsidRPr="000268C3" w:rsidRDefault="00635FBC" w:rsidP="00635F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b/>
                <w:color w:val="000000"/>
              </w:rPr>
              <w:t>28</w:t>
            </w:r>
            <w:r w:rsidR="00593CF4" w:rsidRPr="000268C3">
              <w:rPr>
                <w:rFonts w:ascii="Arial" w:hAnsi="Arial" w:cs="Arial"/>
                <w:b/>
                <w:color w:val="000000"/>
              </w:rPr>
              <w:t xml:space="preserve"> Puntos</w:t>
            </w:r>
          </w:p>
        </w:tc>
      </w:tr>
      <w:tr w:rsidR="000268C3" w:rsidRPr="00454290" w:rsidTr="005F53C8">
        <w:tc>
          <w:tcPr>
            <w:tcW w:w="2011" w:type="dxa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Diagrama</w:t>
            </w:r>
          </w:p>
        </w:tc>
        <w:tc>
          <w:tcPr>
            <w:tcW w:w="1245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</w:t>
            </w:r>
            <w:r w:rsidRPr="000268C3">
              <w:rPr>
                <w:rFonts w:ascii="Arial" w:hAnsi="Arial" w:cs="Arial"/>
                <w:color w:val="000000"/>
              </w:rPr>
              <w:t xml:space="preserve"> puntos</w:t>
            </w:r>
          </w:p>
        </w:tc>
        <w:tc>
          <w:tcPr>
            <w:tcW w:w="9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104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1.6</w:t>
            </w:r>
          </w:p>
        </w:tc>
        <w:tc>
          <w:tcPr>
            <w:tcW w:w="1166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1.2</w:t>
            </w:r>
          </w:p>
        </w:tc>
        <w:tc>
          <w:tcPr>
            <w:tcW w:w="1168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0.8</w:t>
            </w:r>
          </w:p>
        </w:tc>
        <w:tc>
          <w:tcPr>
            <w:tcW w:w="11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0.2</w:t>
            </w:r>
          </w:p>
        </w:tc>
      </w:tr>
      <w:tr w:rsidR="000268C3" w:rsidRPr="00454290" w:rsidTr="005F53C8">
        <w:tc>
          <w:tcPr>
            <w:tcW w:w="2011" w:type="dxa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Inventario Activos</w:t>
            </w:r>
          </w:p>
        </w:tc>
        <w:tc>
          <w:tcPr>
            <w:tcW w:w="1245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</w:t>
            </w:r>
            <w:r w:rsidRPr="000268C3">
              <w:rPr>
                <w:rFonts w:ascii="Arial" w:hAnsi="Arial" w:cs="Arial"/>
                <w:color w:val="000000"/>
              </w:rPr>
              <w:t xml:space="preserve"> puntos</w:t>
            </w:r>
          </w:p>
        </w:tc>
        <w:tc>
          <w:tcPr>
            <w:tcW w:w="9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104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1.6</w:t>
            </w:r>
          </w:p>
        </w:tc>
        <w:tc>
          <w:tcPr>
            <w:tcW w:w="1166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1.2</w:t>
            </w:r>
          </w:p>
        </w:tc>
        <w:tc>
          <w:tcPr>
            <w:tcW w:w="1168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0.8</w:t>
            </w:r>
          </w:p>
        </w:tc>
        <w:tc>
          <w:tcPr>
            <w:tcW w:w="11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0.2</w:t>
            </w:r>
          </w:p>
        </w:tc>
      </w:tr>
      <w:tr w:rsidR="000268C3" w:rsidRPr="00454290" w:rsidTr="005F53C8">
        <w:tc>
          <w:tcPr>
            <w:tcW w:w="2011" w:type="dxa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BIA</w:t>
            </w:r>
          </w:p>
        </w:tc>
        <w:tc>
          <w:tcPr>
            <w:tcW w:w="1245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</w:t>
            </w:r>
            <w:r w:rsidRPr="000268C3">
              <w:rPr>
                <w:rFonts w:ascii="Arial" w:hAnsi="Arial" w:cs="Arial"/>
                <w:color w:val="000000"/>
              </w:rPr>
              <w:t xml:space="preserve"> puntos</w:t>
            </w:r>
          </w:p>
        </w:tc>
        <w:tc>
          <w:tcPr>
            <w:tcW w:w="9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104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0.8</w:t>
            </w:r>
          </w:p>
        </w:tc>
        <w:tc>
          <w:tcPr>
            <w:tcW w:w="1166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0.6</w:t>
            </w:r>
          </w:p>
        </w:tc>
        <w:tc>
          <w:tcPr>
            <w:tcW w:w="1168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0.4</w:t>
            </w:r>
          </w:p>
        </w:tc>
        <w:tc>
          <w:tcPr>
            <w:tcW w:w="11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0.1</w:t>
            </w:r>
          </w:p>
        </w:tc>
      </w:tr>
      <w:tr w:rsidR="000268C3" w:rsidRPr="00454290" w:rsidTr="005F53C8">
        <w:tc>
          <w:tcPr>
            <w:tcW w:w="2011" w:type="dxa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Análisis de Riesgo</w:t>
            </w:r>
          </w:p>
        </w:tc>
        <w:tc>
          <w:tcPr>
            <w:tcW w:w="1245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</w:t>
            </w:r>
            <w:r w:rsidRPr="000268C3">
              <w:rPr>
                <w:rFonts w:ascii="Arial" w:hAnsi="Arial" w:cs="Arial"/>
                <w:color w:val="000000"/>
              </w:rPr>
              <w:t xml:space="preserve"> puntos</w:t>
            </w:r>
          </w:p>
        </w:tc>
        <w:tc>
          <w:tcPr>
            <w:tcW w:w="9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104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1.6</w:t>
            </w:r>
          </w:p>
        </w:tc>
        <w:tc>
          <w:tcPr>
            <w:tcW w:w="1166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1.2</w:t>
            </w:r>
          </w:p>
        </w:tc>
        <w:tc>
          <w:tcPr>
            <w:tcW w:w="1168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0.8</w:t>
            </w:r>
          </w:p>
        </w:tc>
        <w:tc>
          <w:tcPr>
            <w:tcW w:w="11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0.2</w:t>
            </w:r>
          </w:p>
        </w:tc>
      </w:tr>
      <w:tr w:rsidR="000268C3" w:rsidRPr="00454290" w:rsidTr="005F53C8">
        <w:tc>
          <w:tcPr>
            <w:tcW w:w="2011" w:type="dxa"/>
          </w:tcPr>
          <w:p w:rsidR="000268C3" w:rsidRPr="000268C3" w:rsidRDefault="000268C3" w:rsidP="000268C3">
            <w:pPr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Evaluación del Riesgo</w:t>
            </w:r>
          </w:p>
        </w:tc>
        <w:tc>
          <w:tcPr>
            <w:tcW w:w="1245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</w:t>
            </w:r>
            <w:r w:rsidRPr="000268C3">
              <w:rPr>
                <w:rFonts w:ascii="Arial" w:hAnsi="Arial" w:cs="Arial"/>
                <w:color w:val="000000"/>
              </w:rPr>
              <w:t xml:space="preserve"> puntos</w:t>
            </w:r>
          </w:p>
        </w:tc>
        <w:tc>
          <w:tcPr>
            <w:tcW w:w="9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104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1.6</w:t>
            </w:r>
          </w:p>
        </w:tc>
        <w:tc>
          <w:tcPr>
            <w:tcW w:w="1166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1.2</w:t>
            </w:r>
          </w:p>
        </w:tc>
        <w:tc>
          <w:tcPr>
            <w:tcW w:w="1168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0.8</w:t>
            </w:r>
          </w:p>
        </w:tc>
        <w:tc>
          <w:tcPr>
            <w:tcW w:w="11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0.2</w:t>
            </w:r>
          </w:p>
        </w:tc>
      </w:tr>
      <w:tr w:rsidR="000268C3" w:rsidRPr="00454290" w:rsidTr="005F53C8">
        <w:tc>
          <w:tcPr>
            <w:tcW w:w="2011" w:type="dxa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Zona de Riesgo</w:t>
            </w:r>
          </w:p>
        </w:tc>
        <w:tc>
          <w:tcPr>
            <w:tcW w:w="1245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</w:t>
            </w:r>
            <w:r w:rsidRPr="000268C3">
              <w:rPr>
                <w:rFonts w:ascii="Arial" w:hAnsi="Arial" w:cs="Arial"/>
                <w:color w:val="000000"/>
              </w:rPr>
              <w:t xml:space="preserve"> puntos</w:t>
            </w:r>
          </w:p>
        </w:tc>
        <w:tc>
          <w:tcPr>
            <w:tcW w:w="9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104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1.6</w:t>
            </w:r>
          </w:p>
        </w:tc>
        <w:tc>
          <w:tcPr>
            <w:tcW w:w="1166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1.2</w:t>
            </w:r>
          </w:p>
        </w:tc>
        <w:tc>
          <w:tcPr>
            <w:tcW w:w="1168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0.8</w:t>
            </w:r>
          </w:p>
        </w:tc>
        <w:tc>
          <w:tcPr>
            <w:tcW w:w="11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0.2</w:t>
            </w:r>
          </w:p>
        </w:tc>
      </w:tr>
      <w:tr w:rsidR="000268C3" w:rsidRPr="00454290" w:rsidTr="005F53C8">
        <w:tc>
          <w:tcPr>
            <w:tcW w:w="2011" w:type="dxa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Plan de Tratamiento Priorizado</w:t>
            </w:r>
          </w:p>
        </w:tc>
        <w:tc>
          <w:tcPr>
            <w:tcW w:w="1245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</w:t>
            </w:r>
            <w:r w:rsidRPr="000268C3">
              <w:rPr>
                <w:rFonts w:ascii="Arial" w:hAnsi="Arial" w:cs="Arial"/>
                <w:color w:val="000000"/>
              </w:rPr>
              <w:t xml:space="preserve"> puntos</w:t>
            </w:r>
          </w:p>
        </w:tc>
        <w:tc>
          <w:tcPr>
            <w:tcW w:w="9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104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1.6</w:t>
            </w:r>
          </w:p>
        </w:tc>
        <w:tc>
          <w:tcPr>
            <w:tcW w:w="1166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1.2</w:t>
            </w:r>
          </w:p>
        </w:tc>
        <w:tc>
          <w:tcPr>
            <w:tcW w:w="1168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0.8</w:t>
            </w:r>
          </w:p>
        </w:tc>
        <w:tc>
          <w:tcPr>
            <w:tcW w:w="11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0.2</w:t>
            </w:r>
          </w:p>
        </w:tc>
      </w:tr>
      <w:tr w:rsidR="005F53C8" w:rsidRPr="00454290" w:rsidTr="005F53C8">
        <w:tc>
          <w:tcPr>
            <w:tcW w:w="2011" w:type="dxa"/>
          </w:tcPr>
          <w:p w:rsidR="005F53C8" w:rsidRPr="000268C3" w:rsidRDefault="005F53C8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lastRenderedPageBreak/>
              <w:t>Políticas de aseguramiento</w:t>
            </w:r>
          </w:p>
        </w:tc>
        <w:tc>
          <w:tcPr>
            <w:tcW w:w="1245" w:type="dxa"/>
            <w:vAlign w:val="center"/>
          </w:tcPr>
          <w:p w:rsidR="005F53C8" w:rsidRPr="000268C3" w:rsidRDefault="005F53C8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3 puntos</w:t>
            </w:r>
          </w:p>
        </w:tc>
        <w:tc>
          <w:tcPr>
            <w:tcW w:w="967" w:type="dxa"/>
            <w:vAlign w:val="center"/>
          </w:tcPr>
          <w:p w:rsidR="005F53C8" w:rsidRPr="000268C3" w:rsidRDefault="000268C3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104" w:type="dxa"/>
            <w:vAlign w:val="center"/>
          </w:tcPr>
          <w:p w:rsidR="005F53C8" w:rsidRPr="000268C3" w:rsidRDefault="000268C3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2.4</w:t>
            </w:r>
          </w:p>
        </w:tc>
        <w:tc>
          <w:tcPr>
            <w:tcW w:w="1166" w:type="dxa"/>
            <w:vAlign w:val="center"/>
          </w:tcPr>
          <w:p w:rsidR="005F53C8" w:rsidRPr="000268C3" w:rsidRDefault="000268C3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1.8</w:t>
            </w:r>
          </w:p>
        </w:tc>
        <w:tc>
          <w:tcPr>
            <w:tcW w:w="1168" w:type="dxa"/>
            <w:vAlign w:val="center"/>
          </w:tcPr>
          <w:p w:rsidR="005F53C8" w:rsidRPr="000268C3" w:rsidRDefault="000268C3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1.2</w:t>
            </w:r>
          </w:p>
        </w:tc>
        <w:tc>
          <w:tcPr>
            <w:tcW w:w="1167" w:type="dxa"/>
            <w:vAlign w:val="center"/>
          </w:tcPr>
          <w:p w:rsidR="005F53C8" w:rsidRPr="000268C3" w:rsidRDefault="000268C3" w:rsidP="00711DBC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0.3</w:t>
            </w:r>
          </w:p>
        </w:tc>
      </w:tr>
      <w:tr w:rsidR="000268C3" w:rsidRPr="00454290" w:rsidTr="005F53C8">
        <w:tc>
          <w:tcPr>
            <w:tcW w:w="2011" w:type="dxa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Controles</w:t>
            </w:r>
          </w:p>
        </w:tc>
        <w:tc>
          <w:tcPr>
            <w:tcW w:w="1245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3 puntos</w:t>
            </w:r>
          </w:p>
        </w:tc>
        <w:tc>
          <w:tcPr>
            <w:tcW w:w="9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104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2.4</w:t>
            </w:r>
          </w:p>
        </w:tc>
        <w:tc>
          <w:tcPr>
            <w:tcW w:w="1166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1.8</w:t>
            </w:r>
          </w:p>
        </w:tc>
        <w:tc>
          <w:tcPr>
            <w:tcW w:w="1168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1.2</w:t>
            </w:r>
          </w:p>
        </w:tc>
        <w:tc>
          <w:tcPr>
            <w:tcW w:w="11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0.3</w:t>
            </w:r>
          </w:p>
        </w:tc>
      </w:tr>
      <w:tr w:rsidR="000268C3" w:rsidRPr="00454290" w:rsidTr="005F53C8">
        <w:tc>
          <w:tcPr>
            <w:tcW w:w="2011" w:type="dxa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Buenas y mejores prácticas</w:t>
            </w:r>
          </w:p>
        </w:tc>
        <w:tc>
          <w:tcPr>
            <w:tcW w:w="1245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3 puntos</w:t>
            </w:r>
          </w:p>
        </w:tc>
        <w:tc>
          <w:tcPr>
            <w:tcW w:w="9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104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2.4</w:t>
            </w:r>
          </w:p>
        </w:tc>
        <w:tc>
          <w:tcPr>
            <w:tcW w:w="1166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1.8</w:t>
            </w:r>
          </w:p>
        </w:tc>
        <w:tc>
          <w:tcPr>
            <w:tcW w:w="1168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1.2</w:t>
            </w:r>
          </w:p>
        </w:tc>
        <w:tc>
          <w:tcPr>
            <w:tcW w:w="11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0.3</w:t>
            </w:r>
          </w:p>
        </w:tc>
      </w:tr>
      <w:tr w:rsidR="000268C3" w:rsidRPr="00454290" w:rsidTr="005F53C8">
        <w:tc>
          <w:tcPr>
            <w:tcW w:w="2011" w:type="dxa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Administración y gestión de Servicios</w:t>
            </w:r>
          </w:p>
        </w:tc>
        <w:tc>
          <w:tcPr>
            <w:tcW w:w="1245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3 puntos</w:t>
            </w:r>
          </w:p>
        </w:tc>
        <w:tc>
          <w:tcPr>
            <w:tcW w:w="9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104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2.4</w:t>
            </w:r>
          </w:p>
        </w:tc>
        <w:tc>
          <w:tcPr>
            <w:tcW w:w="1166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1.8</w:t>
            </w:r>
          </w:p>
        </w:tc>
        <w:tc>
          <w:tcPr>
            <w:tcW w:w="1168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1.2</w:t>
            </w:r>
          </w:p>
        </w:tc>
        <w:tc>
          <w:tcPr>
            <w:tcW w:w="11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0.3</w:t>
            </w:r>
          </w:p>
        </w:tc>
      </w:tr>
      <w:tr w:rsidR="000268C3" w:rsidRPr="00454290" w:rsidTr="005F53C8">
        <w:tc>
          <w:tcPr>
            <w:tcW w:w="2011" w:type="dxa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Buenas y mejores prácticas Data Center</w:t>
            </w:r>
          </w:p>
        </w:tc>
        <w:tc>
          <w:tcPr>
            <w:tcW w:w="1245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3 puntos</w:t>
            </w:r>
          </w:p>
        </w:tc>
        <w:tc>
          <w:tcPr>
            <w:tcW w:w="9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104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2.4</w:t>
            </w:r>
          </w:p>
        </w:tc>
        <w:tc>
          <w:tcPr>
            <w:tcW w:w="1166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1.8</w:t>
            </w:r>
          </w:p>
        </w:tc>
        <w:tc>
          <w:tcPr>
            <w:tcW w:w="1168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1.2</w:t>
            </w:r>
          </w:p>
        </w:tc>
        <w:tc>
          <w:tcPr>
            <w:tcW w:w="1167" w:type="dxa"/>
            <w:vAlign w:val="center"/>
          </w:tcPr>
          <w:p w:rsidR="000268C3" w:rsidRPr="000268C3" w:rsidRDefault="000268C3" w:rsidP="000268C3">
            <w:pPr>
              <w:jc w:val="center"/>
              <w:rPr>
                <w:rFonts w:ascii="Arial" w:hAnsi="Arial" w:cs="Arial"/>
                <w:color w:val="000000"/>
              </w:rPr>
            </w:pPr>
            <w:r w:rsidRPr="000268C3">
              <w:rPr>
                <w:rFonts w:ascii="Arial" w:hAnsi="Arial" w:cs="Arial"/>
                <w:color w:val="000000"/>
              </w:rPr>
              <w:t>0.3</w:t>
            </w:r>
          </w:p>
        </w:tc>
      </w:tr>
      <w:tr w:rsidR="00593CF4" w:rsidRPr="00454290" w:rsidTr="00711DBC">
        <w:tc>
          <w:tcPr>
            <w:tcW w:w="8828" w:type="dxa"/>
            <w:gridSpan w:val="7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593CF4" w:rsidRPr="00454290" w:rsidTr="00711DBC">
        <w:tc>
          <w:tcPr>
            <w:tcW w:w="2011" w:type="dxa"/>
            <w:shd w:val="clear" w:color="auto" w:fill="D9D9D9" w:themeFill="background1" w:themeFillShade="D9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0268C3">
              <w:rPr>
                <w:rFonts w:ascii="Arial" w:hAnsi="Arial" w:cs="Arial"/>
                <w:b/>
                <w:color w:val="000000"/>
              </w:rPr>
              <w:t>Total</w:t>
            </w:r>
          </w:p>
        </w:tc>
        <w:tc>
          <w:tcPr>
            <w:tcW w:w="6817" w:type="dxa"/>
            <w:gridSpan w:val="6"/>
            <w:shd w:val="clear" w:color="auto" w:fill="D9D9D9" w:themeFill="background1" w:themeFillShade="D9"/>
          </w:tcPr>
          <w:p w:rsidR="00593CF4" w:rsidRPr="000268C3" w:rsidRDefault="00593CF4" w:rsidP="00711DB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0268C3">
              <w:rPr>
                <w:rFonts w:ascii="Arial" w:hAnsi="Arial" w:cs="Arial"/>
                <w:b/>
                <w:color w:val="000000"/>
              </w:rPr>
              <w:t>40 Puntos</w:t>
            </w:r>
          </w:p>
        </w:tc>
      </w:tr>
      <w:tr w:rsidR="00593CF4" w:rsidRPr="00454290" w:rsidTr="00711DBC">
        <w:tc>
          <w:tcPr>
            <w:tcW w:w="8828" w:type="dxa"/>
            <w:gridSpan w:val="7"/>
          </w:tcPr>
          <w:p w:rsidR="00593CF4" w:rsidRPr="005F53C8" w:rsidRDefault="00593CF4" w:rsidP="00711DB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:rsidR="00D96886" w:rsidRPr="00454290" w:rsidRDefault="00D96886" w:rsidP="00160D6A">
      <w:pPr>
        <w:widowControl w:val="0"/>
        <w:spacing w:before="171" w:line="240" w:lineRule="auto"/>
        <w:ind w:left="1279"/>
        <w:jc w:val="both"/>
        <w:rPr>
          <w:rFonts w:eastAsia="Calibri"/>
          <w:color w:val="000000"/>
          <w:sz w:val="20"/>
          <w:szCs w:val="20"/>
          <w:lang w:val="es-GT"/>
        </w:rPr>
      </w:pPr>
    </w:p>
    <w:p w:rsidR="00D96886" w:rsidRPr="00454290" w:rsidRDefault="00D96886" w:rsidP="00160D6A">
      <w:pPr>
        <w:widowControl w:val="0"/>
        <w:spacing w:before="171" w:line="240" w:lineRule="auto"/>
        <w:jc w:val="both"/>
        <w:rPr>
          <w:rFonts w:eastAsia="Calibri"/>
          <w:color w:val="000000"/>
          <w:sz w:val="20"/>
          <w:szCs w:val="20"/>
          <w:lang w:val="es-GT"/>
        </w:rPr>
      </w:pPr>
    </w:p>
    <w:p w:rsidR="00D96886" w:rsidRPr="00454290" w:rsidRDefault="00D96886" w:rsidP="00160D6A">
      <w:pPr>
        <w:widowControl w:val="0"/>
        <w:spacing w:line="240" w:lineRule="auto"/>
        <w:ind w:left="16"/>
        <w:jc w:val="both"/>
        <w:rPr>
          <w:rFonts w:eastAsia="Calibri"/>
          <w:b/>
          <w:color w:val="000000"/>
          <w:sz w:val="20"/>
          <w:szCs w:val="20"/>
          <w:lang w:val="es-GT"/>
        </w:rPr>
      </w:pPr>
    </w:p>
    <w:p w:rsidR="00D96886" w:rsidRPr="00454290" w:rsidRDefault="00D96886" w:rsidP="00160D6A">
      <w:pPr>
        <w:widowControl w:val="0"/>
        <w:spacing w:line="240" w:lineRule="auto"/>
        <w:ind w:left="16"/>
        <w:jc w:val="both"/>
        <w:rPr>
          <w:rFonts w:eastAsia="Calibri"/>
          <w:b/>
          <w:color w:val="000000"/>
          <w:sz w:val="20"/>
          <w:szCs w:val="20"/>
          <w:lang w:val="es-GT"/>
        </w:rPr>
      </w:pPr>
    </w:p>
    <w:p w:rsidR="00D96886" w:rsidRPr="00454290" w:rsidRDefault="00D96886" w:rsidP="00160D6A">
      <w:pPr>
        <w:widowControl w:val="0"/>
        <w:spacing w:line="240" w:lineRule="auto"/>
        <w:ind w:left="16"/>
        <w:jc w:val="both"/>
        <w:rPr>
          <w:rFonts w:eastAsia="Calibri"/>
          <w:b/>
          <w:color w:val="000000"/>
          <w:sz w:val="20"/>
          <w:szCs w:val="20"/>
          <w:lang w:val="es-GT"/>
        </w:rPr>
      </w:pPr>
    </w:p>
    <w:p w:rsidR="00D96886" w:rsidRPr="00454290" w:rsidRDefault="00FF5FEE" w:rsidP="00160D6A">
      <w:pPr>
        <w:widowControl w:val="0"/>
        <w:spacing w:line="240" w:lineRule="auto"/>
        <w:ind w:left="16"/>
        <w:jc w:val="both"/>
        <w:rPr>
          <w:rFonts w:eastAsia="Calibri"/>
          <w:b/>
          <w:color w:val="000000"/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br w:type="page"/>
      </w:r>
    </w:p>
    <w:p w:rsidR="00D96886" w:rsidRPr="00454290" w:rsidRDefault="00D96886" w:rsidP="00160D6A">
      <w:pPr>
        <w:widowControl w:val="0"/>
        <w:spacing w:line="240" w:lineRule="auto"/>
        <w:ind w:left="19"/>
        <w:jc w:val="both"/>
        <w:rPr>
          <w:rFonts w:eastAsia="Calibri"/>
          <w:color w:val="000000"/>
          <w:sz w:val="20"/>
          <w:szCs w:val="20"/>
          <w:lang w:val="es-GT"/>
        </w:rPr>
      </w:pPr>
    </w:p>
    <w:p w:rsidR="00D96886" w:rsidRPr="00454290" w:rsidRDefault="00FF5FEE" w:rsidP="00160D6A">
      <w:pPr>
        <w:pStyle w:val="Prrafodelista"/>
        <w:ind w:left="0"/>
        <w:jc w:val="both"/>
        <w:rPr>
          <w:sz w:val="20"/>
          <w:szCs w:val="20"/>
          <w:lang w:val="es-GT"/>
        </w:rPr>
      </w:pPr>
      <w:r w:rsidRPr="00454290">
        <w:rPr>
          <w:sz w:val="20"/>
          <w:szCs w:val="20"/>
          <w:lang w:val="es-GT"/>
        </w:rPr>
        <w:t>El documento debe de cumplir con los siguientes aspectos:</w:t>
      </w:r>
    </w:p>
    <w:p w:rsidR="00D96886" w:rsidRPr="00454290" w:rsidRDefault="00FF5FEE" w:rsidP="00160D6A">
      <w:pPr>
        <w:pStyle w:val="Prrafodelista"/>
        <w:numPr>
          <w:ilvl w:val="0"/>
          <w:numId w:val="5"/>
        </w:numPr>
        <w:spacing w:line="360" w:lineRule="auto"/>
        <w:jc w:val="both"/>
        <w:rPr>
          <w:sz w:val="20"/>
          <w:szCs w:val="20"/>
          <w:lang w:val="es-ES"/>
        </w:rPr>
      </w:pPr>
      <w:r w:rsidRPr="00454290">
        <w:rPr>
          <w:sz w:val="20"/>
          <w:szCs w:val="20"/>
          <w:lang w:val="es-ES"/>
        </w:rPr>
        <w:t xml:space="preserve">El </w:t>
      </w:r>
      <w:r w:rsidRPr="00454290">
        <w:rPr>
          <w:sz w:val="20"/>
          <w:szCs w:val="20"/>
          <w:lang w:val="es-ES"/>
        </w:rPr>
        <w:t>tipo de hoja que se emplea en cuanto al tamaño son las denominadas “tamaño carta”. Solo se escribe una cara de la hoja.</w:t>
      </w:r>
    </w:p>
    <w:p w:rsidR="00D96886" w:rsidRPr="00454290" w:rsidRDefault="00FF5FEE" w:rsidP="00160D6A">
      <w:pPr>
        <w:pStyle w:val="Prrafodelista"/>
        <w:numPr>
          <w:ilvl w:val="0"/>
          <w:numId w:val="5"/>
        </w:numPr>
        <w:spacing w:line="360" w:lineRule="auto"/>
        <w:jc w:val="both"/>
        <w:rPr>
          <w:sz w:val="20"/>
          <w:szCs w:val="20"/>
          <w:lang w:val="es-ES"/>
        </w:rPr>
      </w:pPr>
      <w:r w:rsidRPr="00454290">
        <w:rPr>
          <w:sz w:val="20"/>
          <w:szCs w:val="20"/>
          <w:lang w:val="es-ES"/>
        </w:rPr>
        <w:t>El tipo de letra es Arial, tamaño 12 normal.</w:t>
      </w:r>
    </w:p>
    <w:p w:rsidR="00D96886" w:rsidRPr="00454290" w:rsidRDefault="00FF5FEE" w:rsidP="00160D6A">
      <w:pPr>
        <w:pStyle w:val="Prrafodelista"/>
        <w:numPr>
          <w:ilvl w:val="0"/>
          <w:numId w:val="5"/>
        </w:numPr>
        <w:spacing w:line="360" w:lineRule="auto"/>
        <w:jc w:val="both"/>
        <w:rPr>
          <w:sz w:val="20"/>
          <w:szCs w:val="20"/>
          <w:lang w:val="es-ES"/>
        </w:rPr>
      </w:pPr>
      <w:r w:rsidRPr="00454290">
        <w:rPr>
          <w:sz w:val="20"/>
          <w:szCs w:val="20"/>
          <w:lang w:val="es-ES"/>
        </w:rPr>
        <w:t>El interlineado es de 1,5 para todo el texto.</w:t>
      </w:r>
    </w:p>
    <w:p w:rsidR="00D96886" w:rsidRPr="00454290" w:rsidRDefault="00FF5FEE" w:rsidP="00160D6A">
      <w:pPr>
        <w:pStyle w:val="Prrafodelista"/>
        <w:numPr>
          <w:ilvl w:val="0"/>
          <w:numId w:val="5"/>
        </w:numPr>
        <w:spacing w:line="360" w:lineRule="auto"/>
        <w:jc w:val="both"/>
        <w:rPr>
          <w:sz w:val="20"/>
          <w:szCs w:val="20"/>
          <w:lang w:val="es-ES"/>
        </w:rPr>
      </w:pPr>
      <w:r w:rsidRPr="00454290">
        <w:rPr>
          <w:sz w:val="20"/>
          <w:szCs w:val="20"/>
          <w:lang w:val="es-ES"/>
        </w:rPr>
        <w:t>Las sangrías en el primer renglón de cada pár</w:t>
      </w:r>
      <w:r w:rsidRPr="00454290">
        <w:rPr>
          <w:sz w:val="20"/>
          <w:szCs w:val="20"/>
          <w:lang w:val="es-ES"/>
        </w:rPr>
        <w:t>rafo cumplen la función de destacarlos visualmente. Se expresan con un número de 5 espacios.</w:t>
      </w:r>
    </w:p>
    <w:p w:rsidR="00D96886" w:rsidRPr="00454290" w:rsidRDefault="00FF5FEE" w:rsidP="00160D6A">
      <w:pPr>
        <w:pStyle w:val="Prrafodelista"/>
        <w:numPr>
          <w:ilvl w:val="0"/>
          <w:numId w:val="5"/>
        </w:numPr>
        <w:spacing w:line="360" w:lineRule="auto"/>
        <w:jc w:val="both"/>
        <w:rPr>
          <w:sz w:val="20"/>
          <w:szCs w:val="20"/>
          <w:lang w:val="es-ES"/>
        </w:rPr>
      </w:pPr>
      <w:r w:rsidRPr="00454290">
        <w:rPr>
          <w:sz w:val="20"/>
          <w:szCs w:val="20"/>
          <w:lang w:val="es-ES"/>
        </w:rPr>
        <w:t>Los márgenes son de: 3,5 cm para el margen izquierdo y 2,5 cm para el derecho; y 3 cm para los márgenes superior e inferior.</w:t>
      </w:r>
    </w:p>
    <w:p w:rsidR="00D96886" w:rsidRPr="00454290" w:rsidRDefault="00FF5FEE" w:rsidP="00160D6A">
      <w:pPr>
        <w:pStyle w:val="Prrafodelista"/>
        <w:numPr>
          <w:ilvl w:val="0"/>
          <w:numId w:val="5"/>
        </w:numPr>
        <w:spacing w:line="360" w:lineRule="auto"/>
        <w:jc w:val="both"/>
        <w:rPr>
          <w:sz w:val="20"/>
          <w:szCs w:val="20"/>
          <w:lang w:val="es-ES"/>
        </w:rPr>
      </w:pPr>
      <w:r w:rsidRPr="00454290">
        <w:rPr>
          <w:sz w:val="20"/>
          <w:szCs w:val="20"/>
          <w:lang w:val="es-ES"/>
        </w:rPr>
        <w:t>Todas las páginas del trabajo deben es</w:t>
      </w:r>
      <w:r w:rsidRPr="00454290">
        <w:rPr>
          <w:sz w:val="20"/>
          <w:szCs w:val="20"/>
          <w:lang w:val="es-ES"/>
        </w:rPr>
        <w:t>tar numeradas, excepto la portada y el índice. La numeración que se usa es la arábiga y la posición es el ángulo superior derecho.</w:t>
      </w:r>
    </w:p>
    <w:p w:rsidR="00D96886" w:rsidRPr="00454290" w:rsidRDefault="00FF5FEE" w:rsidP="00160D6A">
      <w:pPr>
        <w:pStyle w:val="Prrafodelista"/>
        <w:numPr>
          <w:ilvl w:val="0"/>
          <w:numId w:val="5"/>
        </w:numPr>
        <w:spacing w:line="360" w:lineRule="auto"/>
        <w:jc w:val="both"/>
        <w:rPr>
          <w:sz w:val="20"/>
          <w:szCs w:val="20"/>
          <w:lang w:val="es-ES"/>
        </w:rPr>
      </w:pPr>
      <w:r w:rsidRPr="00454290">
        <w:rPr>
          <w:sz w:val="20"/>
          <w:szCs w:val="20"/>
          <w:lang w:val="es-ES"/>
        </w:rPr>
        <w:t xml:space="preserve">Tanto las citas bibliográficas como el listado de bibliografía, deberán apegarse a las normas de la Asociación Americana de </w:t>
      </w:r>
      <w:r w:rsidRPr="00454290">
        <w:rPr>
          <w:sz w:val="20"/>
          <w:szCs w:val="20"/>
          <w:lang w:val="es-ES"/>
        </w:rPr>
        <w:t>Psicología (APA, por sus siglas en idioma inglés), teniendo el cuidado de consultar la última edición en idioma español.</w:t>
      </w:r>
    </w:p>
    <w:p w:rsidR="00D96886" w:rsidRPr="00454290" w:rsidRDefault="00FF5FEE" w:rsidP="00160D6A">
      <w:pPr>
        <w:widowControl w:val="0"/>
        <w:spacing w:before="1019" w:line="240" w:lineRule="auto"/>
        <w:ind w:left="16"/>
        <w:jc w:val="both"/>
        <w:rPr>
          <w:sz w:val="20"/>
          <w:szCs w:val="20"/>
          <w:lang w:val="es-GT"/>
        </w:rPr>
      </w:pPr>
      <w:r w:rsidRPr="00454290">
        <w:rPr>
          <w:rFonts w:eastAsia="Calibri"/>
          <w:b/>
          <w:color w:val="000000"/>
          <w:sz w:val="20"/>
          <w:szCs w:val="20"/>
          <w:lang w:val="es-GT"/>
        </w:rPr>
        <w:t>ENTREGA DEL PROYECTO</w:t>
      </w:r>
      <w:r w:rsidRPr="00454290">
        <w:rPr>
          <w:rFonts w:eastAsia="Calibri"/>
          <w:color w:val="000000"/>
          <w:sz w:val="20"/>
          <w:szCs w:val="20"/>
          <w:lang w:val="es-GT"/>
        </w:rPr>
        <w:t xml:space="preserve">: </w:t>
      </w:r>
    </w:p>
    <w:p w:rsidR="00D96886" w:rsidRPr="00454290" w:rsidRDefault="00FF5FEE" w:rsidP="00160D6A">
      <w:pPr>
        <w:widowControl w:val="0"/>
        <w:spacing w:before="11" w:line="240" w:lineRule="auto"/>
        <w:ind w:left="11" w:right="3" w:firstLine="8"/>
        <w:jc w:val="both"/>
        <w:rPr>
          <w:sz w:val="20"/>
          <w:szCs w:val="20"/>
          <w:lang w:val="es-GT"/>
        </w:rPr>
      </w:pPr>
      <w:r w:rsidRPr="00454290">
        <w:rPr>
          <w:rFonts w:eastAsia="Calibri"/>
          <w:color w:val="000000"/>
          <w:sz w:val="20"/>
          <w:szCs w:val="20"/>
          <w:lang w:val="es-GT"/>
        </w:rPr>
        <w:t xml:space="preserve">El proyecto será entregado y presentado al catedrático la décima semana del curso por parte de los maestrandos </w:t>
      </w:r>
      <w:r w:rsidRPr="00454290">
        <w:rPr>
          <w:rFonts w:eastAsia="Calibri"/>
          <w:color w:val="000000"/>
          <w:sz w:val="20"/>
          <w:szCs w:val="20"/>
          <w:lang w:val="es-GT"/>
        </w:rPr>
        <w:t>y quinta semana en plan fin de semana.</w:t>
      </w:r>
    </w:p>
    <w:sectPr w:rsidR="00D96886" w:rsidRPr="00454290">
      <w:pgSz w:w="12240" w:h="15840"/>
      <w:pgMar w:top="1361" w:right="1588" w:bottom="1531" w:left="1588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9450B"/>
    <w:multiLevelType w:val="hybridMultilevel"/>
    <w:tmpl w:val="E20215C6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35023B"/>
    <w:multiLevelType w:val="multilevel"/>
    <w:tmpl w:val="8116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80785"/>
    <w:multiLevelType w:val="multilevel"/>
    <w:tmpl w:val="3C8657E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C7C424D"/>
    <w:multiLevelType w:val="hybridMultilevel"/>
    <w:tmpl w:val="6BA88784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1F4FC7"/>
    <w:multiLevelType w:val="multilevel"/>
    <w:tmpl w:val="AA16B5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90B2076"/>
    <w:multiLevelType w:val="hybridMultilevel"/>
    <w:tmpl w:val="1EAE77F6"/>
    <w:lvl w:ilvl="0" w:tplc="100A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6" w15:restartNumberingAfterBreak="0">
    <w:nsid w:val="47DA47A6"/>
    <w:multiLevelType w:val="hybridMultilevel"/>
    <w:tmpl w:val="C11CD1C6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8D601D6"/>
    <w:multiLevelType w:val="multilevel"/>
    <w:tmpl w:val="5B3EC3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C341B55"/>
    <w:multiLevelType w:val="multilevel"/>
    <w:tmpl w:val="7A48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CD5CEB"/>
    <w:multiLevelType w:val="multilevel"/>
    <w:tmpl w:val="C2C4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81F67"/>
    <w:multiLevelType w:val="multilevel"/>
    <w:tmpl w:val="B312565C"/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1" w15:restartNumberingAfterBreak="0">
    <w:nsid w:val="52553AB6"/>
    <w:multiLevelType w:val="hybridMultilevel"/>
    <w:tmpl w:val="23C6D3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BB036F"/>
    <w:multiLevelType w:val="hybridMultilevel"/>
    <w:tmpl w:val="9C8C269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06980"/>
    <w:multiLevelType w:val="multilevel"/>
    <w:tmpl w:val="49720A2E"/>
    <w:lvl w:ilvl="0">
      <w:numFmt w:val="bullet"/>
      <w:lvlText w:val=""/>
      <w:lvlJc w:val="left"/>
      <w:pPr>
        <w:tabs>
          <w:tab w:val="num" w:pos="0"/>
        </w:tabs>
        <w:ind w:left="37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9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5F45509"/>
    <w:multiLevelType w:val="hybridMultilevel"/>
    <w:tmpl w:val="10D2B6C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887616"/>
    <w:multiLevelType w:val="multilevel"/>
    <w:tmpl w:val="DCE4D4B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15"/>
  </w:num>
  <w:num w:numId="3">
    <w:abstractNumId w:val="10"/>
  </w:num>
  <w:num w:numId="4">
    <w:abstractNumId w:val="4"/>
  </w:num>
  <w:num w:numId="5">
    <w:abstractNumId w:val="2"/>
  </w:num>
  <w:num w:numId="6">
    <w:abstractNumId w:val="7"/>
  </w:num>
  <w:num w:numId="7">
    <w:abstractNumId w:val="9"/>
  </w:num>
  <w:num w:numId="8">
    <w:abstractNumId w:val="1"/>
  </w:num>
  <w:num w:numId="9">
    <w:abstractNumId w:val="8"/>
  </w:num>
  <w:num w:numId="10">
    <w:abstractNumId w:val="3"/>
  </w:num>
  <w:num w:numId="11">
    <w:abstractNumId w:val="6"/>
  </w:num>
  <w:num w:numId="12">
    <w:abstractNumId w:val="0"/>
  </w:num>
  <w:num w:numId="13">
    <w:abstractNumId w:val="14"/>
  </w:num>
  <w:num w:numId="14">
    <w:abstractNumId w:val="11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86"/>
    <w:rsid w:val="000268C3"/>
    <w:rsid w:val="00160D6A"/>
    <w:rsid w:val="001C368B"/>
    <w:rsid w:val="003E7687"/>
    <w:rsid w:val="00454290"/>
    <w:rsid w:val="004A5AC3"/>
    <w:rsid w:val="00543306"/>
    <w:rsid w:val="00593CF4"/>
    <w:rsid w:val="005F53C8"/>
    <w:rsid w:val="00635FBC"/>
    <w:rsid w:val="006D3075"/>
    <w:rsid w:val="00D96886"/>
    <w:rsid w:val="00E34F4F"/>
    <w:rsid w:val="00FF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D1DF5A"/>
  <w15:docId w15:val="{4824A84A-0F0B-44B5-AE7E-9C943258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5AC3"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D074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D307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 w:eastAsia="es-GT"/>
    </w:rPr>
  </w:style>
  <w:style w:type="character" w:styleId="Textoennegrita">
    <w:name w:val="Strong"/>
    <w:basedOn w:val="Fuentedeprrafopredeter"/>
    <w:uiPriority w:val="22"/>
    <w:qFormat/>
    <w:rsid w:val="006D307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3075"/>
    <w:rPr>
      <w:b/>
      <w:sz w:val="28"/>
      <w:szCs w:val="28"/>
    </w:rPr>
  </w:style>
  <w:style w:type="table" w:styleId="Tablaconcuadrcula">
    <w:name w:val="Table Grid"/>
    <w:basedOn w:val="Tablanormal"/>
    <w:uiPriority w:val="39"/>
    <w:rsid w:val="00593CF4"/>
    <w:pPr>
      <w:suppressAutoHyphens w:val="0"/>
    </w:pPr>
    <w:rPr>
      <w:rFonts w:asciiTheme="minorHAnsi" w:eastAsiaTheme="minorHAnsi" w:hAnsiTheme="minorHAnsi" w:cstheme="minorBidi"/>
      <w:sz w:val="20"/>
      <w:szCs w:val="20"/>
      <w:lang w:val="es-GT" w:eastAsia="es-G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3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1373</Words>
  <Characters>7554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Rodriguez Minas</dc:creator>
  <dc:description/>
  <cp:lastModifiedBy>JL</cp:lastModifiedBy>
  <cp:revision>8</cp:revision>
  <dcterms:created xsi:type="dcterms:W3CDTF">2024-09-16T20:15:00Z</dcterms:created>
  <dcterms:modified xsi:type="dcterms:W3CDTF">2024-09-16T21:03:00Z</dcterms:modified>
  <dc:language>es-GT</dc:language>
</cp:coreProperties>
</file>