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rId31.svg" ContentType="image/svg+xml"/>
  <Override PartName="/word/media/rId3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ETWordmark"/>
      </w:pPr>
      <w:r>
        <w:rPr>
          <w:rFonts w:ascii="Linux Libertine G" w:hAnsi="Linux Libertine G" w:eastAsia="Linux Libertine G" w:cs="Linux Libertine G"/>
          <w:color w:val="000000"/>
        </w:rPr>
        <w:t xml:space="preserve">INDEPENDENT RESEARCH</w:t>
      </w:r>
    </w:p>
    <w:p>
      <w:pPr>
        <w:pStyle w:val="FETDocumentType"/>
      </w:pPr>
      <w:r>
        <w:rPr>
          <w:rFonts w:ascii="Linux Libertine G" w:hAnsi="Linux Libertine G" w:eastAsia="Linux Libertine G" w:cs="Linux Libertine G"/>
          <w:color w:val="000000"/>
        </w:rPr>
        <w:t xml:space="preserve">INDEPENDENT RESEARCH PAPER</w:t>
      </w:r>
    </w:p>
    <w:p>
      <w:pPr>
        <w:pStyle w:val="Title"/>
      </w:pPr>
      <w:r>
        <w:rPr>
          <w:rFonts w:ascii="Linux Libertine G" w:hAnsi="Linux Libertine G" w:eastAsia="Linux Libertine G" w:cs="Linux Libertine G"/>
          <w:color w:val="000000"/>
        </w:rPr>
        <w:t xml:space="preserve">The Token Is Not the Financial Instrument</w:t>
      </w:r>
    </w:p>
    <w:p>
      <w:pPr>
        <w:pStyle w:val="Subtitle"/>
      </w:pPr>
      <w:r>
        <w:rPr>
          <w:rFonts w:ascii="Linux Libertine G" w:hAnsi="Linux Libertine G" w:eastAsia="Linux Libertine G" w:cs="Linux Libertine G"/>
          <w:color w:val="000000"/>
        </w:rPr>
        <w:t xml:space="preserve">Five Tokenized Funds, Five Record Architectures, and the Control Boundary Between Blockchain Transfer and Financial Ownership</w:t>
      </w:r>
    </w:p>
    <w:p>
      <w:pPr>
        <w:pStyle w:val="FETCoverMetadata"/>
      </w:pPr>
      <w:r>
        <w:rPr>
          <w:rFonts w:ascii="Linux Libertine G" w:hAnsi="Linux Libertine G" w:eastAsia="Linux Libertine G" w:cs="Linux Libertine G"/>
          <w:color w:val="000000"/>
        </w:rPr>
        <w:t xml:space="preserve">VERSION 1.0</w:t>
      </w:r>
      <w:r>
        <w:rPr>
          <w:rFonts w:ascii="Linux Libertine G" w:hAnsi="Linux Libertine G" w:eastAsia="Linux Libertine G" w:cs="Linux Libertine G"/>
          <w:color w:val="000000"/>
        </w:rPr>
        <w:br/>
      </w:r>
      <w:r>
        <w:rPr>
          <w:rFonts w:ascii="Linux Libertine G" w:hAnsi="Linux Libertine G" w:eastAsia="Linux Libertine G" w:cs="Linux Libertine G"/>
          <w:color w:val="000000"/>
        </w:rPr>
        <w:t xml:space="preserve">16 JULY 2026</w:t>
      </w:r>
      <w:r>
        <w:rPr>
          <w:rFonts w:ascii="Linux Libertine G" w:hAnsi="Linux Libertine G" w:eastAsia="Linux Libertine G" w:cs="Linux Libertine G"/>
          <w:color w:val="000000"/>
        </w:rPr>
        <w:br/>
      </w:r>
      <w:r>
        <w:rPr>
          <w:rFonts w:ascii="Linux Libertine G" w:hAnsi="Linux Libertine G" w:eastAsia="Linux Libertine G" w:cs="Linux Libertine G"/>
          <w:color w:val="000000"/>
        </w:rPr>
        <w:t xml:space="preserve">Darwin Rampai</w:t>
      </w:r>
    </w:p>
    <w:p>
      <w:pPr>
        <w:pStyle w:val="FETCoverStatement"/>
      </w:pPr>
      <w:r>
        <w:rPr>
          <w:rFonts w:ascii="Linux Libertine G" w:hAnsi="Linux Libertine G" w:eastAsia="Linux Libertine G" w:cs="Linux Libertine G"/>
          <w:color w:val="000000"/>
        </w:rPr>
        <w:t xml:space="preserve">A bounded, point-in-time study of five tokenized financial instruments and the records that determine ownership, transfer effectiveness, reconciliation, correction, and valuation. This paper does not provide a legal opinion, allege a control failure, authorize settlement, or recommend an investment.</w:t>
      </w:r>
    </w:p>
    <w:p>
      <w:r>
        <w:rPr>
          <w:rFonts w:ascii="Linux Libertine G" w:hAnsi="Linux Libertine G" w:eastAsia="Linux Libertine G" w:cs="Linux Libertine G"/>
          <w:color w:val="000000"/>
        </w:rPr>
        <w:br w:type="page"/>
      </w:r>
    </w:p>
    <w:bookmarkStart w:id="21" w:name="publication-note"/>
    <w:p>
      <w:pPr>
        <w:pStyle w:val="Heading1"/>
      </w:pPr>
      <w:r>
        <w:rPr>
          <w:rFonts w:ascii="Linux Libertine G" w:hAnsi="Linux Libertine G" w:eastAsia="Linux Libertine G" w:cs="Linux Libertine G"/>
          <w:color w:val="000000"/>
        </w:rPr>
        <w:t xml:space="preserve">Publication Note</w:t>
      </w:r>
    </w:p>
    <w:p>
      <w:pPr>
        <w:pStyle w:val="FirstParagraph"/>
      </w:pPr>
      <w:r>
        <w:rPr>
          <w:rFonts w:ascii="Linux Libertine G" w:hAnsi="Linux Libertine G" w:eastAsia="Linux Libertine G" w:cs="Linux Libertine G"/>
          <w:b/>
          <w:bCs/>
          <w:color w:val="000000"/>
        </w:rPr>
        <w:t xml:space="preserve">Citation: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Rampai, Darwin.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The Token Is Not the Financial Instrument</w:t>
      </w:r>
      <w:r>
        <w:rPr>
          <w:rFonts w:ascii="Linux Libertine G" w:hAnsi="Linux Libertine G" w:eastAsia="Linux Libertine G" w:cs="Linux Libertine G"/>
          <w:color w:val="000000"/>
        </w:rPr>
        <w:t xml:space="preserve">. Version 1.0.</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Class: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FET Public Research Note / PUBLIC / RELEASED</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Standard: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Independent Research Publication Standard 1.3</w:t>
      </w:r>
      <w:r>
        <w:rPr>
          <w:rFonts w:ascii="Linux Libertine G" w:hAnsi="Linux Libertine G" w:eastAsia="Linux Libertine G" w:cs="Linux Libertine G"/>
          <w:color w:val="000000"/>
        </w:rPr>
        <w:br/>
      </w:r>
      <w:r>
        <w:rPr>
          <w:rFonts w:ascii="Linux Libertine G" w:hAnsi="Linux Libertine G" w:eastAsia="Linux Libertine G" w:cs="Linux Libertine G"/>
          <w:b/>
          <w:bCs/>
          <w:color w:val="000000"/>
        </w:rPr>
        <w:t xml:space="preserve">Keywords: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tokenized financial instruments, financial reference integrity, authoritative ownership record, transfer effectiveness, reconciliation, tokenized funds, collateral controls</w:t>
      </w:r>
    </w:p>
    <w:p>
      <w:pPr>
        <w:pStyle w:val="BodyText"/>
      </w:pPr>
      <w:r>
        <w:rPr>
          <w:rFonts w:ascii="Linux Libertine G" w:hAnsi="Linux Libertine G" w:eastAsia="Linux Libertine G" w:cs="Linux Libertine G"/>
          <w:b/>
          <w:bCs/>
          <w:color w:val="000000"/>
        </w:rPr>
        <w:t xml:space="preserve">Source boundary.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Five SEC EDGAR primary architecture filings, one SEC withdrawal filing, one admitted Franklin Templeton regulatory supplement, and two official Franklin Templeton downstream-use announcements retrieved and normalized through 15 July 2026. Private transfer-agent, administrator, custodian, customer, and collateral records are excluded.</w:t>
      </w:r>
    </w:p>
    <w:p>
      <w:pPr>
        <w:pStyle w:val="BodyText"/>
      </w:pPr>
      <w:r>
        <w:rPr>
          <w:rFonts w:ascii="Linux Libertine G" w:hAnsi="Linux Libertine G" w:eastAsia="Linux Libertine G" w:cs="Linux Libertine G"/>
          <w:b/>
          <w:bCs/>
          <w:color w:val="000000"/>
        </w:rPr>
        <w:t xml:space="preserve">Rights.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Copyright Darwin Rampai 2026. Public reading, quotation, and citation of this paper and its bounded public evidence package are permitted with attribution. Redistribution of the complete maintained registry, controlled data, implementation, or commercial product use requires written permission.</w:t>
      </w:r>
    </w:p>
    <w:bookmarkEnd w:id="21"/>
    <w:bookmarkStart w:id="22" w:name="contents"/>
    <w:p>
      <w:pPr>
        <w:pStyle w:val="Heading1"/>
      </w:pPr>
      <w:r>
        <w:rPr>
          <w:rFonts w:ascii="Linux Libertine G" w:hAnsi="Linux Libertine G" w:eastAsia="Linux Libertine G" w:cs="Linux Libertine G"/>
          <w:color w:val="000000"/>
        </w:rPr>
        <w:t xml:space="preserve">Contents</w:t>
      </w:r>
    </w:p>
    <w:p>
      <w:pPr>
        <w:pStyle w:val="FETTOCEntry"/>
      </w:pPr>
      <w:r>
        <w:rPr>
          <w:rFonts w:ascii="Linux Libertine G" w:hAnsi="Linux Libertine G" w:eastAsia="Linux Libertine G" w:cs="Linux Libertine G"/>
          <w:color w:val="000000"/>
        </w:rPr>
        <w:t xml:space="preserve">Abstract</w:t>
      </w:r>
    </w:p>
    <w:p>
      <w:pPr>
        <w:pStyle w:val="Compact"/>
        <w:numPr>
          <w:ilvl w:val="0"/>
          <w:numId w:val="1001"/>
        </w:numPr>
      </w:pPr>
      <w:r>
        <w:rPr>
          <w:rFonts w:ascii="Linux Libertine G" w:hAnsi="Linux Libertine G" w:eastAsia="Linux Libertine G" w:cs="Linux Libertine G"/>
          <w:color w:val="000000"/>
        </w:rPr>
        <w:t xml:space="preserve">Research Context</w:t>
      </w:r>
    </w:p>
    <w:p>
      <w:pPr>
        <w:pStyle w:val="Compact"/>
        <w:numPr>
          <w:ilvl w:val="0"/>
          <w:numId w:val="1002"/>
        </w:numPr>
      </w:pPr>
      <w:r>
        <w:rPr>
          <w:rFonts w:ascii="Linux Libertine G" w:hAnsi="Linux Libertine G" w:eastAsia="Linux Libertine G" w:cs="Linux Libertine G"/>
          <w:color w:val="000000"/>
        </w:rPr>
        <w:t xml:space="preserve">The Representation Error</w:t>
      </w:r>
    </w:p>
    <w:p>
      <w:pPr>
        <w:pStyle w:val="Compact"/>
        <w:numPr>
          <w:ilvl w:val="0"/>
          <w:numId w:val="1003"/>
        </w:numPr>
      </w:pPr>
      <w:r>
        <w:rPr>
          <w:rFonts w:ascii="Linux Libertine G" w:hAnsi="Linux Libertine G" w:eastAsia="Linux Libertine G" w:cs="Linux Libertine G"/>
          <w:color w:val="000000"/>
        </w:rPr>
        <w:t xml:space="preserve">Method</w:t>
      </w:r>
    </w:p>
    <w:p>
      <w:pPr>
        <w:pStyle w:val="Compact"/>
        <w:numPr>
          <w:ilvl w:val="0"/>
          <w:numId w:val="1004"/>
        </w:numPr>
      </w:pPr>
      <w:r>
        <w:rPr>
          <w:rFonts w:ascii="Linux Libertine G" w:hAnsi="Linux Libertine G" w:eastAsia="Linux Libertine G" w:cs="Linux Libertine G"/>
          <w:color w:val="000000"/>
        </w:rPr>
        <w:t xml:space="preserve">Findings</w:t>
      </w:r>
    </w:p>
    <w:p>
      <w:pPr>
        <w:pStyle w:val="Compact"/>
        <w:numPr>
          <w:ilvl w:val="0"/>
          <w:numId w:val="1005"/>
        </w:numPr>
      </w:pPr>
      <w:r>
        <w:rPr>
          <w:rFonts w:ascii="Linux Libertine G" w:hAnsi="Linux Libertine G" w:eastAsia="Linux Libertine G" w:cs="Linux Libertine G"/>
          <w:color w:val="000000"/>
        </w:rPr>
        <w:t xml:space="preserve">The Financial Consequence</w:t>
      </w:r>
    </w:p>
    <w:p>
      <w:pPr>
        <w:pStyle w:val="Compact"/>
        <w:numPr>
          <w:ilvl w:val="0"/>
          <w:numId w:val="1006"/>
        </w:numPr>
      </w:pPr>
      <w:r>
        <w:rPr>
          <w:rFonts w:ascii="Linux Libertine G" w:hAnsi="Linux Libertine G" w:eastAsia="Linux Libertine G" w:cs="Linux Libertine G"/>
          <w:color w:val="000000"/>
        </w:rPr>
        <w:t xml:space="preserve">A Financial Instrument Integrity Record</w:t>
      </w:r>
    </w:p>
    <w:p>
      <w:pPr>
        <w:pStyle w:val="Compact"/>
        <w:numPr>
          <w:ilvl w:val="0"/>
          <w:numId w:val="1007"/>
        </w:numPr>
      </w:pPr>
      <w:r>
        <w:rPr>
          <w:rFonts w:ascii="Linux Libertine G" w:hAnsi="Linux Libertine G" w:eastAsia="Linux Libertine G" w:cs="Linux Libertine G"/>
          <w:color w:val="000000"/>
        </w:rPr>
        <w:t xml:space="preserve">Implications</w:t>
      </w:r>
    </w:p>
    <w:p>
      <w:pPr>
        <w:pStyle w:val="Compact"/>
        <w:numPr>
          <w:ilvl w:val="0"/>
          <w:numId w:val="1008"/>
        </w:numPr>
      </w:pPr>
      <w:r>
        <w:rPr>
          <w:rFonts w:ascii="Linux Libertine G" w:hAnsi="Linux Libertine G" w:eastAsia="Linux Libertine G" w:cs="Linux Libertine G"/>
          <w:color w:val="000000"/>
        </w:rPr>
        <w:t xml:space="preserve">Limitations</w:t>
      </w:r>
    </w:p>
    <w:p>
      <w:pPr>
        <w:pStyle w:val="Compact"/>
        <w:numPr>
          <w:ilvl w:val="0"/>
          <w:numId w:val="1009"/>
        </w:numPr>
      </w:pPr>
      <w:r>
        <w:rPr>
          <w:rFonts w:ascii="Linux Libertine G" w:hAnsi="Linux Libertine G" w:eastAsia="Linux Libertine G" w:cs="Linux Libertine G"/>
          <w:color w:val="000000"/>
        </w:rPr>
        <w:t xml:space="preserve">What This Note Does Not Claim</w:t>
      </w:r>
    </w:p>
    <w:p>
      <w:pPr>
        <w:pStyle w:val="Compact"/>
        <w:numPr>
          <w:ilvl w:val="0"/>
          <w:numId w:val="1010"/>
        </w:numPr>
      </w:pPr>
      <w:r>
        <w:rPr>
          <w:rFonts w:ascii="Linux Libertine G" w:hAnsi="Linux Libertine G" w:eastAsia="Linux Libertine G" w:cs="Linux Libertine G"/>
          <w:color w:val="000000"/>
        </w:rPr>
        <w:t xml:space="preserve">Conclusion</w:t>
      </w:r>
    </w:p>
    <w:p>
      <w:pPr>
        <w:pStyle w:val="FETTOCEntry"/>
      </w:pPr>
      <w:r>
        <w:rPr>
          <w:rFonts w:ascii="Linux Libertine G" w:hAnsi="Linux Libertine G" w:eastAsia="Linux Libertine G" w:cs="Linux Libertine G"/>
          <w:color w:val="000000"/>
        </w:rPr>
        <w:t xml:space="preserve">References</w:t>
      </w:r>
    </w:p>
    <w:p>
      <w:pPr>
        <w:pStyle w:val="FETTOCEntry"/>
      </w:pPr>
      <w:r>
        <w:rPr>
          <w:rFonts w:ascii="Linux Libertine G" w:hAnsi="Linux Libertine G" w:eastAsia="Linux Libertine G" w:cs="Linux Libertine G"/>
          <w:color w:val="000000"/>
        </w:rPr>
        <w:t xml:space="preserve">Data And Artifact Availability</w:t>
      </w:r>
    </w:p>
    <w:p>
      <w:pPr>
        <w:pStyle w:val="FETTOCEntry"/>
      </w:pPr>
      <w:r>
        <w:rPr>
          <w:rFonts w:ascii="Linux Libertine G" w:hAnsi="Linux Libertine G" w:eastAsia="Linux Libertine G" w:cs="Linux Libertine G"/>
          <w:color w:val="000000"/>
        </w:rPr>
        <w:t xml:space="preserve">Conflicts And Funding</w:t>
      </w:r>
    </w:p>
    <w:p>
      <w:r>
        <w:rPr>
          <w:rFonts w:ascii="Linux Libertine G" w:hAnsi="Linux Libertine G" w:eastAsia="Linux Libertine G" w:cs="Linux Libertine G"/>
          <w:color w:val="000000"/>
        </w:rPr>
        <w:br w:type="page"/>
      </w:r>
    </w:p>
    <w:bookmarkEnd w:id="22"/>
    <w:bookmarkStart w:id="23" w:name="abstract"/>
    <w:p>
      <w:pPr>
        <w:pStyle w:val="Heading1"/>
      </w:pPr>
      <w:r>
        <w:rPr>
          <w:rFonts w:ascii="Linux Libertine G" w:hAnsi="Linux Libertine G" w:eastAsia="Linux Libertine G" w:cs="Linux Libertine G"/>
          <w:color w:val="000000"/>
        </w:rPr>
        <w:t xml:space="preserve">Abstract</w:t>
      </w:r>
    </w:p>
    <w:p>
      <w:pPr>
        <w:pStyle w:val="FirstParagraph"/>
      </w:pPr>
      <w:r>
        <w:rPr>
          <w:rFonts w:ascii="Linux Libertine G" w:hAnsi="Linux Libertine G" w:eastAsia="Linux Libertine G" w:cs="Linux Libertine G"/>
          <w:color w:val="000000"/>
        </w:rPr>
        <w:t xml:space="preserve">A token balance does not, by itself, identify the financial instrument,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that governs ownership, the event that makes a transfer effective,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process that corrects a divergence. This paper tests that proposition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against five United States primary filings covering tokenized money-market-fund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and gold-fund shares. The filings disclose five distinct record architectures: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 transfer-agent blockchain-integrated official record; a blockchain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instruction with an offchain authoritative register; a unified transfer-agent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with blockchain components; a joint designated-blockchain and offchain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identity register; and an offchain authoritative register with a supplementary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blockchain. The controlled registry contains 44 direct observations, 28 bounded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interpretations, and eight explicit Unknown fields. A separate Franklin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Templeton evidence chain connects the record problem to an active financial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workflow: issuer-reported BENJI peer-to-peer transfers above USD 211 million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 live institutional collateral program for Benji-issued tokenized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money-market-fund shares. The evidence establishes platform-level financial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consequence, not exact fund exposure or control failure. The contribution is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reproducible integrity record that keeps token form, financial object,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authoritative record, transfer boundary, reconciliation, correction, valuation,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downstream use, and Unknowns separate.</w:t>
      </w:r>
    </w:p>
    <w:p>
      <w:pPr>
        <w:pStyle w:val="BodyText"/>
      </w:pPr>
      <w:r>
        <w:rPr>
          <w:rFonts w:ascii="Linux Libertine G" w:hAnsi="Linux Libertine G" w:eastAsia="Linux Libertine G" w:cs="Linux Libertine G"/>
          <w:b/>
          <w:bCs/>
          <w:color w:val="000000"/>
        </w:rPr>
        <w:t xml:space="preserve">Principal finding.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Within the five filings, similar tokenized-share forms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do not establish equivalent ownership, transfer-effectiveness, reconciliation,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or correction architectures. The token is one component of the financial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It is not sufficient evidence of the complete financial instrument.</w:t>
      </w:r>
    </w:p>
    <w:bookmarkEnd w:id="23"/>
    <w:bookmarkStart w:id="24" w:name="research-context"/>
    <w:p>
      <w:pPr>
        <w:pStyle w:val="Heading1"/>
      </w:pPr>
      <w:r>
        <w:rPr>
          <w:rFonts w:ascii="Linux Libertine G" w:hAnsi="Linux Libertine G" w:eastAsia="Linux Libertine G" w:cs="Linux Libertine G"/>
          <w:color w:val="000000"/>
        </w:rPr>
        <w:t xml:space="preserve">1. Research Context</w:t>
      </w:r>
    </w:p>
    <w:p>
      <w:pPr>
        <w:pStyle w:val="FirstParagraph"/>
      </w:pPr>
      <w:r>
        <w:rPr>
          <w:rFonts w:ascii="Linux Libertine G" w:hAnsi="Linux Libertine G" w:eastAsia="Linux Libertine G" w:cs="Linux Libertine G"/>
          <w:color w:val="000000"/>
        </w:rPr>
        <w:t xml:space="preserve">Tokenization compresses a complex financial instrument into a visible digital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object. A wallet shows a token. A block explorer shows a transfer. A contract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shows a balance. Those observations are useful, but they do not answer every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question required for ownership, valuation, collateral, accounting, custody,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or correction.</w:t>
      </w:r>
    </w:p>
    <w:p>
      <w:pPr>
        <w:pStyle w:val="BodyText"/>
      </w:pPr>
      <w:r>
        <w:rPr>
          <w:rFonts w:ascii="Linux Libertine G" w:hAnsi="Linux Libertine G" w:eastAsia="Linux Libertine G" w:cs="Linux Libertine G"/>
          <w:color w:val="000000"/>
        </w:rPr>
        <w:t xml:space="preserve">The missing questions are operational rather than philosophical:</w:t>
      </w:r>
    </w:p>
    <w:p>
      <w:pPr>
        <w:pStyle w:val="Compact"/>
        <w:numPr>
          <w:ilvl w:val="0"/>
          <w:numId w:val="1011"/>
        </w:numPr>
      </w:pPr>
      <w:r>
        <w:rPr>
          <w:rFonts w:ascii="Linux Libertine G" w:hAnsi="Linux Libertine G" w:eastAsia="Linux Libertine G" w:cs="Linux Libertine G"/>
          <w:color w:val="000000"/>
        </w:rPr>
        <w:t xml:space="preserve">Which record is authoritative when a blockchain and an offchain register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differ?</w:t>
      </w:r>
    </w:p>
    <w:p>
      <w:pPr>
        <w:pStyle w:val="Compact"/>
        <w:numPr>
          <w:ilvl w:val="0"/>
          <w:numId w:val="1011"/>
        </w:numPr>
      </w:pPr>
      <w:r>
        <w:rPr>
          <w:rFonts w:ascii="Linux Libertine G" w:hAnsi="Linux Libertine G" w:eastAsia="Linux Libertine G" w:cs="Linux Libertine G"/>
          <w:color w:val="000000"/>
        </w:rPr>
        <w:t xml:space="preserve">Does a blockchain transaction transfer ownership, submit an instruction,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update only a supplementary representation?</w:t>
      </w:r>
    </w:p>
    <w:p>
      <w:pPr>
        <w:pStyle w:val="Compact"/>
        <w:numPr>
          <w:ilvl w:val="0"/>
          <w:numId w:val="1011"/>
        </w:numPr>
      </w:pPr>
      <w:r>
        <w:rPr>
          <w:rFonts w:ascii="Linux Libertine G" w:hAnsi="Linux Libertine G" w:eastAsia="Linux Libertine G" w:cs="Linux Libertine G"/>
          <w:color w:val="000000"/>
        </w:rPr>
        <w:t xml:space="preserve">When does the ownership change become effective?</w:t>
      </w:r>
    </w:p>
    <w:p>
      <w:pPr>
        <w:pStyle w:val="Compact"/>
        <w:numPr>
          <w:ilvl w:val="0"/>
          <w:numId w:val="1011"/>
        </w:numPr>
      </w:pPr>
      <w:r>
        <w:rPr>
          <w:rFonts w:ascii="Linux Libertine G" w:hAnsi="Linux Libertine G" w:eastAsia="Linux Libertine G" w:cs="Linux Libertine G"/>
          <w:color w:val="000000"/>
        </w:rPr>
        <w:t xml:space="preserve">Which actor may reject, reverse, claw back, burn, mint, or correct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w:t>
      </w:r>
    </w:p>
    <w:p>
      <w:pPr>
        <w:pStyle w:val="Compact"/>
        <w:numPr>
          <w:ilvl w:val="0"/>
          <w:numId w:val="1011"/>
        </w:numPr>
      </w:pPr>
      <w:r>
        <w:rPr>
          <w:rFonts w:ascii="Linux Libertine G" w:hAnsi="Linux Libertine G" w:eastAsia="Linux Libertine G" w:cs="Linux Libertine G"/>
          <w:color w:val="000000"/>
        </w:rPr>
        <w:t xml:space="preserve">How and when are blockchain and offchain representations reconciled?</w:t>
      </w:r>
    </w:p>
    <w:p>
      <w:pPr>
        <w:pStyle w:val="Compact"/>
        <w:numPr>
          <w:ilvl w:val="0"/>
          <w:numId w:val="1011"/>
        </w:numPr>
      </w:pPr>
      <w:r>
        <w:rPr>
          <w:rFonts w:ascii="Linux Libertine G" w:hAnsi="Linux Libertine G" w:eastAsia="Linux Libertine G" w:cs="Linux Libertine G"/>
          <w:color w:val="000000"/>
        </w:rPr>
        <w:t xml:space="preserve">Which valuation clock controls a downstream financial use?</w:t>
      </w:r>
    </w:p>
    <w:p>
      <w:pPr>
        <w:pStyle w:val="Compact"/>
        <w:numPr>
          <w:ilvl w:val="0"/>
          <w:numId w:val="1011"/>
        </w:numPr>
      </w:pPr>
      <w:r>
        <w:rPr>
          <w:rFonts w:ascii="Linux Libertine G" w:hAnsi="Linux Libertine G" w:eastAsia="Linux Libertine G" w:cs="Linux Libertine G"/>
          <w:color w:val="000000"/>
        </w:rPr>
        <w:t xml:space="preserve">What happens when a correction does not propagate to custody, collateral,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accounting, or settlement systems?</w:t>
      </w:r>
    </w:p>
    <w:p>
      <w:pPr>
        <w:pStyle w:val="FirstParagraph"/>
      </w:pPr>
      <w:r>
        <w:rPr>
          <w:rFonts w:ascii="Linux Libertine G" w:hAnsi="Linux Libertine G" w:eastAsia="Linux Libertine G" w:cs="Linux Libertine G"/>
          <w:color w:val="000000"/>
        </w:rPr>
        <w:t xml:space="preserve">These questions cannot be answered from token form alone. They require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instrument’s source-native record architecture.</w:t>
      </w:r>
    </w:p>
    <w:p>
      <w:pPr>
        <w:pStyle w:val="BodyText"/>
      </w:pPr>
      <w:r>
        <w:rPr>
          <w:rFonts w:ascii="Linux Libertine G" w:hAnsi="Linux Libertine G" w:eastAsia="Linux Libertine G" w:cs="Linux Libertine G"/>
          <w:color w:val="000000"/>
        </w:rPr>
        <w:t xml:space="preserve">This study does not claim that tokenization is defective. It tests a narrower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problem: whether five instruments that can all be described publicly as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tokenized shares use the same ownership and control system. They do not.</w:t>
      </w:r>
    </w:p>
    <w:bookmarkEnd w:id="24"/>
    <w:bookmarkStart w:id="25" w:name="the-representation-error"/>
    <w:p>
      <w:pPr>
        <w:pStyle w:val="Heading1"/>
      </w:pPr>
      <w:r>
        <w:rPr>
          <w:rFonts w:ascii="Linux Libertine G" w:hAnsi="Linux Libertine G" w:eastAsia="Linux Libertine G" w:cs="Linux Libertine G"/>
          <w:color w:val="000000"/>
        </w:rPr>
        <w:t xml:space="preserve">2. The Representation Error</w:t>
      </w:r>
    </w:p>
    <w:p>
      <w:pPr>
        <w:pStyle w:val="FirstParagraph"/>
      </w:pPr>
      <w:r>
        <w:rPr>
          <w:rFonts w:ascii="Linux Libertine G" w:hAnsi="Linux Libertine G" w:eastAsia="Linux Libertine G" w:cs="Linux Libertine G"/>
          <w:color w:val="000000"/>
        </w:rPr>
        <w:t xml:space="preserve">The recurring representation error is simple:</w:t>
      </w:r>
    </w:p>
    <w:p>
      <w:pPr>
        <w:pStyle w:val="BlockText"/>
      </w:pPr>
      <w:r>
        <w:rPr>
          <w:rFonts w:ascii="Linux Libertine G" w:hAnsi="Linux Libertine G" w:eastAsia="Linux Libertine G" w:cs="Linux Libertine G"/>
          <w:color w:val="000000"/>
        </w:rPr>
        <w:t xml:space="preserve">blockchain token observed -&gt; financial instrument understood</w:t>
      </w:r>
    </w:p>
    <w:p>
      <w:pPr>
        <w:pStyle w:val="FirstParagraph"/>
      </w:pPr>
      <w:r>
        <w:rPr>
          <w:rFonts w:ascii="Linux Libertine G" w:hAnsi="Linux Libertine G" w:eastAsia="Linux Libertine G" w:cs="Linux Libertine G"/>
          <w:color w:val="000000"/>
        </w:rPr>
        <w:t xml:space="preserve">The first statement may be true while the second remains unproved. A token can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operate as an official record component, an instruction to a transfer agent,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joint register component, or a supplementary mirror. The same visible token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form can therefore carry different financial meaning.</w:t>
      </w:r>
    </w:p>
    <w:p>
      <w:pPr>
        <w:pStyle w:val="BodyText"/>
      </w:pPr>
      <w:r>
        <w:rPr>
          <w:rFonts w:ascii="Linux Libertine G" w:hAnsi="Linux Libertine G" w:eastAsia="Linux Libertine G" w:cs="Linux Libertine G"/>
          <w:color w:val="000000"/>
        </w:rPr>
        <w:t xml:space="preserve">The relevant distinction is not onchain versus offchain. It is authoritative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versus non-authoritative, effective versus instructive, reconciled versus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unreconciled, and current versus stale. A financial user needs the complete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chain, not merely the most visible component.</w:t>
      </w:r>
    </w:p>
    <w:p>
      <w:pPr>
        <w:pStyle w:val="BodyText"/>
      </w:pPr>
      <w:r>
        <w:rPr>
          <w:rFonts w:ascii="Linux Libertine G" w:hAnsi="Linux Libertine G" w:eastAsia="Linux Libertine G" w:cs="Linux Libertine G"/>
          <w:color w:val="000000"/>
        </w:rPr>
        <w:t xml:space="preserve">This matters to more than fund administration. A custodian must know which</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proves the asset held. A collateral controller must know when a transfer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or correction changes eligible collateral. An accountant must know which</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position controls the books. A risk engine must know which time boundary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valuation input apply. A data provider must avoid normalizing different native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meanings into one false category.</w:t>
      </w:r>
    </w:p>
    <w:bookmarkEnd w:id="25"/>
    <w:bookmarkStart w:id="30" w:name="method"/>
    <w:p>
      <w:pPr>
        <w:pStyle w:val="Heading1"/>
      </w:pPr>
      <w:r>
        <w:rPr>
          <w:rFonts w:ascii="Linux Libertine G" w:hAnsi="Linux Libertine G" w:eastAsia="Linux Libertine G" w:cs="Linux Libertine G"/>
          <w:color w:val="000000"/>
        </w:rPr>
        <w:t xml:space="preserve">3. Method</w:t>
      </w:r>
    </w:p>
    <w:bookmarkStart w:id="26" w:name="subject-selection"/>
    <w:p>
      <w:pPr>
        <w:pStyle w:val="Heading2"/>
      </w:pPr>
      <w:r>
        <w:rPr>
          <w:rFonts w:ascii="Linux Libertine G" w:hAnsi="Linux Libertine G" w:eastAsia="Linux Libertine G" w:cs="Linux Libertine G"/>
          <w:color w:val="000000"/>
        </w:rPr>
        <w:t xml:space="preserve">3.1 Subject selection</w:t>
      </w:r>
    </w:p>
    <w:p>
      <w:pPr>
        <w:pStyle w:val="FirstParagraph"/>
      </w:pPr>
      <w:r>
        <w:rPr>
          <w:rFonts w:ascii="Linux Libertine G" w:hAnsi="Linux Libertine G" w:eastAsia="Linux Libertine G" w:cs="Linux Libertine G"/>
          <w:color w:val="000000"/>
        </w:rPr>
        <w:t xml:space="preserve">The study uses five primary filings selected for record-architecture diversity,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not statistical representativeness:</w:t>
      </w:r>
    </w:p>
    <w:p>
      <w:pPr>
        <w:pStyle w:val="Compact"/>
        <w:numPr>
          <w:ilvl w:val="0"/>
          <w:numId w:val="1012"/>
        </w:numPr>
      </w:pPr>
      <w:r>
        <w:rPr>
          <w:rFonts w:ascii="Linux Libertine G" w:hAnsi="Linux Libertine G" w:eastAsia="Linux Libertine G" w:cs="Linux Libertine G"/>
          <w:color w:val="000000"/>
        </w:rPr>
        <w:t xml:space="preserve">Franklin OnChain U.S. Government Money Fund;</w:t>
      </w:r>
    </w:p>
    <w:p>
      <w:pPr>
        <w:pStyle w:val="Compact"/>
        <w:numPr>
          <w:ilvl w:val="0"/>
          <w:numId w:val="1012"/>
        </w:numPr>
      </w:pPr>
      <w:r>
        <w:rPr>
          <w:rFonts w:ascii="Linux Libertine G" w:hAnsi="Linux Libertine G" w:eastAsia="Linux Libertine G" w:cs="Linux Libertine G"/>
          <w:color w:val="000000"/>
        </w:rPr>
        <w:t xml:space="preserve">JPMorgan OnChain Liquidity-Token Money Market Fund;</w:t>
      </w:r>
    </w:p>
    <w:p>
      <w:pPr>
        <w:pStyle w:val="Compact"/>
        <w:numPr>
          <w:ilvl w:val="0"/>
          <w:numId w:val="1012"/>
        </w:numPr>
      </w:pPr>
      <w:r>
        <w:rPr>
          <w:rFonts w:ascii="Linux Libertine G" w:hAnsi="Linux Libertine G" w:eastAsia="Linux Libertine G" w:cs="Linux Libertine G"/>
          <w:color w:val="000000"/>
        </w:rPr>
        <w:t xml:space="preserve">Superstate USTB Money Market Fund;</w:t>
      </w:r>
    </w:p>
    <w:p>
      <w:pPr>
        <w:pStyle w:val="Compact"/>
        <w:numPr>
          <w:ilvl w:val="0"/>
          <w:numId w:val="1012"/>
        </w:numPr>
      </w:pPr>
      <w:r>
        <w:rPr>
          <w:rFonts w:ascii="Linux Libertine G" w:hAnsi="Linux Libertine G" w:eastAsia="Linux Libertine G" w:cs="Linux Libertine G"/>
          <w:color w:val="000000"/>
        </w:rPr>
        <w:t xml:space="preserve">Invesco Stablecoin Reserves Onchain Fund; and</w:t>
      </w:r>
    </w:p>
    <w:p>
      <w:pPr>
        <w:pStyle w:val="Compact"/>
        <w:numPr>
          <w:ilvl w:val="0"/>
          <w:numId w:val="1012"/>
        </w:numPr>
      </w:pPr>
      <w:r>
        <w:rPr>
          <w:rFonts w:ascii="Linux Libertine G" w:hAnsi="Linux Libertine G" w:eastAsia="Linux Libertine G" w:cs="Linux Libertine G"/>
          <w:color w:val="000000"/>
        </w:rPr>
        <w:t xml:space="preserve">HSBC Hybrid Gold ETF.</w:t>
      </w:r>
    </w:p>
    <w:p>
      <w:pPr>
        <w:pStyle w:val="FirstParagraph"/>
      </w:pPr>
      <w:r>
        <w:rPr>
          <w:rFonts w:ascii="Linux Libertine G" w:hAnsi="Linux Libertine G" w:eastAsia="Linux Libertine G" w:cs="Linux Libertine G"/>
          <w:color w:val="000000"/>
        </w:rPr>
        <w:t xml:space="preserve">The sample spans registered money-market funds, a tokenized stablecoin-reserve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fund structure, and a proposed hybrid gold ETF. It is bounded to the filing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versions cited in the references.</w:t>
      </w:r>
    </w:p>
    <w:bookmarkEnd w:id="26"/>
    <w:bookmarkStart w:id="27" w:name="canonical-record-contract"/>
    <w:p>
      <w:pPr>
        <w:pStyle w:val="Heading2"/>
      </w:pPr>
      <w:r>
        <w:rPr>
          <w:rFonts w:ascii="Linux Libertine G" w:hAnsi="Linux Libertine G" w:eastAsia="Linux Libertine G" w:cs="Linux Libertine G"/>
          <w:color w:val="000000"/>
        </w:rPr>
        <w:t xml:space="preserve">3.2 Canonical record contract</w:t>
      </w:r>
    </w:p>
    <w:p>
      <w:pPr>
        <w:pStyle w:val="FirstParagraph"/>
      </w:pPr>
      <w:r>
        <w:rPr>
          <w:rFonts w:ascii="Linux Libertine G" w:hAnsi="Linux Libertine G" w:eastAsia="Linux Libertine G" w:cs="Linux Libertine G"/>
          <w:color w:val="000000"/>
        </w:rPr>
        <w:t xml:space="preserve">Each instrument is represented through the same 16 evidence-bearing fields:</w:t>
      </w:r>
    </w:p>
    <w:tbl>
      <w:tblPr>
        <w:tblStyle w:val="Table"/>
        <w:tblW w:type="pct" w:w="5000"/>
        <w:jc w:val="center"/>
        <w:tblLayout w:type="autofit"/>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960"/>
        <w:gridCol w:w="3960"/>
      </w:tblGrid>
      <w:tr>
        <w:trPr>
          <w:tblHeader w:val="on"/>
          <w:cantSplit w:val="true"/>
          <w:tblHeader w:val="true"/>
        </w:trPr>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Record domain</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Required content</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Identity</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source-native instrument and registrant</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Authority</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authoritative record, record keeper, administrator powers</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Transfer</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chain role, transfer-effective event, processing calendar</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Access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wallet and holder eligibility</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Integrity</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reconciliation and correction hierarchy</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Valuation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valuation clock and calculation applicability</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Scope</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coverage, reproducibility, downstream use, and rights</w:t>
            </w:r>
          </w:p>
        </w:tc>
      </w:tr>
    </w:tbl>
    <w:p>
      <w:pPr>
        <w:pStyle w:val="BodyText"/>
      </w:pPr>
      <w:r>
        <w:rPr>
          <w:rFonts w:ascii="Linux Libertine G" w:hAnsi="Linux Libertine G" w:eastAsia="Linux Libertine G" w:cs="Linux Libertine G"/>
          <w:color w:val="000000"/>
        </w:rPr>
        <w:t xml:space="preserve">Every field carries a value, evidence status, source identifier, source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locator, confidence, and notes. The accepted evidence statuses are</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OBSERVATION</w:t>
      </w:r>
      <w:r>
        <w:rPr>
          <w:rFonts w:ascii="Linux Libertine G" w:hAnsi="Linux Libertine G" w:eastAsia="Linux Libertine G" w:cs="Linux Libertine G"/>
          <w:color w:val="000000"/>
        </w:rPr>
        <w:t xml:space="preserve">,</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BOUNDED_INTERPRETATION</w:t>
      </w:r>
      <w:r>
        <w:rPr>
          <w:rFonts w:ascii="Linux Libertine G" w:hAnsi="Linux Libertine G" w:eastAsia="Linux Libertine G" w:cs="Linux Libertine G"/>
          <w:color w:val="000000"/>
        </w:rPr>
        <w:t xml:space="preserve">,</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INFERENCE</w:t>
      </w:r>
      <w:r>
        <w:rPr>
          <w:rFonts w:ascii="Linux Libertine G" w:hAnsi="Linux Libertine G" w:eastAsia="Linux Libertine G" w:cs="Linux Libertine G"/>
          <w:color w:val="000000"/>
        </w:rPr>
        <w:t xml:space="preserve">, and</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UNKNOWN</w:t>
      </w:r>
      <w:r>
        <w:rPr>
          <w:rFonts w:ascii="Linux Libertine G" w:hAnsi="Linux Libertine G" w:eastAsia="Linux Libertine G" w:cs="Linux Libertine G"/>
          <w:color w:val="000000"/>
        </w:rPr>
        <w:t xml:space="preserve">. An Unknown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cannot carry an asserted value.</w:t>
      </w:r>
    </w:p>
    <w:bookmarkEnd w:id="27"/>
    <w:bookmarkStart w:id="28" w:name="source-and-rights-boundary"/>
    <w:p>
      <w:pPr>
        <w:pStyle w:val="Heading2"/>
      </w:pPr>
      <w:r>
        <w:rPr>
          <w:rFonts w:ascii="Linux Libertine G" w:hAnsi="Linux Libertine G" w:eastAsia="Linux Libertine G" w:cs="Linux Libertine G"/>
          <w:color w:val="000000"/>
        </w:rPr>
        <w:t xml:space="preserve">3.3 Source and rights boundary</w:t>
      </w:r>
    </w:p>
    <w:p>
      <w:pPr>
        <w:pStyle w:val="FirstParagraph"/>
      </w:pPr>
      <w:r>
        <w:rPr>
          <w:rFonts w:ascii="Linux Libertine G" w:hAnsi="Linux Libertine G" w:eastAsia="Linux Libertine G" w:cs="Linux Libertine G"/>
          <w:color w:val="000000"/>
        </w:rPr>
        <w:t xml:space="preserve">The core sample uses five SEC EDGAR filings and one admitted Franklin Templeton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regulatory supplement. The SEC states that information on sec.gov is public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may be copied or further distributed without separate SEC permission, subject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 attribution and restrictions on marks and implied approval (SEC 2026).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public unit is FET-created structure, classification, and bounded quotation. It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is not a repackaged source archive. The issuer-hosted supplement is cited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normalized, not redistributed.</w:t>
      </w:r>
    </w:p>
    <w:p>
      <w:pPr>
        <w:pStyle w:val="BodyText"/>
      </w:pPr>
      <w:r>
        <w:rPr>
          <w:rFonts w:ascii="Linux Libertine G" w:hAnsi="Linux Libertine G" w:eastAsia="Linux Libertine G" w:cs="Linux Libertine G"/>
          <w:color w:val="000000"/>
        </w:rPr>
        <w:t xml:space="preserve">Two official Franklin Templeton announcements support the downstream-use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analysis. Those sources are cited and normalized, but not redistributed. No</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private transfer-agent workpapers, customer records, custodian positions,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collateral balances, or legal opinions are included.</w:t>
      </w:r>
    </w:p>
    <w:p>
      <w:pPr>
        <w:pStyle w:val="BodyText"/>
      </w:pPr>
      <w:r>
        <w:rPr>
          <w:rFonts w:ascii="Linux Libertine G" w:hAnsi="Linux Libertine G" w:eastAsia="Linux Libertine G" w:cs="Linux Libertine G"/>
          <w:color w:val="000000"/>
        </w:rPr>
        <w:t xml:space="preserve">The Invesco architecture is bound to the 9 July 2026 replacement filing.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same-day withdrawal filing identifies the earlier amendment as withdrawn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states that no securities were issued or sold under the withdrawn amendments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(Short-Term Investments Trust 2026a, 2026b). The study therefore treats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fund as a proposed architecture and does not claim live issuance or use.</w:t>
      </w:r>
    </w:p>
    <w:bookmarkEnd w:id="28"/>
    <w:bookmarkStart w:id="29" w:name="validation"/>
    <w:p>
      <w:pPr>
        <w:pStyle w:val="Heading2"/>
      </w:pPr>
      <w:r>
        <w:rPr>
          <w:rFonts w:ascii="Linux Libertine G" w:hAnsi="Linux Libertine G" w:eastAsia="Linux Libertine G" w:cs="Linux Libertine G"/>
          <w:color w:val="000000"/>
        </w:rPr>
        <w:t xml:space="preserve">3.4 Validation</w:t>
      </w:r>
    </w:p>
    <w:p>
      <w:pPr>
        <w:pStyle w:val="FirstParagraph"/>
      </w:pPr>
      <w:r>
        <w:rPr>
          <w:rFonts w:ascii="Linux Libertine G" w:hAnsi="Linux Libertine G" w:eastAsia="Linux Libertine G" w:cs="Linux Libertine G"/>
          <w:color w:val="000000"/>
        </w:rPr>
        <w:t xml:space="preserve">The controlled registry is validated against a formal JSON Schema.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validator rejects duplicate identifiers, unresolved source IDs, changed source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URLs, missing receipt hashes, asserted values inside Unknown fields, unsupported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observations, collapsed architecture classes, and premature public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commercial release states.</w:t>
      </w:r>
    </w:p>
    <w:p>
      <w:pPr>
        <w:pStyle w:val="BodyText"/>
      </w:pPr>
      <w:r>
        <w:rPr>
          <w:rFonts w:ascii="Linux Libertine G" w:hAnsi="Linux Libertine G" w:eastAsia="Linux Libertine G" w:cs="Linux Libertine G"/>
          <w:color w:val="000000"/>
        </w:rPr>
        <w:t xml:space="preserve">The current registry contains:</w:t>
      </w:r>
    </w:p>
    <w:tbl>
      <w:tblPr>
        <w:tblStyle w:val="Table"/>
        <w:tblW w:type="auto" w:w="0"/>
        <w:jc w:val="center"/>
        <w:tblLayout w:type="autofit"/>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3960"/>
        <w:gridCol w:w="3960"/>
      </w:tblGrid>
      <w:tr>
        <w:trPr>
          <w:tblHeader w:val="on"/>
          <w:cantSplit w:val="true"/>
          <w:tblHeader w:val="true"/>
        </w:trPr>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Evidence state</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Fields</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Direct observations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44</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Bounded interpretations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28</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Explicit Unknowns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8</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Total evidence-bearing fields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80</w:t>
            </w:r>
          </w:p>
        </w:tc>
      </w:tr>
    </w:tbl>
    <w:bookmarkEnd w:id="29"/>
    <w:bookmarkEnd w:id="30"/>
    <w:bookmarkStart w:id="38" w:name="findings"/>
    <w:p>
      <w:pPr>
        <w:pStyle w:val="Heading1"/>
      </w:pPr>
      <w:r>
        <w:rPr>
          <w:rFonts w:ascii="Linux Libertine G" w:hAnsi="Linux Libertine G" w:eastAsia="Linux Libertine G" w:cs="Linux Libertine G"/>
          <w:color w:val="000000"/>
        </w:rPr>
        <w:t xml:space="preserve">4. Findings</w:t>
      </w:r>
    </w:p>
    <w:bookmarkStart w:id="34" w:name="X56c19f468e8572e2471ff068616a5f83c500ae4"/>
    <w:p>
      <w:pPr>
        <w:pStyle w:val="Heading2"/>
      </w:pPr>
      <w:r>
        <w:rPr>
          <w:rFonts w:ascii="Linux Libertine G" w:hAnsi="Linux Libertine G" w:eastAsia="Linux Libertine G" w:cs="Linux Libertine G"/>
          <w:color w:val="000000"/>
        </w:rPr>
        <w:t xml:space="preserve">4.1 Five visible token forms, five record architectures</w:t>
      </w:r>
    </w:p>
    <w:p>
      <w:pPr>
        <w:pStyle w:val="FirstParagraph"/>
      </w:pPr>
      <w:r>
        <w:rPr>
          <w:rFonts w:ascii="Linux Libertine G" w:hAnsi="Linux Libertine G" w:eastAsia="Linux Libertine G" w:cs="Linux Libertine G"/>
          <w:color w:val="000000"/>
        </w:rPr>
        <w:t xml:space="preserve">The five filings do not describe one common tokenized-share architecture.</w:t>
      </w:r>
    </w:p>
    <w:p>
      <w:pPr>
        <w:pStyle w:val="CaptionedFigure"/>
      </w:pPr>
      <w:r>
        <w:rPr>
          <w:rFonts w:ascii="Linux Libertine G" w:hAnsi="Linux Libertine G" w:eastAsia="Linux Libertine G" w:cs="Linux Libertine G"/>
          <w:color w:val="000000"/>
        </w:rPr>
        <w:drawing>
          <wp:inline>
            <wp:extent cx="5943600" cy="3714750"/>
            <wp:effectExtent b="0" l="0" r="0" t="0"/>
            <wp:docPr descr="Figure 1. Five source-native record architectures found in the reviewed primary filings." title="" id="32" name="Picture"/>
            <a:graphic>
              <a:graphicData uri="http://schemas.openxmlformats.org/drawingml/2006/picture">
                <pic:pic>
                  <pic:nvPicPr>
                    <pic:cNvPr descr="../../../public/reference_data/tfii_001/Tokenized_Financial_Instrument_Architecture_Comparison_v1.0.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rPr>
          <w:rFonts w:ascii="Linux Libertine G" w:hAnsi="Linux Libertine G" w:eastAsia="Linux Libertine G" w:cs="Linux Libertine G"/>
          <w:color w:val="000000"/>
        </w:rPr>
        <w:t xml:space="preserve">Figure 1. Five source-native record architectures found in the reviewed primary filings.</w:t>
      </w:r>
    </w:p>
    <w:p>
      <w:pPr>
        <w:pStyle w:val="BodyText"/>
      </w:pPr>
      <w:r>
        <w:rPr>
          <w:rFonts w:ascii="Linux Libertine G" w:hAnsi="Linux Libertine G" w:eastAsia="Linux Libertine G" w:cs="Linux Libertine G"/>
          <w:color w:val="000000"/>
        </w:rPr>
        <w:t xml:space="preserve">The decisive differences are summarized below.</w:t>
      </w:r>
    </w:p>
    <w:p>
      <w:r>
        <w:rPr>
          <w:rFonts w:ascii="Linux Libertine G" w:hAnsi="Linux Libertine G" w:eastAsia="Linux Libertine G" w:cs="Linux Libertine G"/>
          <w:color w:val="000000"/>
        </w:rPr>
        <w:br w:type="page"/>
      </w:r>
    </w:p>
    <w:tbl>
      <w:tblPr>
        <w:tblStyle w:val="Table"/>
        <w:tblW w:type="pct" w:w="5000"/>
        <w:jc w:val="center"/>
        <w:tblLayout w:type="autofit"/>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1980"/>
        <w:gridCol w:w="1980"/>
        <w:gridCol w:w="1980"/>
        <w:gridCol w:w="1980"/>
      </w:tblGrid>
      <w:tr>
        <w:trPr>
          <w:tblHeader w:val="on"/>
          <w:cantSplit w:val="true"/>
          <w:tblHeader w:val="true"/>
        </w:trPr>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Instrument</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Authoritative record</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Transfer boundary</w:t>
            </w:r>
          </w:p>
        </w:tc>
        <w:tc>
          <w:tcPr>
            <w:vAlign w:val="center"/>
            <w:tcMar>
              <w:top w:w="120" w:type="dxa"/>
              <w:bottom w:w="120" w:type="dxa"/>
              <w:start w:w="140" w:type="dxa"/>
              <w:end w:w="140" w:type="dxa"/>
            </w:tcMar>
            <w:shd w:val="clear" w:color="auto" w:fill="000000"/>
          </w:tcPr>
          <w:p>
            <w:pPr>
              <w:pStyle w:val="Compact"/>
              <w:spacing w:before="0" w:after="40"/>
              <w:jc w:val="left"/>
            </w:pPr>
            <w:r>
              <w:rPr>
                <w:rFonts w:ascii="Linux Libertine G" w:hAnsi="Linux Libertine G" w:eastAsia="Linux Libertine G" w:cs="Linux Libertine G"/>
                <w:b/>
                <w:color w:val="FFFFFF"/>
                <w:sz w:val="17"/>
              </w:rPr>
              <w:t xml:space="preserve">Reconciliation state</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Franklin OnChain U.S. Government Money Fund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Transfer-agent-maintained blockchain-integrated official record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Relevant blockchain confirmation after transfer-agent processing</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Public interval and complete procedure Unknown</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JPMorgan OnChain Liquidity-Token Money Market Fund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Offchain Investor Register</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Transfer-agent processing and Investor Register update</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Register controls; subsequent blockchain transactions restore alignment</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Superstate USTB Money Market Fund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Unified transfer-agent record spanning designated blockchains and book entry</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Relevant blockchain confirmation after transfer-agent processing</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Unified-record structure observed; frequency and exception procedure Unknown</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Invesco Stablecoin Reserves Onchain Fund</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Designated blockchain records plus offchain identity register jointly form official register</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Exact event Unknown</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Interval and exception procedure Unknown</w:t>
            </w:r>
          </w:p>
        </w:tc>
      </w:tr>
      <w:tr>
        <w:trPr>
          <w:cantSplit w:val="true"/>
        </w:trPr>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HSBC Hybrid Gold ETF</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Transfer-agent offchain book</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Blockchain execution followed by reflection on transfer-agent books</w:t>
            </w:r>
          </w:p>
        </w:tc>
        <w:tc>
          <w:tcPr>
            <w:vAlign w:val="center"/>
            <w:tcMar>
              <w:top w:w="120" w:type="dxa"/>
              <w:bottom w:w="120" w:type="dxa"/>
              <w:start w:w="140" w:type="dxa"/>
              <w:end w:w="140" w:type="dxa"/>
            </w:tcMar>
            <w:shd w:val="clear" w:color="auto" w:fill="FFFFFF"/>
          </w:tcPr>
          <w:p>
            <w:pPr>
              <w:pStyle w:val="Compact"/>
              <w:spacing w:before="0" w:after="40"/>
              <w:jc w:val="left"/>
            </w:pPr>
            <w:r>
              <w:rPr>
                <w:rFonts w:ascii="Linux Libertine G" w:hAnsi="Linux Libertine G" w:eastAsia="Linux Libertine G" w:cs="Linux Libertine G"/>
                <w:color w:val="000000"/>
                <w:sz w:val="17"/>
              </w:rPr>
              <w:t xml:space="preserve">At least daily comparison and corrective entries</w:t>
            </w:r>
          </w:p>
        </w:tc>
      </w:tr>
    </w:tbl>
    <w:p>
      <w:pPr>
        <w:pStyle w:val="BodyText"/>
      </w:pPr>
      <w:r>
        <w:rPr>
          <w:rFonts w:ascii="Linux Libertine G" w:hAnsi="Linux Libertine G" w:eastAsia="Linux Libertine G" w:cs="Linux Libertine G"/>
          <w:color w:val="000000"/>
        </w:rPr>
        <w:t xml:space="preserve">The visible token does not reveal which row applies. That information lives 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governing record and operating rules.</w:t>
      </w:r>
    </w:p>
    <w:bookmarkEnd w:id="34"/>
    <w:bookmarkStart w:id="35" w:name="X8377c42b3d1fe9257514e9c9392f33a09e02cf7"/>
    <w:p>
      <w:pPr>
        <w:pStyle w:val="Heading2"/>
      </w:pPr>
      <w:r>
        <w:rPr>
          <w:rFonts w:ascii="Linux Libertine G" w:hAnsi="Linux Libertine G" w:eastAsia="Linux Libertine G" w:cs="Linux Libertine G"/>
          <w:color w:val="000000"/>
        </w:rPr>
        <w:t xml:space="preserve">4.2 Blockchain confirmation has different meanings</w:t>
      </w:r>
    </w:p>
    <w:p>
      <w:pPr>
        <w:pStyle w:val="FirstParagraph"/>
      </w:pPr>
      <w:r>
        <w:rPr>
          <w:rFonts w:ascii="Linux Libertine G" w:hAnsi="Linux Libertine G" w:eastAsia="Linux Libertine G" w:cs="Linux Libertine G"/>
          <w:color w:val="000000"/>
        </w:rPr>
        <w:t xml:space="preserve">Franklin and Superstate describe a peer-to-peer transfer as complete upon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confirmation on the relevant approved blockchain after transfer-agent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processing (Franklin Templeton Trust 2025; Superstate Trust 2025). That is not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universal tokenization rule.</w:t>
      </w:r>
    </w:p>
    <w:p>
      <w:pPr>
        <w:pStyle w:val="BodyText"/>
      </w:pPr>
      <w:r>
        <w:rPr>
          <w:rFonts w:ascii="Linux Libertine G" w:hAnsi="Linux Libertine G" w:eastAsia="Linux Libertine G" w:cs="Linux Libertine G"/>
          <w:color w:val="000000"/>
        </w:rPr>
        <w:t xml:space="preserve">JPMorgan describes token transfer as an instruction. The offchain Investor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Register is determinative, and ownership changes after transfer-agent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processing and register update. A transfer received before 9:00 p.m. Eastern 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 business day may enter that day’s update; a later transfer waits for the next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business-day update (JPMorgan Trust IV 2026).</w:t>
      </w:r>
    </w:p>
    <w:p>
      <w:pPr>
        <w:pStyle w:val="BodyText"/>
      </w:pPr>
      <w:r>
        <w:rPr>
          <w:rFonts w:ascii="Linux Libertine G" w:hAnsi="Linux Libertine G" w:eastAsia="Linux Libertine G" w:cs="Linux Libertine G"/>
          <w:color w:val="000000"/>
        </w:rPr>
        <w:t xml:space="preserve">The HSBC filing describes blockchain execution followed by reflection on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transfer agent’s books, while calling the offchain book definitive evidence of</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ownership (HSBC Physical Gold Trust 2026). Invesco describes a joint official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register but does not identify whether blockchain confirmation, transfer-agent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acceptance, joint-register update, or another event is the exact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transfer-effective boundary (Short-Term Investments Trust 2026a).</w:t>
      </w:r>
    </w:p>
    <w:p>
      <w:pPr>
        <w:pStyle w:val="BodyText"/>
      </w:pPr>
      <w:r>
        <w:rPr>
          <w:rFonts w:ascii="Linux Libertine G" w:hAnsi="Linux Libertine G" w:eastAsia="Linux Libertine G" w:cs="Linux Libertine G"/>
          <w:color w:val="000000"/>
        </w:rPr>
        <w:t xml:space="preserve">One block explorer status can therefore correspond to at least four different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meanings in this sample: completion, instruction, first step in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two-step process, or an unresolved boundary.</w:t>
      </w:r>
    </w:p>
    <w:bookmarkEnd w:id="35"/>
    <w:bookmarkStart w:id="36" w:name="X19149b1dffd8f89de30995a7ab15a230c6a7469"/>
    <w:p>
      <w:pPr>
        <w:pStyle w:val="Heading2"/>
      </w:pPr>
      <w:r>
        <w:rPr>
          <w:rFonts w:ascii="Linux Libertine G" w:hAnsi="Linux Libertine G" w:eastAsia="Linux Libertine G" w:cs="Linux Libertine G"/>
          <w:color w:val="000000"/>
        </w:rPr>
        <w:t xml:space="preserve">4.3 Correction authority is part of the instrument</w:t>
      </w:r>
    </w:p>
    <w:p>
      <w:pPr>
        <w:pStyle w:val="FirstParagraph"/>
      </w:pPr>
      <w:r>
        <w:rPr>
          <w:rFonts w:ascii="Linux Libertine G" w:hAnsi="Linux Libertine G" w:eastAsia="Linux Libertine G" w:cs="Linux Libertine G"/>
          <w:color w:val="000000"/>
        </w:rPr>
        <w:t xml:space="preserve">Record correction is not an implementation footnote. It determines which state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survives an error, dispute, unauthorized transaction, or divergence.</w:t>
      </w:r>
    </w:p>
    <w:p>
      <w:pPr>
        <w:pStyle w:val="BodyText"/>
      </w:pPr>
      <w:r>
        <w:rPr>
          <w:rFonts w:ascii="Linux Libertine G" w:hAnsi="Linux Libertine G" w:eastAsia="Linux Libertine G" w:cs="Linux Libertine G"/>
          <w:color w:val="000000"/>
        </w:rPr>
        <w:t xml:space="preserve">The JPMorgan filing states that the Investor Register controls when token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balances diverge, with later blockchain transactions used to restore alignment.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Superstate filing describes subsequent-block correction without deleting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prior blockchain activity. The HSBC filing describes at-least-daily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reconciliation and corrective mint, burn, reallocation, or appended entries.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Invesco filing permits transfer rejection or suspension and describes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general transaction-correction process, but the propagation path between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blockchain and offchain register components is not stated in the reviewed text.</w:t>
      </w:r>
    </w:p>
    <w:p>
      <w:pPr>
        <w:pStyle w:val="BodyText"/>
      </w:pPr>
      <w:r>
        <w:rPr>
          <w:rFonts w:ascii="Linux Libertine G" w:hAnsi="Linux Libertine G" w:eastAsia="Linux Libertine G" w:cs="Linux Libertine G"/>
          <w:color w:val="000000"/>
        </w:rPr>
        <w:t xml:space="preserve">A data system that records only token transfers can preserve transaction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history while losing the current authoritative result. Event history is not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substitute for the governing corrected state.</w:t>
      </w:r>
    </w:p>
    <w:bookmarkEnd w:id="36"/>
    <w:bookmarkStart w:id="37" w:name="X89f692371560e49fb8e1fba9eb3f04f0e5a6990"/>
    <w:p>
      <w:pPr>
        <w:pStyle w:val="Heading2"/>
      </w:pPr>
      <w:r>
        <w:rPr>
          <w:rFonts w:ascii="Linux Libertine G" w:hAnsi="Linux Libertine G" w:eastAsia="Linux Libertine G" w:cs="Linux Libertine G"/>
          <w:color w:val="000000"/>
        </w:rPr>
        <w:t xml:space="preserve">4.4 Valuation and transfer do not share one clock</w:t>
      </w:r>
    </w:p>
    <w:p>
      <w:pPr>
        <w:pStyle w:val="FirstParagraph"/>
      </w:pPr>
      <w:r>
        <w:rPr>
          <w:rFonts w:ascii="Linux Libertine G" w:hAnsi="Linux Libertine G" w:eastAsia="Linux Libertine G" w:cs="Linux Libertine G"/>
          <w:color w:val="000000"/>
        </w:rPr>
        <w:t xml:space="preserve">The sample also rejects the assumption that continuous token movement implies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continuous authoritative valuation.</w:t>
      </w:r>
    </w:p>
    <w:p>
      <w:pPr>
        <w:pStyle w:val="BodyText"/>
      </w:pPr>
      <w:r>
        <w:rPr>
          <w:rFonts w:ascii="Linux Libertine G" w:hAnsi="Linux Libertine G" w:eastAsia="Linux Libertine G" w:cs="Linux Libertine G"/>
          <w:color w:val="000000"/>
        </w:rPr>
        <w:t xml:space="preserve">Effective on or about 18 May 2026, Franklin normally calculates NAV hourly from</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8:00 a.m. Eastern time until its normal 5:00 p.m. Eastern close on days when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both the NYSE and the Federal Reserve Bank of New York are open, subject to</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omitted intraday calculations and early-close conditions. This superseded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older single daily valuation boundary captured in the initial TFII record.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JPMorgan calculates Token Class NAV at stated cut-off times on days the fund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accepts orders. Superstate calculates NAV when a properly formed purchase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redemption request is received, including outside ordinary business hours.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Invesco prices accepted purchase and redemption orders at the next determined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NAV and calculates amortized-cost deviation daily. HSBC uses the earlier of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day’s LBMA Gold Price PM or 12:00 p.m. New York time, subject to a fallback.</w:t>
      </w:r>
    </w:p>
    <w:p>
      <w:pPr>
        <w:pStyle w:val="BodyText"/>
      </w:pPr>
      <w:r>
        <w:rPr>
          <w:rFonts w:ascii="Linux Libertine G" w:hAnsi="Linux Libertine G" w:eastAsia="Linux Libertine G" w:cs="Linux Libertine G"/>
          <w:color w:val="000000"/>
        </w:rPr>
        <w:t xml:space="preserve">Transfer time, ownership-effective time, valuation time, and publication time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are separate boundaries. Collapsing them can create a precise but false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point-in-time record.</w:t>
      </w:r>
    </w:p>
    <w:bookmarkEnd w:id="37"/>
    <w:bookmarkEnd w:id="38"/>
    <w:bookmarkStart w:id="42" w:name="the-financial-consequence"/>
    <w:p>
      <w:pPr>
        <w:pStyle w:val="Heading1"/>
      </w:pPr>
      <w:r>
        <w:rPr>
          <w:rFonts w:ascii="Linux Libertine G" w:hAnsi="Linux Libertine G" w:eastAsia="Linux Libertine G" w:cs="Linux Libertine G"/>
          <w:color w:val="000000"/>
        </w:rPr>
        <w:t xml:space="preserve">5. The Financial Consequence</w:t>
      </w:r>
    </w:p>
    <w:p>
      <w:pPr>
        <w:pStyle w:val="FirstParagraph"/>
      </w:pPr>
      <w:r>
        <w:rPr>
          <w:rFonts w:ascii="Linux Libertine G" w:hAnsi="Linux Libertine G" w:eastAsia="Linux Libertine G" w:cs="Linux Libertine G"/>
          <w:color w:val="000000"/>
        </w:rPr>
        <w:t xml:space="preserve">The record distinction becomes financially consequential when represented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shares support another workflow.</w:t>
      </w:r>
    </w:p>
    <w:p>
      <w:pPr>
        <w:pStyle w:val="BodyText"/>
      </w:pPr>
      <w:r>
        <w:rPr>
          <w:rFonts w:ascii="Linux Libertine G" w:hAnsi="Linux Libertine G" w:eastAsia="Linux Libertine G" w:cs="Linux Libertine G"/>
          <w:color w:val="000000"/>
        </w:rPr>
        <w:t xml:space="preserve">Franklin Templeton reports more than USD 211 million of cumulative BENJI</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peer-to-peer transfer volume through 31 March 2026. A separate Franklin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Templeton and Binance announcement describes a live institutional program 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which eligible clients may use Benji-issued tokenized money-market-fund shares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as off-exchange collateral while the assets remain in Ceffu-supported custody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and their value is mirrored in the Binance trading environment (Franklin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Templeton 2026a, 2026b).</w:t>
      </w:r>
    </w:p>
    <w:p>
      <w:pPr>
        <w:pStyle w:val="CaptionedFigure"/>
      </w:pPr>
      <w:r>
        <w:rPr>
          <w:rFonts w:ascii="Linux Libertine G" w:hAnsi="Linux Libertine G" w:eastAsia="Linux Libertine G" w:cs="Linux Libertine G"/>
          <w:color w:val="000000"/>
        </w:rPr>
        <w:drawing>
          <wp:inline>
            <wp:extent cx="5943600" cy="3714750"/>
            <wp:effectExtent b="0" l="0" r="0" t="0"/>
            <wp:docPr descr="Figure 2. Bounded Franklin and BENJI record-to-custody-to-collateral control chain. Solid lines show observed or bounded links; dashed lines show undisclosed interfaces and Unknowns." title="" id="40" name="Picture"/>
            <a:graphic>
              <a:graphicData uri="http://schemas.openxmlformats.org/drawingml/2006/picture">
                <pic:pic>
                  <pic:nvPicPr>
                    <pic:cNvPr descr="../../../public/reference_data/tfii_001/Franklin_BENJI_Financial_Control_Chain_v1.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5943600" cy="3714750"/>
                    </a:xfrm>
                    <a:prstGeom prst="rect">
                      <a:avLst/>
                    </a:prstGeom>
                    <a:noFill/>
                    <a:ln w="9525">
                      <a:noFill/>
                      <a:headEnd/>
                      <a:tailEnd/>
                    </a:ln>
                  </pic:spPr>
                </pic:pic>
              </a:graphicData>
            </a:graphic>
          </wp:inline>
        </w:drawing>
      </w:r>
    </w:p>
    <w:p>
      <w:pPr>
        <w:pStyle w:val="ImageCaption"/>
      </w:pPr>
      <w:r>
        <w:rPr>
          <w:rFonts w:ascii="Linux Libertine G" w:hAnsi="Linux Libertine G" w:eastAsia="Linux Libertine G" w:cs="Linux Libertine G"/>
          <w:color w:val="000000"/>
        </w:rPr>
        <w:t xml:space="preserve">Figure 2. Bounded Franklin and BENJI record-to-custody-to-collateral control chain. Solid lines show observed or bounded links; dashed lines show undisclosed interfaces and Unknowns.</w:t>
      </w:r>
    </w:p>
    <w:p>
      <w:pPr>
        <w:pStyle w:val="BodyText"/>
      </w:pPr>
      <w:r>
        <w:rPr>
          <w:rFonts w:ascii="Linux Libertine G" w:hAnsi="Linux Libertine G" w:eastAsia="Linux Libertine G" w:cs="Linux Libertine G"/>
          <w:color w:val="000000"/>
        </w:rPr>
        <w:t xml:space="preserve">The announcement does not disclose the exact participating fund, share class,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balance, client, haircut, valuation hierarchy, stale-value rule, default path,</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or correction interface. The evidence therefore supports platform-level use,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not exact fund exposure.</w:t>
      </w:r>
    </w:p>
    <w:p>
      <w:pPr>
        <w:pStyle w:val="BodyText"/>
      </w:pPr>
      <w:r>
        <w:rPr>
          <w:rFonts w:ascii="Linux Libertine G" w:hAnsi="Linux Libertine G" w:eastAsia="Linux Libertine G" w:cs="Linux Libertine G"/>
          <w:color w:val="000000"/>
        </w:rPr>
        <w:t xml:space="preserve">That boundary is the result, not an inconvenience. The public record proves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that tokenized fund shares participate in transfer and collateral workflows.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It does not prove how an ownership correction, freeze, custody discrepancy,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valuation change propagates through the complete collateral system.</w:t>
      </w:r>
    </w:p>
    <w:p>
      <w:pPr>
        <w:pStyle w:val="BodyText"/>
      </w:pPr>
      <w:r>
        <w:rPr>
          <w:rFonts w:ascii="Linux Libertine G" w:hAnsi="Linux Libertine G" w:eastAsia="Linux Libertine G" w:cs="Linux Libertine G"/>
          <w:color w:val="000000"/>
        </w:rPr>
        <w:t xml:space="preserve">Once a represented share supports trading collateral, five integrity controls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become financially material:</w:t>
      </w:r>
    </w:p>
    <w:p>
      <w:pPr>
        <w:pStyle w:val="Compact"/>
        <w:numPr>
          <w:ilvl w:val="0"/>
          <w:numId w:val="1013"/>
        </w:numPr>
      </w:pPr>
      <w:r>
        <w:rPr>
          <w:rFonts w:ascii="Linux Libertine G" w:hAnsi="Linux Libertine G" w:eastAsia="Linux Libertine G" w:cs="Linux Libertine G"/>
          <w:color w:val="000000"/>
        </w:rPr>
        <w:t xml:space="preserve">asset identity must match the eligible fund and share class;</w:t>
      </w:r>
    </w:p>
    <w:p>
      <w:pPr>
        <w:pStyle w:val="Compact"/>
        <w:numPr>
          <w:ilvl w:val="0"/>
          <w:numId w:val="1013"/>
        </w:numPr>
      </w:pPr>
      <w:r>
        <w:rPr>
          <w:rFonts w:ascii="Linux Libertine G" w:hAnsi="Linux Libertine G" w:eastAsia="Linux Libertine G" w:cs="Linux Libertine G"/>
          <w:color w:val="000000"/>
        </w:rPr>
        <w:t xml:space="preserve">custody state must reconcile with the authoritative ownership record;</w:t>
      </w:r>
    </w:p>
    <w:p>
      <w:pPr>
        <w:pStyle w:val="Compact"/>
        <w:numPr>
          <w:ilvl w:val="0"/>
          <w:numId w:val="1013"/>
        </w:numPr>
      </w:pPr>
      <w:r>
        <w:rPr>
          <w:rFonts w:ascii="Linux Libertine G" w:hAnsi="Linux Libertine G" w:eastAsia="Linux Libertine G" w:cs="Linux Libertine G"/>
          <w:color w:val="000000"/>
        </w:rPr>
        <w:t xml:space="preserve">transfer and correction events must propagate to the collateral controller;</w:t>
      </w:r>
    </w:p>
    <w:p>
      <w:pPr>
        <w:pStyle w:val="Compact"/>
        <w:numPr>
          <w:ilvl w:val="0"/>
          <w:numId w:val="1013"/>
        </w:numPr>
      </w:pPr>
      <w:r>
        <w:rPr>
          <w:rFonts w:ascii="Linux Libertine G" w:hAnsi="Linux Libertine G" w:eastAsia="Linux Libertine G" w:cs="Linux Libertine G"/>
          <w:color w:val="000000"/>
        </w:rPr>
        <w:t xml:space="preserve">mirrored value must use a defined input, time boundary, haircut, and stale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policy; and</w:t>
      </w:r>
    </w:p>
    <w:p>
      <w:pPr>
        <w:pStyle w:val="Compact"/>
        <w:numPr>
          <w:ilvl w:val="0"/>
          <w:numId w:val="1013"/>
        </w:numPr>
      </w:pPr>
      <w:r>
        <w:rPr>
          <w:rFonts w:ascii="Linux Libertine G" w:hAnsi="Linux Libertine G" w:eastAsia="Linux Libertine G" w:cs="Linux Libertine G"/>
          <w:color w:val="000000"/>
        </w:rPr>
        <w:t xml:space="preserve">default and release processes must identify which record controls.</w:t>
      </w:r>
    </w:p>
    <w:p>
      <w:pPr>
        <w:pStyle w:val="FirstParagraph"/>
      </w:pPr>
      <w:r>
        <w:rPr>
          <w:rFonts w:ascii="Linux Libertine G" w:hAnsi="Linux Libertine G" w:eastAsia="Linux Libertine G" w:cs="Linux Libertine G"/>
          <w:color w:val="000000"/>
        </w:rPr>
        <w:t xml:space="preserve">No failure is required for those controls to matter. The dependency itself</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creates the control requirement.</w:t>
      </w:r>
    </w:p>
    <w:bookmarkEnd w:id="42"/>
    <w:bookmarkStart w:id="43" w:name="a-financial-instrument-integrity-record"/>
    <w:p>
      <w:pPr>
        <w:pStyle w:val="Heading1"/>
      </w:pPr>
      <w:r>
        <w:rPr>
          <w:rFonts w:ascii="Linux Libertine G" w:hAnsi="Linux Libertine G" w:eastAsia="Linux Libertine G" w:cs="Linux Libertine G"/>
          <w:color w:val="000000"/>
        </w:rPr>
        <w:t xml:space="preserve">6. A Financial Instrument Integrity Record</w:t>
      </w:r>
    </w:p>
    <w:p>
      <w:pPr>
        <w:pStyle w:val="FirstParagraph"/>
      </w:pPr>
      <w:r>
        <w:rPr>
          <w:rFonts w:ascii="Linux Libertine G" w:hAnsi="Linux Libertine G" w:eastAsia="Linux Libertine G" w:cs="Linux Libertine G"/>
          <w:color w:val="000000"/>
        </w:rPr>
        <w:t xml:space="preserve">The practical response is not another dashboard label. It is a maintained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integrity record that binds each financial object to its native authority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time boundaries.</w:t>
      </w:r>
    </w:p>
    <w:p>
      <w:pPr>
        <w:pStyle w:val="BodyText"/>
      </w:pPr>
      <w:r>
        <w:rPr>
          <w:rFonts w:ascii="Linux Libertine G" w:hAnsi="Linux Libertine G" w:eastAsia="Linux Libertine G" w:cs="Linux Libertine G"/>
          <w:color w:val="000000"/>
        </w:rPr>
        <w:t xml:space="preserve">The minimum record contains:</w:t>
      </w:r>
    </w:p>
    <w:p>
      <w:pPr>
        <w:pStyle w:val="Compact"/>
        <w:numPr>
          <w:ilvl w:val="0"/>
          <w:numId w:val="1014"/>
        </w:numPr>
      </w:pPr>
      <w:r>
        <w:rPr>
          <w:rFonts w:ascii="Linux Libertine G" w:hAnsi="Linux Libertine G" w:eastAsia="Linux Libertine G" w:cs="Linux Libertine G"/>
          <w:color w:val="000000"/>
        </w:rPr>
        <w:t xml:space="preserve">source-native instrument identity;</w:t>
      </w:r>
    </w:p>
    <w:p>
      <w:pPr>
        <w:pStyle w:val="Compact"/>
        <w:numPr>
          <w:ilvl w:val="0"/>
          <w:numId w:val="1014"/>
        </w:numPr>
      </w:pPr>
      <w:r>
        <w:rPr>
          <w:rFonts w:ascii="Linux Libertine G" w:hAnsi="Linux Libertine G" w:eastAsia="Linux Libertine G" w:cs="Linux Libertine G"/>
          <w:color w:val="000000"/>
        </w:rPr>
        <w:t xml:space="preserve">authoritative ownership or entitlement record;</w:t>
      </w:r>
    </w:p>
    <w:p>
      <w:pPr>
        <w:pStyle w:val="Compact"/>
        <w:numPr>
          <w:ilvl w:val="0"/>
          <w:numId w:val="1014"/>
        </w:numPr>
      </w:pPr>
      <w:r>
        <w:rPr>
          <w:rFonts w:ascii="Linux Libertine G" w:hAnsi="Linux Libertine G" w:eastAsia="Linux Libertine G" w:cs="Linux Libertine G"/>
          <w:color w:val="000000"/>
        </w:rPr>
        <w:t xml:space="preserve">blockchain role;</w:t>
      </w:r>
    </w:p>
    <w:p>
      <w:pPr>
        <w:pStyle w:val="Compact"/>
        <w:numPr>
          <w:ilvl w:val="0"/>
          <w:numId w:val="1014"/>
        </w:numPr>
      </w:pPr>
      <w:r>
        <w:rPr>
          <w:rFonts w:ascii="Linux Libertine G" w:hAnsi="Linux Libertine G" w:eastAsia="Linux Libertine G" w:cs="Linux Libertine G"/>
          <w:color w:val="000000"/>
        </w:rPr>
        <w:t xml:space="preserve">transfer-effective event;</w:t>
      </w:r>
    </w:p>
    <w:p>
      <w:pPr>
        <w:pStyle w:val="Compact"/>
        <w:numPr>
          <w:ilvl w:val="0"/>
          <w:numId w:val="1014"/>
        </w:numPr>
      </w:pPr>
      <w:r>
        <w:rPr>
          <w:rFonts w:ascii="Linux Libertine G" w:hAnsi="Linux Libertine G" w:eastAsia="Linux Libertine G" w:cs="Linux Libertine G"/>
          <w:color w:val="000000"/>
        </w:rPr>
        <w:t xml:space="preserve">responsible record keeper and administrator powers;</w:t>
      </w:r>
    </w:p>
    <w:p>
      <w:pPr>
        <w:pStyle w:val="Compact"/>
        <w:numPr>
          <w:ilvl w:val="0"/>
          <w:numId w:val="1014"/>
        </w:numPr>
      </w:pPr>
      <w:r>
        <w:rPr>
          <w:rFonts w:ascii="Linux Libertine G" w:hAnsi="Linux Libertine G" w:eastAsia="Linux Libertine G" w:cs="Linux Libertine G"/>
          <w:color w:val="000000"/>
        </w:rPr>
        <w:t xml:space="preserve">processing and valuation clocks;</w:t>
      </w:r>
    </w:p>
    <w:p>
      <w:pPr>
        <w:pStyle w:val="Compact"/>
        <w:numPr>
          <w:ilvl w:val="0"/>
          <w:numId w:val="1014"/>
        </w:numPr>
      </w:pPr>
      <w:r>
        <w:rPr>
          <w:rFonts w:ascii="Linux Libertine G" w:hAnsi="Linux Libertine G" w:eastAsia="Linux Libertine G" w:cs="Linux Libertine G"/>
          <w:color w:val="000000"/>
        </w:rPr>
        <w:t xml:space="preserve">reconciliation direction and frequency;</w:t>
      </w:r>
    </w:p>
    <w:p>
      <w:pPr>
        <w:pStyle w:val="Compact"/>
        <w:numPr>
          <w:ilvl w:val="0"/>
          <w:numId w:val="1014"/>
        </w:numPr>
      </w:pPr>
      <w:r>
        <w:rPr>
          <w:rFonts w:ascii="Linux Libertine G" w:hAnsi="Linux Libertine G" w:eastAsia="Linux Libertine G" w:cs="Linux Libertine G"/>
          <w:color w:val="000000"/>
        </w:rPr>
        <w:t xml:space="preserve">correction hierarchy;</w:t>
      </w:r>
    </w:p>
    <w:p>
      <w:pPr>
        <w:pStyle w:val="Compact"/>
        <w:numPr>
          <w:ilvl w:val="0"/>
          <w:numId w:val="1014"/>
        </w:numPr>
      </w:pPr>
      <w:r>
        <w:rPr>
          <w:rFonts w:ascii="Linux Libertine G" w:hAnsi="Linux Libertine G" w:eastAsia="Linux Libertine G" w:cs="Linux Libertine G"/>
          <w:color w:val="000000"/>
        </w:rPr>
        <w:t xml:space="preserve">downstream financial use;</w:t>
      </w:r>
    </w:p>
    <w:p>
      <w:pPr>
        <w:pStyle w:val="Compact"/>
        <w:numPr>
          <w:ilvl w:val="0"/>
          <w:numId w:val="1014"/>
        </w:numPr>
      </w:pPr>
      <w:r>
        <w:rPr>
          <w:rFonts w:ascii="Linux Libertine G" w:hAnsi="Linux Libertine G" w:eastAsia="Linux Libertine G" w:cs="Linux Libertine G"/>
          <w:color w:val="000000"/>
        </w:rPr>
        <w:t xml:space="preserve">source and calculation provenance;</w:t>
      </w:r>
    </w:p>
    <w:p>
      <w:pPr>
        <w:pStyle w:val="Compact"/>
        <w:numPr>
          <w:ilvl w:val="0"/>
          <w:numId w:val="1014"/>
        </w:numPr>
      </w:pPr>
      <w:r>
        <w:rPr>
          <w:rFonts w:ascii="Linux Libertine G" w:hAnsi="Linux Libertine G" w:eastAsia="Linux Libertine G" w:cs="Linux Libertine G"/>
          <w:color w:val="000000"/>
        </w:rPr>
        <w:t xml:space="preserve">rights and permitted-use state;</w:t>
      </w:r>
    </w:p>
    <w:p>
      <w:pPr>
        <w:pStyle w:val="Compact"/>
        <w:numPr>
          <w:ilvl w:val="0"/>
          <w:numId w:val="1014"/>
        </w:numPr>
      </w:pPr>
      <w:r>
        <w:rPr>
          <w:rFonts w:ascii="Linux Libertine G" w:hAnsi="Linux Libertine G" w:eastAsia="Linux Libertine G" w:cs="Linux Libertine G"/>
          <w:color w:val="000000"/>
        </w:rPr>
        <w:t xml:space="preserve">explicit Unknowns; and</w:t>
      </w:r>
    </w:p>
    <w:p>
      <w:pPr>
        <w:pStyle w:val="Compact"/>
        <w:numPr>
          <w:ilvl w:val="0"/>
          <w:numId w:val="1014"/>
        </w:numPr>
      </w:pPr>
      <w:r>
        <w:rPr>
          <w:rFonts w:ascii="Linux Libertine G" w:hAnsi="Linux Libertine G" w:eastAsia="Linux Libertine G" w:cs="Linux Libertine G"/>
          <w:color w:val="000000"/>
        </w:rPr>
        <w:t xml:space="preserve">correction and version history.</w:t>
      </w:r>
    </w:p>
    <w:p>
      <w:pPr>
        <w:pStyle w:val="FirstParagraph"/>
      </w:pPr>
      <w:r>
        <w:rPr>
          <w:rFonts w:ascii="Linux Libertine G" w:hAnsi="Linux Libertine G" w:eastAsia="Linux Libertine G" w:cs="Linux Libertine G"/>
          <w:color w:val="000000"/>
        </w:rPr>
        <w:t xml:space="preserve">This record does not replace the transfer agent, custodian, administrator,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legal adviser, auditor, or risk owner. It makes their distinct claims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interfaces visible without treating one source as proof of another.</w:t>
      </w:r>
    </w:p>
    <w:p>
      <w:pPr>
        <w:pStyle w:val="BodyText"/>
      </w:pPr>
      <w:r>
        <w:rPr>
          <w:rFonts w:ascii="Linux Libertine G" w:hAnsi="Linux Libertine G" w:eastAsia="Linux Libertine G" w:cs="Linux Libertine G"/>
          <w:color w:val="000000"/>
        </w:rPr>
        <w:t xml:space="preserve">The machine contract matters because narrative diligence decays. A filing can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change. A product can add a network. A transfer rule can be amended. A public</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Unknown can become known. A downstream user can depend on a stale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classification. The integrity record must therefore be versioned, monitored,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and corrected rather than published once and abandoned.</w:t>
      </w:r>
    </w:p>
    <w:bookmarkEnd w:id="43"/>
    <w:bookmarkStart w:id="49" w:name="implications"/>
    <w:p>
      <w:pPr>
        <w:pStyle w:val="Heading1"/>
      </w:pPr>
      <w:r>
        <w:rPr>
          <w:rFonts w:ascii="Linux Libertine G" w:hAnsi="Linux Libertine G" w:eastAsia="Linux Libertine G" w:cs="Linux Libertine G"/>
          <w:color w:val="000000"/>
        </w:rPr>
        <w:t xml:space="preserve">7. Implications</w:t>
      </w:r>
    </w:p>
    <w:bookmarkStart w:id="44" w:name="issuers-and-transfer-agents"/>
    <w:p>
      <w:pPr>
        <w:pStyle w:val="Heading2"/>
      </w:pPr>
      <w:r>
        <w:rPr>
          <w:rFonts w:ascii="Linux Libertine G" w:hAnsi="Linux Libertine G" w:eastAsia="Linux Libertine G" w:cs="Linux Libertine G"/>
          <w:color w:val="000000"/>
        </w:rPr>
        <w:t xml:space="preserve">7.1 Issuers and transfer agents</w:t>
      </w:r>
    </w:p>
    <w:p>
      <w:pPr>
        <w:pStyle w:val="FirstParagraph"/>
      </w:pPr>
      <w:r>
        <w:rPr>
          <w:rFonts w:ascii="Linux Libertine G" w:hAnsi="Linux Libertine G" w:eastAsia="Linux Libertine G" w:cs="Linux Libertine G"/>
          <w:color w:val="000000"/>
        </w:rPr>
        <w:t xml:space="preserve">An issuer can use the record to show exactly what its token does and does not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prove. Transfer agents can expose authoritative-state, processing,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correction boundaries without representing every private workpaper publicly.</w:t>
      </w:r>
    </w:p>
    <w:bookmarkEnd w:id="44"/>
    <w:bookmarkStart w:id="45" w:name="Xb53d5ab34e63f0cf8841df7cdb9aacb191937b1"/>
    <w:p>
      <w:pPr>
        <w:pStyle w:val="Heading2"/>
      </w:pPr>
      <w:r>
        <w:rPr>
          <w:rFonts w:ascii="Linux Libertine G" w:hAnsi="Linux Libertine G" w:eastAsia="Linux Libertine G" w:cs="Linux Libertine G"/>
          <w:color w:val="000000"/>
        </w:rPr>
        <w:t xml:space="preserve">7.2 Custodians, collateral systems, and exchanges</w:t>
      </w:r>
    </w:p>
    <w:p>
      <w:pPr>
        <w:pStyle w:val="FirstParagraph"/>
      </w:pPr>
      <w:r>
        <w:rPr>
          <w:rFonts w:ascii="Linux Libertine G" w:hAnsi="Linux Libertine G" w:eastAsia="Linux Libertine G" w:cs="Linux Libertine G"/>
          <w:color w:val="000000"/>
        </w:rPr>
        <w:t xml:space="preserve">These users need more than token possession. They need instrument identity,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eligibility, ownership authority, reconciliation, valuation, correction,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release interfaces. A wallet balance can be necessary evidence while remaining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insufficient control evidence.</w:t>
      </w:r>
    </w:p>
    <w:bookmarkEnd w:id="45"/>
    <w:bookmarkStart w:id="46" w:name="data-and-benchmark-providers"/>
    <w:p>
      <w:pPr>
        <w:pStyle w:val="Heading2"/>
      </w:pPr>
      <w:r>
        <w:rPr>
          <w:rFonts w:ascii="Linux Libertine G" w:hAnsi="Linux Libertine G" w:eastAsia="Linux Libertine G" w:cs="Linux Libertine G"/>
          <w:color w:val="000000"/>
        </w:rPr>
        <w:t xml:space="preserve">7.3 Data and benchmark providers</w:t>
      </w:r>
    </w:p>
    <w:p>
      <w:pPr>
        <w:pStyle w:val="FirstParagraph"/>
      </w:pPr>
      <w:r>
        <w:rPr>
          <w:rFonts w:ascii="Linux Libertine G" w:hAnsi="Linux Libertine G" w:eastAsia="Linux Libertine G" w:cs="Linux Libertine G"/>
          <w:color w:val="000000"/>
        </w:rPr>
        <w:t xml:space="preserve">Normalization should preserve native financial meaning. A field called</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tokenized_share_balance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is unsafe if one source represents an authoritative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another an instruction, and another a supplementary mirror. The data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contract must carry architecture and evidence metadata with the quantity.</w:t>
      </w:r>
    </w:p>
    <w:bookmarkEnd w:id="46"/>
    <w:bookmarkStart w:id="47" w:name="funds-auditors-and-risk-functions"/>
    <w:p>
      <w:pPr>
        <w:pStyle w:val="Heading2"/>
      </w:pPr>
      <w:r>
        <w:rPr>
          <w:rFonts w:ascii="Linux Libertine G" w:hAnsi="Linux Libertine G" w:eastAsia="Linux Libertine G" w:cs="Linux Libertine G"/>
          <w:color w:val="000000"/>
        </w:rPr>
        <w:t xml:space="preserve">7.4 Funds, auditors, and risk functions</w:t>
      </w:r>
    </w:p>
    <w:p>
      <w:pPr>
        <w:pStyle w:val="FirstParagraph"/>
      </w:pPr>
      <w:r>
        <w:rPr>
          <w:rFonts w:ascii="Linux Libertine G" w:hAnsi="Linux Libertine G" w:eastAsia="Linux Libertine G" w:cs="Linux Libertine G"/>
          <w:color w:val="000000"/>
        </w:rPr>
        <w:t xml:space="preserve">Point-in-time holdings, valuation, and collateral reviews require the governing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at the relevant boundary. Event-derived reconstruction can support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history, but it cannot silently replace corrected authoritative state.</w:t>
      </w:r>
    </w:p>
    <w:bookmarkEnd w:id="47"/>
    <w:bookmarkStart w:id="48" w:name="programmable-finance"/>
    <w:p>
      <w:pPr>
        <w:pStyle w:val="Heading2"/>
      </w:pPr>
      <w:r>
        <w:rPr>
          <w:rFonts w:ascii="Linux Libertine G" w:hAnsi="Linux Libertine G" w:eastAsia="Linux Libertine G" w:cs="Linux Libertine G"/>
          <w:color w:val="000000"/>
        </w:rPr>
        <w:t xml:space="preserve">7.5 Programmable finance</w:t>
      </w:r>
    </w:p>
    <w:p>
      <w:pPr>
        <w:pStyle w:val="FirstParagraph"/>
      </w:pPr>
      <w:r>
        <w:rPr>
          <w:rFonts w:ascii="Linux Libertine G" w:hAnsi="Linux Libertine G" w:eastAsia="Linux Libertine G" w:cs="Linux Libertine G"/>
          <w:color w:val="000000"/>
        </w:rPr>
        <w:t xml:space="preserve">Smart contracts cannot infer the legal and operational meaning of an input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from its token interface. If a financial workflow depends on tokenized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instruments, the dependency needs an explicit integrity record or an equivalent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control supplied by the responsible institutions.</w:t>
      </w:r>
    </w:p>
    <w:bookmarkEnd w:id="48"/>
    <w:bookmarkEnd w:id="49"/>
    <w:bookmarkStart w:id="50" w:name="limitations"/>
    <w:p>
      <w:pPr>
        <w:pStyle w:val="Heading1"/>
      </w:pPr>
      <w:r>
        <w:rPr>
          <w:rFonts w:ascii="Linux Libertine G" w:hAnsi="Linux Libertine G" w:eastAsia="Linux Libertine G" w:cs="Linux Libertine G"/>
          <w:color w:val="000000"/>
        </w:rPr>
        <w:t xml:space="preserve">8. Limitations</w:t>
      </w:r>
    </w:p>
    <w:p>
      <w:pPr>
        <w:pStyle w:val="FirstParagraph"/>
      </w:pPr>
      <w:r>
        <w:rPr>
          <w:rFonts w:ascii="Linux Libertine G" w:hAnsi="Linux Libertine G" w:eastAsia="Linux Libertine G" w:cs="Linux Libertine G"/>
          <w:color w:val="000000"/>
        </w:rPr>
        <w:t xml:space="preserve">The study has five principal limitations.</w:t>
      </w:r>
    </w:p>
    <w:p>
      <w:pPr>
        <w:pStyle w:val="Compact"/>
        <w:numPr>
          <w:ilvl w:val="0"/>
          <w:numId w:val="1015"/>
        </w:numPr>
      </w:pPr>
      <w:r>
        <w:rPr>
          <w:rFonts w:ascii="Linux Libertine G" w:hAnsi="Linux Libertine G" w:eastAsia="Linux Libertine G" w:cs="Linux Libertine G"/>
          <w:color w:val="000000"/>
        </w:rPr>
        <w:t xml:space="preserve">The sample is purposive and contains only five United States filings. It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does not estimate the prevalence of any architecture across tokenized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finance.</w:t>
      </w:r>
    </w:p>
    <w:p>
      <w:pPr>
        <w:pStyle w:val="Compact"/>
        <w:numPr>
          <w:ilvl w:val="0"/>
          <w:numId w:val="1015"/>
        </w:numPr>
      </w:pPr>
      <w:r>
        <w:rPr>
          <w:rFonts w:ascii="Linux Libertine G" w:hAnsi="Linux Libertine G" w:eastAsia="Linux Libertine G" w:cs="Linux Libertine G"/>
          <w:color w:val="000000"/>
        </w:rPr>
        <w:t xml:space="preserve">Filing language is evidence of the disclosed architecture, not an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independent legal opinion about ownership in every jurisdiction or dispute.</w:t>
      </w:r>
    </w:p>
    <w:p>
      <w:pPr>
        <w:pStyle w:val="Compact"/>
        <w:numPr>
          <w:ilvl w:val="0"/>
          <w:numId w:val="1015"/>
        </w:numPr>
      </w:pPr>
      <w:r>
        <w:rPr>
          <w:rFonts w:ascii="Linux Libertine G" w:hAnsi="Linux Libertine G" w:eastAsia="Linux Libertine G" w:cs="Linux Libertine G"/>
          <w:color w:val="000000"/>
        </w:rPr>
        <w:t xml:space="preserve">Private transfer-agent workpapers, reconciliation logs, administrator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records, customer positions, collateral balances, and contractual control</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procedures were not available.</w:t>
      </w:r>
    </w:p>
    <w:p>
      <w:pPr>
        <w:pStyle w:val="Compact"/>
        <w:numPr>
          <w:ilvl w:val="0"/>
          <w:numId w:val="1015"/>
        </w:numPr>
      </w:pPr>
      <w:r>
        <w:rPr>
          <w:rFonts w:ascii="Linux Libertine G" w:hAnsi="Linux Libertine G" w:eastAsia="Linux Libertine G" w:cs="Linux Libertine G"/>
          <w:color w:val="000000"/>
        </w:rPr>
        <w:t xml:space="preserve">The USD 211 million transfer amount is issuer-reported and was not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independently reconciled by FET.</w:t>
      </w:r>
    </w:p>
    <w:p>
      <w:pPr>
        <w:pStyle w:val="Compact"/>
        <w:numPr>
          <w:ilvl w:val="0"/>
          <w:numId w:val="1015"/>
        </w:numPr>
      </w:pPr>
      <w:r>
        <w:rPr>
          <w:rFonts w:ascii="Linux Libertine G" w:hAnsi="Linux Libertine G" w:eastAsia="Linux Libertine G" w:cs="Linux Libertine G"/>
          <w:color w:val="000000"/>
        </w:rPr>
        <w:t xml:space="preserve">The collateral evidence establishes a Benji platform-level program. It does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not establish that the Franklin OnChain U.S. Government Money Fund or any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specific share class was pledged.</w:t>
      </w:r>
    </w:p>
    <w:p>
      <w:pPr>
        <w:pStyle w:val="FirstParagraph"/>
      </w:pPr>
      <w:r>
        <w:rPr>
          <w:rFonts w:ascii="Linux Libertine G" w:hAnsi="Linux Libertine G" w:eastAsia="Linux Libertine G" w:cs="Linux Libertine G"/>
          <w:color w:val="000000"/>
        </w:rPr>
        <w:t xml:space="preserve">Eight registry fields remain Unknown. The most material are Invesco’s exact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transfer-effective event and peer-transfer processing calendar, selected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reconciliation procedures, and downstream financial uses that are not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independently verified for four subjects.</w:t>
      </w:r>
    </w:p>
    <w:bookmarkEnd w:id="50"/>
    <w:bookmarkStart w:id="51" w:name="what-this-note-does-not-claim"/>
    <w:p>
      <w:pPr>
        <w:pStyle w:val="Heading1"/>
      </w:pPr>
      <w:r>
        <w:rPr>
          <w:rFonts w:ascii="Linux Libertine G" w:hAnsi="Linux Libertine G" w:eastAsia="Linux Libertine G" w:cs="Linux Libertine G"/>
          <w:color w:val="000000"/>
        </w:rPr>
        <w:t xml:space="preserve">9. What This Note Does Not Claim</w:t>
      </w:r>
    </w:p>
    <w:p>
      <w:pPr>
        <w:pStyle w:val="FirstParagraph"/>
      </w:pPr>
      <w:r>
        <w:rPr>
          <w:rFonts w:ascii="Linux Libertine G" w:hAnsi="Linux Libertine G" w:eastAsia="Linux Libertine G" w:cs="Linux Libertine G"/>
          <w:color w:val="000000"/>
        </w:rPr>
        <w:t xml:space="preserve">This note does not claim that:</w:t>
      </w:r>
    </w:p>
    <w:p>
      <w:pPr>
        <w:pStyle w:val="Compact"/>
        <w:numPr>
          <w:ilvl w:val="0"/>
          <w:numId w:val="1016"/>
        </w:numPr>
      </w:pPr>
      <w:r>
        <w:rPr>
          <w:rFonts w:ascii="Linux Libertine G" w:hAnsi="Linux Libertine G" w:eastAsia="Linux Libertine G" w:cs="Linux Libertine G"/>
          <w:color w:val="000000"/>
        </w:rPr>
        <w:t xml:space="preserve">any reviewed instrument is invalid, unsafe, misleading, or legally defective;</w:t>
      </w:r>
    </w:p>
    <w:p>
      <w:pPr>
        <w:pStyle w:val="Compact"/>
        <w:numPr>
          <w:ilvl w:val="0"/>
          <w:numId w:val="1016"/>
        </w:numPr>
      </w:pPr>
      <w:r>
        <w:rPr>
          <w:rFonts w:ascii="Linux Libertine G" w:hAnsi="Linux Libertine G" w:eastAsia="Linux Libertine G" w:cs="Linux Libertine G"/>
          <w:color w:val="000000"/>
        </w:rPr>
        <w:t xml:space="preserve">any named organization failed an operational, regulatory, fiduciary, or</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contractual duty;</w:t>
      </w:r>
    </w:p>
    <w:p>
      <w:pPr>
        <w:pStyle w:val="Compact"/>
        <w:numPr>
          <w:ilvl w:val="0"/>
          <w:numId w:val="1016"/>
        </w:numPr>
      </w:pPr>
      <w:r>
        <w:rPr>
          <w:rFonts w:ascii="Linux Libertine G" w:hAnsi="Linux Libertine G" w:eastAsia="Linux Libertine G" w:cs="Linux Libertine G"/>
          <w:color w:val="000000"/>
        </w:rPr>
        <w:t xml:space="preserve">a blockchain record is inferior to an offchain record;</w:t>
      </w:r>
    </w:p>
    <w:p>
      <w:pPr>
        <w:pStyle w:val="Compact"/>
        <w:numPr>
          <w:ilvl w:val="0"/>
          <w:numId w:val="1016"/>
        </w:numPr>
      </w:pPr>
      <w:r>
        <w:rPr>
          <w:rFonts w:ascii="Linux Libertine G" w:hAnsi="Linux Libertine G" w:eastAsia="Linux Libertine G" w:cs="Linux Libertine G"/>
          <w:color w:val="000000"/>
        </w:rPr>
        <w:t xml:space="preserve">every tokenized fund uses one of the five observed architectures;</w:t>
      </w:r>
    </w:p>
    <w:p>
      <w:pPr>
        <w:pStyle w:val="Compact"/>
        <w:numPr>
          <w:ilvl w:val="0"/>
          <w:numId w:val="1016"/>
        </w:numPr>
      </w:pPr>
      <w:r>
        <w:rPr>
          <w:rFonts w:ascii="Linux Libertine G" w:hAnsi="Linux Libertine G" w:eastAsia="Linux Libertine G" w:cs="Linux Libertine G"/>
          <w:color w:val="000000"/>
        </w:rPr>
        <w:t xml:space="preserve">the named parties endorse this research;</w:t>
      </w:r>
    </w:p>
    <w:p>
      <w:pPr>
        <w:pStyle w:val="Compact"/>
        <w:numPr>
          <w:ilvl w:val="0"/>
          <w:numId w:val="1016"/>
        </w:numPr>
      </w:pPr>
      <w:r>
        <w:rPr>
          <w:rFonts w:ascii="Linux Libertine G" w:hAnsi="Linux Libertine G" w:eastAsia="Linux Libertine G" w:cs="Linux Libertine G"/>
          <w:color w:val="000000"/>
        </w:rPr>
        <w:t xml:space="preserve">the controlled registry is a regulated benchmark, valuation source, audit,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or legal opinion; or</w:t>
      </w:r>
    </w:p>
    <w:p>
      <w:pPr>
        <w:pStyle w:val="Compact"/>
        <w:numPr>
          <w:ilvl w:val="0"/>
          <w:numId w:val="1016"/>
        </w:numPr>
      </w:pPr>
      <w:r>
        <w:rPr>
          <w:rFonts w:ascii="Linux Libertine G" w:hAnsi="Linux Libertine G" w:eastAsia="Linux Libertine G" w:cs="Linux Libertine G"/>
          <w:color w:val="000000"/>
        </w:rPr>
        <w:t xml:space="preserve">any investment, trading, listing, collateral, or settlement action should be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taken.</w:t>
      </w:r>
    </w:p>
    <w:bookmarkEnd w:id="51"/>
    <w:bookmarkStart w:id="52" w:name="conclusion"/>
    <w:p>
      <w:pPr>
        <w:pStyle w:val="Heading1"/>
      </w:pPr>
      <w:r>
        <w:rPr>
          <w:rFonts w:ascii="Linux Libertine G" w:hAnsi="Linux Libertine G" w:eastAsia="Linux Libertine G" w:cs="Linux Libertine G"/>
          <w:color w:val="000000"/>
        </w:rPr>
        <w:t xml:space="preserve">10. Conclusion</w:t>
      </w:r>
    </w:p>
    <w:p>
      <w:pPr>
        <w:pStyle w:val="FirstParagraph"/>
      </w:pPr>
      <w:r>
        <w:rPr>
          <w:rFonts w:ascii="Linux Libertine G" w:hAnsi="Linux Libertine G" w:eastAsia="Linux Libertine G" w:cs="Linux Libertine G"/>
          <w:color w:val="000000"/>
        </w:rPr>
        <w:t xml:space="preserve">The token is not the complete financial instrument. It is a representation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whose meaning depends on the authoritative record, transfer rules, operating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authority, valuation boundary, reconciliation process, correction hierarchy,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and downstream use that surround it.</w:t>
      </w:r>
    </w:p>
    <w:p>
      <w:pPr>
        <w:pStyle w:val="BodyText"/>
      </w:pPr>
      <w:r>
        <w:rPr>
          <w:rFonts w:ascii="Linux Libertine G" w:hAnsi="Linux Libertine G" w:eastAsia="Linux Libertine G" w:cs="Linux Libertine G"/>
          <w:color w:val="000000"/>
        </w:rPr>
        <w:t xml:space="preserve">Across five primary filings, five different record architectures sit behind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similar tokenized-share forms. Blockchain confirmation completes a transfer 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some architectures, submits an instruction in another, precedes authoritative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book reflection in another, and remains an unresolved boundary in one filing.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Those differences are not cosmetic. They determine what can be proven from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token balance or transaction.</w:t>
      </w:r>
    </w:p>
    <w:p>
      <w:pPr>
        <w:pStyle w:val="BodyText"/>
      </w:pPr>
      <w:r>
        <w:rPr>
          <w:rFonts w:ascii="Linux Libertine G" w:hAnsi="Linux Libertine G" w:eastAsia="Linux Libertine G" w:cs="Linux Libertine G"/>
          <w:color w:val="000000"/>
        </w:rPr>
        <w:t xml:space="preserve">The Franklin and BENJI evidence chain shows why the distinction carries money.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When represented fund shares move at scale and support collateralized trading,</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identity, ownership, custody, valuation, correction, and propagation become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financial controls. The public record proves the workflow but not every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interface or exposure.</w:t>
      </w:r>
    </w:p>
    <w:p>
      <w:pPr>
        <w:pStyle w:val="BodyText"/>
      </w:pPr>
      <w:r>
        <w:rPr>
          <w:rFonts w:ascii="Linux Libertine G" w:hAnsi="Linux Libertine G" w:eastAsia="Linux Libertine G" w:cs="Linux Libertine G"/>
          <w:color w:val="000000"/>
        </w:rPr>
        <w:t xml:space="preserve">The required infrastructure is a maintained financial instrument integrity</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record: canonical, point-in-time, provenance-preserving, rights-aware,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explicit about Unknowns. Without that record, programmable finance can automate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the movement of a representation faster than it can prove the financial object</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being moved.</w:t>
      </w:r>
    </w:p>
    <w:bookmarkEnd w:id="52"/>
    <w:bookmarkStart w:id="63" w:name="references"/>
    <w:p>
      <w:pPr>
        <w:pStyle w:val="Heading1"/>
      </w:pPr>
      <w:r>
        <w:rPr>
          <w:rFonts w:ascii="Linux Libertine G" w:hAnsi="Linux Libertine G" w:eastAsia="Linux Libertine G" w:cs="Linux Libertine G"/>
          <w:color w:val="000000"/>
        </w:rPr>
        <w:t xml:space="preserve">References</w:t>
      </w:r>
    </w:p>
    <w:p>
      <w:pPr>
        <w:pStyle w:val="FirstParagraph"/>
      </w:pPr>
      <w:r>
        <w:rPr>
          <w:rFonts w:ascii="Linux Libertine G" w:hAnsi="Linux Libertine G" w:eastAsia="Linux Libertine G" w:cs="Linux Libertine G"/>
          <w:color w:val="000000"/>
        </w:rPr>
        <w:t xml:space="preserve">Franklin Templeton. 2026a.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“Franklin Templeton, Stellar Development Foundation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Mark Five Years of BENJI.”</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April 30, 2026.</w:t>
      </w:r>
      <w:r>
        <w:rPr>
          <w:rFonts w:ascii="Linux Libertine G" w:hAnsi="Linux Libertine G" w:eastAsia="Linux Libertine G" w:cs="Linux Libertine G"/>
          <w:color w:val="000000"/>
        </w:rPr>
        <w:t xml:space="preserve"> </w:t>
      </w:r>
      <w:hyperlink r:id="rId53">
        <w:r>
          <w:rPr>
            <w:rFonts w:ascii="Linux Libertine G" w:hAnsi="Linux Libertine G" w:eastAsia="Linux Libertine G" w:cs="Linux Libertine G"/>
            <w:rStyle w:val="Hyperlink"/>
            <w:color w:val="000000"/>
            <w:u w:val="single"/>
          </w:rPr>
          <w:t xml:space="preserve">https://www.franklintempleton.com/press-releases/news-room/2026/franklin-templeton-stellar-development-foundation-mark-five-years-of-benji-the-first-u.s.-registered-tokenized-money-market-fund</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Franklin Templeton. 2026b.</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“Franklin Templeton and Binance Advance Strategic</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Collaboration with Institutional Off-Exchange Collateral Program.”</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February 11,</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2026.</w:t>
      </w:r>
      <w:r>
        <w:rPr>
          <w:rFonts w:ascii="Linux Libertine G" w:hAnsi="Linux Libertine G" w:eastAsia="Linux Libertine G" w:cs="Linux Libertine G"/>
          <w:color w:val="000000"/>
        </w:rPr>
        <w:t xml:space="preserve"> </w:t>
      </w:r>
      <w:hyperlink r:id="rId54">
        <w:r>
          <w:rPr>
            <w:rFonts w:ascii="Linux Libertine G" w:hAnsi="Linux Libertine G" w:eastAsia="Linux Libertine G" w:cs="Linux Libertine G"/>
            <w:rStyle w:val="Hyperlink"/>
            <w:color w:val="000000"/>
            <w:u w:val="single"/>
          </w:rPr>
          <w:t xml:space="preserve">https://www.franklintempleton.com/press-releases/news-room/2026/franklin-templeton-and-binance-advance-strategic-collaboration-with-institutional-off-exchange-collateral-program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Franklin Templeton Trust. 2025.</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Franklin OnChain U.S. Government Money Fund</w:t>
      </w:r>
      <w:r>
        <w:rPr>
          <w:rFonts w:ascii="Linux Libertine G" w:hAnsi="Linux Libertine G" w:eastAsia="Linux Libertine G" w:cs="Linux Libertine G"/>
          <w:color w:val="000000"/>
        </w:rPr>
        <w:t xml:space="preser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Form 485BPOS, accession 0001741773-25-000031. January 3, 2025.</w:t>
      </w:r>
      <w:r>
        <w:rPr>
          <w:rFonts w:ascii="Linux Libertine G" w:hAnsi="Linux Libertine G" w:eastAsia="Linux Libertine G" w:cs="Linux Libertine G"/>
          <w:color w:val="000000"/>
        </w:rPr>
        <w:t xml:space="preserve"> </w:t>
      </w:r>
      <w:hyperlink r:id="rId55">
        <w:r>
          <w:rPr>
            <w:rFonts w:ascii="Linux Libertine G" w:hAnsi="Linux Libertine G" w:eastAsia="Linux Libertine G" w:cs="Linux Libertine G"/>
            <w:rStyle w:val="Hyperlink"/>
            <w:color w:val="000000"/>
            <w:u w:val="single"/>
          </w:rPr>
          <w:t xml:space="preserve">https://www.sec.gov/Archives/edgar/data/1786958/000174177325000031/c485bpos.htm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Franklin Templeton Trust.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Supplement to the Franklin OnChain U.S.</w:t>
      </w:r>
      <w:r>
        <w:rPr>
          <w:rFonts w:ascii="Linux Libertine G" w:hAnsi="Linux Libertine G" w:eastAsia="Linux Libertine G" w:cs="Linux Libertine G"/>
          <w:i/>
          <w:iCs/>
          <w:color w:val="000000"/>
        </w:rPr>
        <w:t xml:space="preserve"> </w:t>
      </w:r>
      <w:r>
        <w:rPr>
          <w:rFonts w:ascii="Linux Libertine G" w:hAnsi="Linux Libertine G" w:eastAsia="Linux Libertine G" w:cs="Linux Libertine G"/>
          <w:i/>
          <w:iCs/>
          <w:color w:val="000000"/>
        </w:rPr>
        <w:t xml:space="preserve">Government Money Fund Prospectus and Statement of Additional Information</w:t>
      </w:r>
      <w:r>
        <w:rPr>
          <w:rFonts w:ascii="Linux Libertine G" w:hAnsi="Linux Libertine G" w:eastAsia="Linux Libertine G" w:cs="Linux Libertine G"/>
          <w:color w:val="000000"/>
        </w:rPr>
        <w:t xml:space="preser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Forms 497 and 497K, accessions 0001655589-26-000576 and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0001655589-26-000578. April 24, 2026.</w:t>
      </w:r>
      <w:r>
        <w:rPr>
          <w:rFonts w:ascii="Linux Libertine G" w:hAnsi="Linux Libertine G" w:eastAsia="Linux Libertine G" w:cs="Linux Libertine G"/>
          <w:color w:val="000000"/>
        </w:rPr>
        <w:t xml:space="preserve"> </w:t>
      </w:r>
      <w:hyperlink r:id="rId56">
        <w:r>
          <w:rPr>
            <w:rFonts w:ascii="Linux Libertine G" w:hAnsi="Linux Libertine G" w:eastAsia="Linux Libertine G" w:cs="Linux Libertine G"/>
            <w:rStyle w:val="Hyperlink"/>
            <w:color w:val="000000"/>
            <w:u w:val="single"/>
          </w:rPr>
          <w:t xml:space="preserve">https://www.franklintempleton.com/forms-literature/download-preview/9001-P</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HSBC Physical Gold Trust.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HSBC Hybrid Gold ETF</w:t>
      </w:r>
      <w:r>
        <w:rPr>
          <w:rFonts w:ascii="Linux Libertine G" w:hAnsi="Linux Libertine G" w:eastAsia="Linux Libertine G" w:cs="Linux Libertine G"/>
          <w:color w:val="000000"/>
        </w:rPr>
        <w:t xml:space="preserve">. Form S-1, accession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0001104659-26-009255. February 2, 2026.</w:t>
      </w:r>
      <w:r>
        <w:rPr>
          <w:rFonts w:ascii="Linux Libertine G" w:hAnsi="Linux Libertine G" w:eastAsia="Linux Libertine G" w:cs="Linux Libertine G"/>
          <w:color w:val="000000"/>
        </w:rPr>
        <w:t xml:space="preserve"> </w:t>
      </w:r>
      <w:hyperlink r:id="rId57">
        <w:r>
          <w:rPr>
            <w:rFonts w:ascii="Linux Libertine G" w:hAnsi="Linux Libertine G" w:eastAsia="Linux Libertine G" w:cs="Linux Libertine G"/>
            <w:rStyle w:val="Hyperlink"/>
            <w:color w:val="000000"/>
            <w:u w:val="single"/>
          </w:rPr>
          <w:t xml:space="preserve">https://www.sec.gov/Archives/edgar/data/2065655/000110465926009255/tm2512337d6_s1.htm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JPMorgan Trust IV.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JPMorgan OnChain Liquidity-Token Money Market Fund</w:t>
      </w:r>
      <w:r>
        <w:rPr>
          <w:rFonts w:ascii="Linux Libertine G" w:hAnsi="Linux Libertine G" w:eastAsia="Linux Libertine G" w:cs="Linux Libertine G"/>
          <w:color w:val="000000"/>
        </w:rPr>
        <w:t xml:space="preserv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Form 485BPOS, accession 0001193125-26-217424. May 12, 2026.</w:t>
      </w:r>
      <w:r>
        <w:rPr>
          <w:rFonts w:ascii="Linux Libertine G" w:hAnsi="Linux Libertine G" w:eastAsia="Linux Libertine G" w:cs="Linux Libertine G"/>
          <w:color w:val="000000"/>
        </w:rPr>
        <w:t xml:space="preserve"> </w:t>
      </w:r>
      <w:hyperlink r:id="rId58">
        <w:r>
          <w:rPr>
            <w:rFonts w:ascii="Linux Libertine G" w:hAnsi="Linux Libertine G" w:eastAsia="Linux Libertine G" w:cs="Linux Libertine G"/>
            <w:rStyle w:val="Hyperlink"/>
            <w:color w:val="000000"/>
            <w:u w:val="single"/>
          </w:rPr>
          <w:t xml:space="preserve">https://www.sec.gov/Archives/edgar/data/1659326/000119312526217424/d44657d485bpos.htm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Short-Term Investments Trust. 2026a.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Invesco Stablecoin Reserves Onchain</w:t>
      </w:r>
      <w:r>
        <w:rPr>
          <w:rFonts w:ascii="Linux Libertine G" w:hAnsi="Linux Libertine G" w:eastAsia="Linux Libertine G" w:cs="Linux Libertine G"/>
          <w:i/>
          <w:iCs/>
          <w:color w:val="000000"/>
        </w:rPr>
        <w:t xml:space="preserve"> </w:t>
      </w:r>
      <w:r>
        <w:rPr>
          <w:rFonts w:ascii="Linux Libertine G" w:hAnsi="Linux Libertine G" w:eastAsia="Linux Libertine G" w:cs="Linux Libertine G"/>
          <w:i/>
          <w:iCs/>
          <w:color w:val="000000"/>
        </w:rPr>
        <w:t xml:space="preserve">Fund</w:t>
      </w:r>
      <w:r>
        <w:rPr>
          <w:rFonts w:ascii="Linux Libertine G" w:hAnsi="Linux Libertine G" w:eastAsia="Linux Libertine G" w:cs="Linux Libertine G"/>
          <w:color w:val="000000"/>
        </w:rPr>
        <w:t xml:space="preserve">. Form 485APOS, accession 0002071844-26-000768. July 9, 2026.</w:t>
      </w:r>
      <w:r>
        <w:rPr>
          <w:rFonts w:ascii="Linux Libertine G" w:hAnsi="Linux Libertine G" w:eastAsia="Linux Libertine G" w:cs="Linux Libertine G"/>
          <w:color w:val="000000"/>
        </w:rPr>
        <w:t xml:space="preserve"> </w:t>
      </w:r>
      <w:hyperlink r:id="rId59">
        <w:r>
          <w:rPr>
            <w:rFonts w:ascii="Linux Libertine G" w:hAnsi="Linux Libertine G" w:eastAsia="Linux Libertine G" w:cs="Linux Libertine G"/>
            <w:rStyle w:val="Hyperlink"/>
            <w:color w:val="000000"/>
            <w:u w:val="single"/>
          </w:rPr>
          <w:t xml:space="preserve">https://www.sec.gov/Archives/edgar/data/205007/000207184426000768/final485.htm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Short-Term Investments Trust. 2026b.</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Request for Withdrawal of Registration</w:t>
      </w:r>
      <w:r>
        <w:rPr>
          <w:rFonts w:ascii="Linux Libertine G" w:hAnsi="Linux Libertine G" w:eastAsia="Linux Libertine G" w:cs="Linux Libertine G"/>
          <w:i/>
          <w:iCs/>
          <w:color w:val="000000"/>
        </w:rPr>
        <w:t xml:space="preserve"> </w:t>
      </w:r>
      <w:r>
        <w:rPr>
          <w:rFonts w:ascii="Linux Libertine G" w:hAnsi="Linux Libertine G" w:eastAsia="Linux Libertine G" w:cs="Linux Libertine G"/>
          <w:i/>
          <w:iCs/>
          <w:color w:val="000000"/>
        </w:rPr>
        <w:t xml:space="preserve">Statement Amendments</w:t>
      </w:r>
      <w:r>
        <w:rPr>
          <w:rFonts w:ascii="Linux Libertine G" w:hAnsi="Linux Libertine G" w:eastAsia="Linux Libertine G" w:cs="Linux Libertine G"/>
          <w:color w:val="000000"/>
        </w:rPr>
        <w:t xml:space="preserve">. Form AW, accession 0002071844-26-000774. July 9, 2026.</w:t>
      </w:r>
      <w:r>
        <w:rPr>
          <w:rFonts w:ascii="Linux Libertine G" w:hAnsi="Linux Libertine G" w:eastAsia="Linux Libertine G" w:cs="Linux Libertine G"/>
          <w:color w:val="000000"/>
        </w:rPr>
        <w:t xml:space="preserve"> </w:t>
      </w:r>
      <w:hyperlink r:id="rId60">
        <w:r>
          <w:rPr>
            <w:rFonts w:ascii="Linux Libertine G" w:hAnsi="Linux Libertine G" w:eastAsia="Linux Libertine G" w:cs="Linux Libertine G"/>
            <w:rStyle w:val="Hyperlink"/>
            <w:color w:val="000000"/>
            <w:u w:val="single"/>
          </w:rPr>
          <w:t xml:space="preserve">https://www.sec.gov/Archives/edgar/data/205007/000207184426000774/invescostit-stablecoinonchai.htm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Superstate Trust. 2025.</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i/>
          <w:iCs/>
          <w:color w:val="000000"/>
        </w:rPr>
        <w:t xml:space="preserve">Superstate USTB Money Market Fund</w:t>
      </w:r>
      <w:r>
        <w:rPr>
          <w:rFonts w:ascii="Linux Libertine G" w:hAnsi="Linux Libertine G" w:eastAsia="Linux Libertine G" w:cs="Linux Libertine G"/>
          <w:color w:val="000000"/>
        </w:rPr>
        <w:t xml:space="preserve">. Form N-1A/A,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accession 0001104659-25-042142. April 30, 2025.</w:t>
      </w:r>
      <w:r>
        <w:rPr>
          <w:rFonts w:ascii="Linux Libertine G" w:hAnsi="Linux Libertine G" w:eastAsia="Linux Libertine G" w:cs="Linux Libertine G"/>
          <w:color w:val="000000"/>
        </w:rPr>
        <w:t xml:space="preserve"> </w:t>
      </w:r>
      <w:hyperlink r:id="rId61">
        <w:r>
          <w:rPr>
            <w:rFonts w:ascii="Linux Libertine G" w:hAnsi="Linux Libertine G" w:eastAsia="Linux Libertine G" w:cs="Linux Libertine G"/>
            <w:rStyle w:val="Hyperlink"/>
            <w:color w:val="000000"/>
            <w:u w:val="single"/>
          </w:rPr>
          <w:t xml:space="preserve">https://www.sec.gov/Archives/edgar/data/1982577/000110465925042142/tm2513524d1_n1a.htm</w:t>
        </w:r>
      </w:hyperlink>
      <w:r>
        <w:rPr>
          <w:rFonts w:ascii="Linux Libertine G" w:hAnsi="Linux Libertine G" w:eastAsia="Linux Libertine G" w:cs="Linux Libertine G"/>
          <w:color w:val="000000"/>
        </w:rPr>
        <w:t xml:space="preserve">.</w:t>
      </w:r>
    </w:p>
    <w:p>
      <w:pPr>
        <w:pStyle w:val="BodyText"/>
      </w:pPr>
      <w:r>
        <w:rPr>
          <w:rFonts w:ascii="Linux Libertine G" w:hAnsi="Linux Libertine G" w:eastAsia="Linux Libertine G" w:cs="Linux Libertine G"/>
          <w:color w:val="000000"/>
        </w:rPr>
        <w:t xml:space="preserve">U.S. Securities and Exchange Commission. 2026.</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“Privacy Information: Website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Dissemination.”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Accessed July 15, 2026.</w:t>
      </w:r>
      <w:r>
        <w:rPr>
          <w:rFonts w:ascii="Linux Libertine G" w:hAnsi="Linux Libertine G" w:eastAsia="Linux Libertine G" w:cs="Linux Libertine G"/>
          <w:color w:val="000000"/>
        </w:rPr>
        <w:t xml:space="preserve"> </w:t>
      </w:r>
      <w:hyperlink r:id="rId62">
        <w:r>
          <w:rPr>
            <w:rFonts w:ascii="Linux Libertine G" w:hAnsi="Linux Libertine G" w:eastAsia="Linux Libertine G" w:cs="Linux Libertine G"/>
            <w:rStyle w:val="Hyperlink"/>
            <w:color w:val="000000"/>
            <w:u w:val="single"/>
          </w:rPr>
          <w:t xml:space="preserve">https://www.sec.gov/about/privacy-information</w:t>
        </w:r>
      </w:hyperlink>
      <w:r>
        <w:rPr>
          <w:rFonts w:ascii="Linux Libertine G" w:hAnsi="Linux Libertine G" w:eastAsia="Linux Libertine G" w:cs="Linux Libertine G"/>
          <w:color w:val="000000"/>
        </w:rPr>
        <w:t xml:space="preserve">.</w:t>
      </w:r>
    </w:p>
    <w:bookmarkEnd w:id="63"/>
    <w:bookmarkStart w:id="64" w:name="data-and-artifact-availability"/>
    <w:p>
      <w:pPr>
        <w:pStyle w:val="Heading1"/>
      </w:pPr>
      <w:r>
        <w:rPr>
          <w:rFonts w:ascii="Linux Libertine G" w:hAnsi="Linux Libertine G" w:eastAsia="Linux Libertine G" w:cs="Linux Libertine G"/>
          <w:color w:val="000000"/>
        </w:rPr>
        <w:t xml:space="preserve">Data And Artifact Availability</w:t>
      </w:r>
    </w:p>
    <w:p>
      <w:pPr>
        <w:pStyle w:val="FirstParagraph"/>
      </w:pPr>
      <w:r>
        <w:rPr>
          <w:rFonts w:ascii="Linux Libertine G" w:hAnsi="Linux Libertine G" w:eastAsia="Linux Libertine G" w:cs="Linux Libertine G"/>
          <w:color w:val="000000"/>
        </w:rPr>
        <w:t xml:space="preserve">The public evidence package includes a bounded five-record machine sample, a</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claim-to-evidence matrix, a deterministic classification example, the record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contract, rights determination, correction policy, architecture figures,</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Franklin downstream-use analysis, and a hash-bound release manifest. The</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complete maintained registry, normalized source receipts, implementation,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calculation receipts, correction feed, and future private evidence remain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controlled.</w:t>
      </w:r>
    </w:p>
    <w:p>
      <w:pPr>
        <w:pStyle w:val="BodyText"/>
      </w:pPr>
      <w:r>
        <w:rPr>
          <w:rFonts w:ascii="Linux Libertine G" w:hAnsi="Linux Libertine G" w:eastAsia="Linux Libertine G" w:cs="Linux Libertine G"/>
          <w:color w:val="000000"/>
        </w:rPr>
        <w:t xml:space="preserve">Corrections supported by authoritative evidence may be submitted to</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rampaidarwin@gmail.com</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with the subject</w:t>
      </w:r>
      <w:r>
        <w:rPr>
          <w:rFonts w:ascii="Linux Libertine G" w:hAnsi="Linux Libertine G" w:eastAsia="Linux Libertine G" w:cs="Linux Libertine G"/>
          <w:color w:val="000000"/>
        </w:rPr>
        <w:t xml:space="preserve"> </w:t>
      </w:r>
      <w:r>
        <w:rPr>
          <w:rStyle w:val="VerbatimChar"/>
          <w:rFonts w:ascii="Linux Libertine G" w:hAnsi="Linux Libertine G" w:eastAsia="Linux Libertine G" w:cs="Linux Libertine G"/>
          <w:color w:val="000000"/>
        </w:rPr>
        <w:t xml:space="preserve">TFII 001 correction</w:t>
      </w:r>
      <w:r>
        <w:rPr>
          <w:rFonts w:ascii="Linux Libertine G" w:hAnsi="Linux Libertine G" w:eastAsia="Linux Libertine G" w:cs="Linux Libertine G"/>
          <w:color w:val="000000"/>
        </w:rPr>
        <w:t xml:space="preserve">. Accepted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corrections are recorded without silently overwriting the released version.</w:t>
      </w:r>
    </w:p>
    <w:bookmarkEnd w:id="64"/>
    <w:bookmarkStart w:id="65" w:name="conflicts-and-funding"/>
    <w:p>
      <w:pPr>
        <w:pStyle w:val="Heading1"/>
      </w:pPr>
      <w:r>
        <w:rPr>
          <w:rFonts w:ascii="Linux Libertine G" w:hAnsi="Linux Libertine G" w:eastAsia="Linux Libertine G" w:cs="Linux Libertine G"/>
          <w:color w:val="000000"/>
        </w:rPr>
        <w:t xml:space="preserve">Conflicts And Funding</w:t>
      </w:r>
    </w:p>
    <w:p>
      <w:pPr>
        <w:pStyle w:val="FirstParagraph"/>
      </w:pPr>
      <w:r>
        <w:rPr>
          <w:rFonts w:ascii="Linux Libertine G" w:hAnsi="Linux Libertine G" w:eastAsia="Linux Libertine G" w:cs="Linux Libertine G"/>
          <w:color w:val="000000"/>
        </w:rPr>
        <w:t xml:space="preserve">The author conducted this work independently. No named subject funded,</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classified, reviewed, or endorsed it. No settled revenue, licence, adoption,</w:t>
      </w:r>
      <w:r>
        <w:rPr>
          <w:rFonts w:ascii="Linux Libertine G" w:hAnsi="Linux Libertine G" w:eastAsia="Linux Libertine G" w:cs="Linux Libertine G"/>
          <w:color w:val="000000"/>
        </w:rPr>
        <w:t xml:space="preserve"> </w:t>
      </w:r>
      <w:r>
        <w:rPr>
          <w:rFonts w:ascii="Linux Libertine G" w:hAnsi="Linux Libertine G" w:eastAsia="Linux Libertine G" w:cs="Linux Libertine G"/>
          <w:color w:val="000000"/>
        </w:rPr>
        <w:t xml:space="preserve">endorsement, or commercial validation is claimed.</w:t>
      </w:r>
    </w:p>
    <w:bookmarkEnd w:id="65"/>
    <w:sectPr>
      <w:headerReference r:id="rId9" w:type="first"/>
      <w:footerReference r:id="rId10" w:type="first"/>
      <w:headerReference r:id="rId11" w:type="default"/>
      <w:footerReference r:id="rId12" w:type="default"/>
      <w:footnotePr>
        <w:numRestart w:val="eachSect"/>
      </w:footnotePr>
      <w:pgSz w:h="15840" w:w="12240"/>
      <w:pgMar w:bottom="1440" w:footer="605" w:header="605"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 w:pos="9360" w:val="right"/>
      </w:tabs>
    </w:pPr>
    <w:r>
      <w:rPr>
        <w:rFonts w:ascii="Linux Libertine G" w:hAnsi="Linux Libertine G" w:eastAsia="Linux Libertine G" w:cs="Linux Libertine G"/>
        <w:color w:val="000000"/>
        <w:sz w:val="15"/>
      </w:rPr>
      <w:t>RAMPAI / INDEPENDENT RESEARCH / 2026 / VERSION 1.0</w:t>
    </w:r>
    <w:r>
      <w:rPr>
        <w:rFonts w:ascii="Linux Libertine G" w:hAnsi="Linux Libertine G" w:eastAsia="Linux Libertine G" w:cs="Linux Libertine G"/>
        <w:color w:val="000000"/>
        <w:sz w:val="15"/>
      </w:rPr>
      <w:tab/>
      <w:t xml:space="preserve">PAGE </w:t>
    </w:r>
    <w:r>
      <w:rPr>
        <w:rFonts w:ascii="Linux Libertine G" w:hAnsi="Linux Libertine G" w:eastAsia="Linux Libertine G" w:cs="Linux Libertine G"/>
        <w:color w:val="00000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 w:pos="9360" w:val="right"/>
      </w:tabs>
      <w:spacing w:after="60"/>
      <w:pBdr>
        <w:bottom w:val="single" w:sz="4" w:space="2" w:color="000000"/>
      </w:pBdr>
    </w:pPr>
    <w:r>
      <w:rPr>
        <w:rFonts w:ascii="Linux Libertine G" w:hAnsi="Linux Libertine G" w:eastAsia="Linux Libertine G" w:cs="Linux Libertine G"/>
        <w:b/>
        <w:color w:val="000000"/>
        <w:sz w:val="15"/>
      </w:rPr>
      <w:t>INDEPENDENT RESEARCH</w:t>
    </w:r>
    <w:r>
      <w:rPr>
        <w:rFonts w:ascii="Linux Libertine G" w:hAnsi="Linux Libertine G" w:eastAsia="Linux Libertine G" w:cs="Linux Libertine G"/>
        <w:color w:val="000000"/>
        <w:sz w:val="15"/>
      </w:rPr>
      <w:tab/>
      <w:t>THE TOKEN IS NOT THE FINANCIAL INSTRUMENT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40" w:before="0" w:line="293" w:lineRule="auto"/>
    </w:pPr>
    <w:rPr>
      <w:rFonts w:ascii="Linux Libertine G" w:eastAsia="Linux Libertine G" w:hAnsi="Linux Libertine G"/>
      <w:b w:val="0"/>
      <w:i w:val="0"/>
      <w:color w:val="000000"/>
      <w:sz w:val="21"/>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keepNext/>
      <w:widowControl/>
      <w:spacing w:after="240" w:before="2760" w:line="240" w:lineRule="auto"/>
      <w:contextualSpacing/>
      <w:jc w:val="left"/>
    </w:pPr>
    <w:rPr>
      <w:rFonts w:ascii="Linux Libertine G" w:asciiTheme="majorHAnsi" w:cstheme="majorBidi" w:eastAsia="Linux Libertine G" w:eastAsiaTheme="majorEastAsia" w:hAnsi="Linux Libertine G" w:hAnsiTheme="majorHAnsi"/>
      <w:b/>
      <w:i w:val="0"/>
      <w:color w:val="000000"/>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keepNext/>
      <w:widowControl/>
      <w:numPr>
        <w:ilvl w:val="1"/>
      </w:numPr>
      <w:spacing w:after="480" w:before="0"/>
      <w:jc w:val="left"/>
      <w:pBdr>
        <w:bottom w:color="000000" w:space="1" w:sz="18" w:val="single"/>
      </w:pBdr>
    </w:pPr>
    <w:rPr>
      <w:rFonts w:ascii="Linux Libertine G" w:cstheme="majorBidi" w:eastAsia="Linux Libertine G" w:eastAsiaTheme="majorEastAsia" w:hAnsi="Linux Libertine G"/>
      <w:b w:val="0"/>
      <w:i/>
      <w:color w:val="00000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keepNext w:val="0"/>
      <w:widowControl/>
      <w:spacing w:after="100" w:before="0" w:line="264" w:lineRule="auto"/>
      <w:ind w:hanging="360" w:left="360"/>
    </w:pPr>
    <w:rPr>
      <w:rFonts w:ascii="Linux Libertine G" w:eastAsia="Linux Libertine G" w:hAnsi="Linux Libertine G"/>
      <w:b w:val="0"/>
      <w:i w:val="0"/>
      <w:color w:val="000000"/>
      <w:sz w:val="16"/>
    </w:rPr>
  </w:style>
  <w:style w:styleId="Heading1" w:type="paragraph">
    <w:name w:val="heading 1"/>
    <w:basedOn w:val="Normal"/>
    <w:next w:val="BodyText"/>
    <w:link w:val="Heading1Char"/>
    <w:uiPriority w:val="9"/>
    <w:qFormat/>
    <w:rsid w:val="00A10FD9"/>
    <w:pPr>
      <w:keepNext/>
      <w:keepLines/>
      <w:widowControl/>
      <w:spacing w:after="180" w:before="440"/>
      <w:outlineLvl w:val="0"/>
    </w:pPr>
    <w:rPr>
      <w:rFonts w:ascii="Linux Libertine G" w:asciiTheme="majorHAnsi" w:cstheme="majorBidi" w:eastAsia="Linux Libertine G" w:eastAsiaTheme="majorEastAsia" w:hAnsi="Linux Libertine G" w:hAnsiTheme="majorHAnsi"/>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widowControl/>
      <w:spacing w:after="140" w:before="320"/>
      <w:outlineLvl w:val="1"/>
    </w:pPr>
    <w:rPr>
      <w:rFonts w:ascii="Linux Libertine G" w:asciiTheme="majorHAnsi" w:cstheme="majorBidi" w:eastAsia="Linux Libertine G" w:eastAsiaTheme="majorEastAsia" w:hAnsi="Linux Libertine G" w:hAnsiTheme="majorHAnsi"/>
      <w:b/>
      <w:i w:val="0"/>
      <w:color w:val="000000"/>
      <w:sz w:val="27"/>
      <w:szCs w:val="32"/>
    </w:rPr>
  </w:style>
  <w:style w:styleId="Heading3" w:type="paragraph">
    <w:name w:val="heading 3"/>
    <w:basedOn w:val="Normal"/>
    <w:next w:val="BodyText"/>
    <w:link w:val="Heading3Char"/>
    <w:uiPriority w:val="9"/>
    <w:semiHidden/>
    <w:unhideWhenUsed/>
    <w:qFormat/>
    <w:rsid w:val="00A10FD9"/>
    <w:pPr>
      <w:keepNext/>
      <w:keepLines/>
      <w:widowControl/>
      <w:spacing w:after="100" w:before="240"/>
      <w:outlineLvl w:val="2"/>
    </w:pPr>
    <w:rPr>
      <w:rFonts w:ascii="Linux Libertine G" w:cstheme="majorBidi" w:eastAsia="Linux Libertine G" w:eastAsiaTheme="majorEastAsia" w:hAnsi="Linux Libertine G"/>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keepNext w:val="0"/>
      <w:widowControl/>
      <w:spacing w:after="120" w:before="120" w:line="288" w:lineRule="auto"/>
      <w:ind w:firstLine="0" w:left="360" w:right="360"/>
    </w:pPr>
    <w:rPr>
      <w:rFonts w:ascii="Linux Libertine G" w:eastAsia="Linux Libertine G" w:hAnsi="Linux Libertine G"/>
      <w:b w:val="0"/>
      <w:i w:val="0"/>
      <w:color w:val="000000"/>
      <w:sz w:val="21"/>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keepNext/>
      <w:widowControl/>
      <w:spacing w:after="100" w:before="160"/>
    </w:pPr>
    <w:rPr>
      <w:rFonts w:ascii="Linux Libertine G" w:eastAsia="Linux Libertine G" w:hAnsi="Linux Libertine G"/>
      <w:b w:val="0"/>
      <w:i w:val="0"/>
      <w:color w:val="000000"/>
      <w:sz w:val="17"/>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rFonts w:ascii="Linux Libertine G" w:eastAsia="Linux Libertine G" w:hAnsi="Linux Libertine G"/>
      <w:b w:val="0"/>
      <w:i w:val="0"/>
      <w:color w:val="000000"/>
      <w:sz w:val="2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customStyle="1" w:styleId="FETWordmark" w:type="paragraph">
    <w:name w:val="FET Wordmark"/>
    <w:pPr>
      <w:keepNext/>
      <w:widowControl/>
      <w:spacing w:after="280" w:before="0" w:line="288" w:lineRule="auto"/>
    </w:pPr>
    <w:rPr>
      <w:rFonts w:ascii="Linux Libertine G" w:eastAsia="Linux Libertine G" w:hAnsi="Linux Libertine G"/>
      <w:b/>
      <w:i w:val="0"/>
      <w:color w:val="000000"/>
      <w:sz w:val="17"/>
    </w:rPr>
  </w:style>
  <w:style w:customStyle="1" w:styleId="FETDocumentType" w:type="paragraph">
    <w:name w:val="FET Document Type"/>
    <w:pPr>
      <w:keepNext/>
      <w:widowControl/>
      <w:spacing w:after="120" w:before="0" w:line="288" w:lineRule="auto"/>
    </w:pPr>
    <w:rPr>
      <w:rFonts w:ascii="Linux Libertine G" w:eastAsia="Linux Libertine G" w:hAnsi="Linux Libertine G"/>
      <w:b/>
      <w:i w:val="0"/>
      <w:color w:val="000000"/>
      <w:sz w:val="18"/>
    </w:rPr>
  </w:style>
  <w:style w:customStyle="1" w:styleId="FETCoverMetadata" w:type="paragraph">
    <w:name w:val="FET Cover Metadata"/>
    <w:pPr>
      <w:keepNext w:val="0"/>
      <w:widowControl/>
      <w:spacing w:after="40" w:before="80" w:line="288" w:lineRule="auto"/>
    </w:pPr>
    <w:rPr>
      <w:rFonts w:ascii="Linux Libertine G" w:eastAsia="Linux Libertine G" w:hAnsi="Linux Libertine G"/>
      <w:b w:val="0"/>
      <w:i w:val="0"/>
      <w:color w:val="000000"/>
      <w:sz w:val="17"/>
    </w:rPr>
  </w:style>
  <w:style w:customStyle="1" w:styleId="FETCoverStatement" w:type="paragraph">
    <w:name w:val="FET Cover Statement"/>
    <w:pPr>
      <w:keepNext w:val="0"/>
      <w:widowControl/>
      <w:spacing w:after="0" w:before="0" w:line="288" w:lineRule="auto"/>
    </w:pPr>
    <w:rPr>
      <w:rFonts w:ascii="Linux Libertine G" w:eastAsia="Linux Libertine G" w:hAnsi="Linux Libertine G"/>
      <w:b w:val="0"/>
      <w:i/>
      <w:color w:val="000000"/>
      <w:sz w:val="18"/>
    </w:rPr>
  </w:style>
  <w:style w:customStyle="1" w:styleId="FETLead" w:type="paragraph">
    <w:name w:val="FET Lead"/>
    <w:pPr>
      <w:keepNext w:val="0"/>
      <w:widowControl/>
      <w:spacing w:after="180" w:before="0" w:line="288" w:lineRule="auto"/>
    </w:pPr>
    <w:rPr>
      <w:rFonts w:ascii="Linux Libertine G" w:eastAsia="Linux Libertine G" w:hAnsi="Linux Libertine G"/>
      <w:b w:val="0"/>
      <w:i w:val="0"/>
      <w:color w:val="000000"/>
      <w:sz w:val="24"/>
    </w:rPr>
  </w:style>
  <w:style w:customStyle="1" w:styleId="FETAbstract" w:type="paragraph">
    <w:name w:val="FET Abstract"/>
    <w:pPr>
      <w:keepNext w:val="0"/>
      <w:widowControl/>
      <w:spacing w:after="140" w:before="0" w:line="288" w:lineRule="auto"/>
    </w:pPr>
    <w:rPr>
      <w:rFonts w:ascii="Linux Libertine G" w:eastAsia="Linux Libertine G" w:hAnsi="Linux Libertine G"/>
      <w:b w:val="0"/>
      <w:i w:val="0"/>
      <w:color w:val="000000"/>
      <w:sz w:val="21"/>
    </w:rPr>
  </w:style>
  <w:style w:customStyle="1" w:styleId="FETPrincipalFinding" w:type="paragraph">
    <w:name w:val="FET Principal Finding"/>
    <w:pPr>
      <w:keepNext w:val="0"/>
      <w:widowControl/>
      <w:spacing w:after="160" w:before="160" w:line="288" w:lineRule="auto"/>
      <w:pBdr>
        <w:top w:color="000000" w:space="5" w:sz="8" w:val="single"/>
        <w:left w:color="000000" w:space="5" w:sz="8" w:val="single"/>
        <w:bottom w:color="000000" w:space="5" w:sz="8" w:val="single"/>
        <w:right w:color="000000" w:space="5" w:sz="8" w:val="single"/>
      </w:pBdr>
    </w:pPr>
    <w:rPr>
      <w:rFonts w:ascii="Linux Libertine G" w:eastAsia="Linux Libertine G" w:hAnsi="Linux Libertine G"/>
      <w:b w:val="0"/>
      <w:i w:val="0"/>
      <w:color w:val="000000"/>
      <w:sz w:val="21"/>
    </w:rPr>
  </w:style>
  <w:style w:customStyle="1" w:styleId="FETEvidenceBoundary" w:type="paragraph">
    <w:name w:val="FET Evidence Boundary"/>
    <w:pPr>
      <w:keepNext w:val="0"/>
      <w:widowControl/>
      <w:spacing w:after="160" w:before="160" w:line="288" w:lineRule="auto"/>
      <w:pBdr>
        <w:top w:color="000000" w:space="5" w:sz="8" w:val="single"/>
        <w:left w:color="000000" w:space="5" w:sz="8" w:val="single"/>
        <w:bottom w:color="000000" w:space="5" w:sz="8" w:val="single"/>
        <w:right w:color="000000" w:space="5" w:sz="8" w:val="single"/>
      </w:pBdr>
    </w:pPr>
    <w:rPr>
      <w:rFonts w:ascii="Linux Libertine G" w:eastAsia="Linux Libertine G" w:hAnsi="Linux Libertine G"/>
      <w:b w:val="0"/>
      <w:i w:val="0"/>
      <w:color w:val="000000"/>
      <w:sz w:val="21"/>
    </w:rPr>
  </w:style>
  <w:style w:customStyle="1" w:styleId="FETTableCaption" w:type="paragraph">
    <w:name w:val="FET Table Caption"/>
    <w:pPr>
      <w:keepNext w:val="0"/>
      <w:widowControl/>
      <w:spacing w:after="80" w:before="120" w:line="288" w:lineRule="auto"/>
    </w:pPr>
    <w:rPr>
      <w:rFonts w:ascii="Linux Libertine G" w:eastAsia="Linux Libertine G" w:hAnsi="Linux Libertine G"/>
      <w:b/>
      <w:i w:val="0"/>
      <w:color w:val="000000"/>
      <w:sz w:val="17"/>
    </w:rPr>
  </w:style>
  <w:style w:customStyle="1" w:styleId="FETFigureCaption" w:type="paragraph">
    <w:name w:val="FET Figure Caption"/>
    <w:pPr>
      <w:keepNext w:val="0"/>
      <w:widowControl/>
      <w:spacing w:after="120" w:before="80" w:line="288" w:lineRule="auto"/>
    </w:pPr>
    <w:rPr>
      <w:rFonts w:ascii="Linux Libertine G" w:eastAsia="Linux Libertine G" w:hAnsi="Linux Libertine G"/>
      <w:b w:val="0"/>
      <w:i w:val="0"/>
      <w:color w:val="000000"/>
      <w:sz w:val="17"/>
    </w:rPr>
  </w:style>
  <w:style w:customStyle="1" w:styleId="FETTOCEntry" w:type="paragraph">
    <w:name w:val="FET TOC Entry"/>
    <w:pPr>
      <w:keepNext w:val="0"/>
      <w:widowControl/>
      <w:spacing w:after="100" w:before="0" w:line="288" w:lineRule="auto"/>
    </w:pPr>
    <w:rPr>
      <w:rFonts w:ascii="Linux Libertine G" w:eastAsia="Linux Libertine G" w:hAnsi="Linux Libertine G"/>
      <w:b w:val="0"/>
      <w:i w:val="0"/>
      <w:color w:val="000000"/>
      <w:sz w:val="19"/>
    </w:rPr>
  </w:style>
  <w:style w:customStyle="1" w:styleId="FETEvidenceID" w:type="paragraph">
    <w:name w:val="FET Evidence ID"/>
    <w:pPr>
      <w:keepNext w:val="0"/>
      <w:widowControl/>
      <w:spacing w:after="80" w:before="0" w:line="288" w:lineRule="auto"/>
    </w:pPr>
    <w:rPr>
      <w:rFonts w:ascii="Linux Libertine G" w:eastAsia="Linux Libertine G" w:hAnsi="Linux Libertine G"/>
      <w:b w:val="0"/>
      <w:i w:val="0"/>
      <w:color w:val="000000"/>
      <w:sz w:val="17"/>
    </w:rPr>
  </w:style>
  <w:style w:customStyle="1" w:styleId="FETCoverRule" w:type="paragraph">
    <w:name w:val="FET Cover Rule"/>
    <w:pPr>
      <w:keepNext w:val="0"/>
      <w:widowControl/>
      <w:spacing w:after="240" w:before="80"/>
      <w:pBdr>
        <w:bottom w:color="000000" w:space="1" w:sz="18" w:val="single"/>
      </w:pBdr>
    </w:pPr>
    <w:rPr>
      <w:rFonts w:ascii="Linux Libertine G" w:eastAsia="Linux Libertine G" w:hAnsi="Linux Libertine G"/>
      <w:b w:val="0"/>
      <w:i w:val="0"/>
      <w:color w:val="000000"/>
      <w:sz w:val="4"/>
    </w:rPr>
  </w:style>
  <w:style w:customStyle="1" w:styleId="SourceCode" w:type="paragraph">
    <w:name w:val="Source Code"/>
    <w:pPr>
      <w:keepNext w:val="0"/>
      <w:widowControl/>
      <w:spacing w:after="120" w:before="80" w:line="240" w:lineRule="auto"/>
    </w:pPr>
    <w:rPr>
      <w:rFonts w:ascii="Linux Libertine G" w:eastAsia="Linux Libertine G" w:hAnsi="Linux Libertine G"/>
      <w:b w:val="0"/>
      <w:i w:val="0"/>
      <w:color w:val="000000"/>
      <w:sz w:val="17"/>
    </w:rPr>
  </w:style>
  <w:style w:customStyle="1" w:styleId="Quote" w:type="paragraph">
    <w:name w:val="Quote"/>
    <w:pPr>
      <w:keepNext w:val="0"/>
      <w:widowControl/>
      <w:spacing w:after="120" w:before="120" w:line="288" w:lineRule="auto"/>
      <w:ind w:left="432"/>
    </w:pPr>
    <w:rPr>
      <w:rFonts w:ascii="Linux Libertine G" w:eastAsia="Linux Libertine G" w:hAnsi="Linux Libertine G"/>
      <w:b w:val="0"/>
      <w:i/>
      <w:color w:val="000000"/>
      <w:sz w:val="21"/>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39" Type="http://schemas.openxmlformats.org/officeDocument/2006/relationships/image" Target="media/rId39.svg"/><Relationship Id="rId31" Type="http://schemas.openxmlformats.org/officeDocument/2006/relationships/image" Target="media/rId31.svg"/><Relationship Id="rId56" Type="http://schemas.openxmlformats.org/officeDocument/2006/relationships/hyperlink" Target="https://www.franklintempleton.com/forms-literature/download-preview/9001-P" TargetMode="External"/><Relationship Id="rId54" Type="http://schemas.openxmlformats.org/officeDocument/2006/relationships/hyperlink" Target="https://www.franklintempleton.com/press-releases/news-room/2026/franklin-templeton-and-binance-advance-strategic-collaboration-with-institutional-off-exchange-collateral-program" TargetMode="External"/><Relationship Id="rId53" Type="http://schemas.openxmlformats.org/officeDocument/2006/relationships/hyperlink" Target="https://www.franklintempleton.com/press-releases/news-room/2026/franklin-templeton-stellar-development-foundation-mark-five-years-of-benji-the-first-u.s.-registered-tokenized-money-market-fund" TargetMode="External"/><Relationship Id="rId58" Type="http://schemas.openxmlformats.org/officeDocument/2006/relationships/hyperlink" Target="https://www.sec.gov/Archives/edgar/data/1659326/000119312526217424/d44657d485bpos.htm" TargetMode="External"/><Relationship Id="rId55" Type="http://schemas.openxmlformats.org/officeDocument/2006/relationships/hyperlink" Target="https://www.sec.gov/Archives/edgar/data/1786958/000174177325000031/c485bpos.htm" TargetMode="External"/><Relationship Id="rId61" Type="http://schemas.openxmlformats.org/officeDocument/2006/relationships/hyperlink" Target="https://www.sec.gov/Archives/edgar/data/1982577/000110465925042142/tm2513524d1_n1a.htm" TargetMode="External"/><Relationship Id="rId59" Type="http://schemas.openxmlformats.org/officeDocument/2006/relationships/hyperlink" Target="https://www.sec.gov/Archives/edgar/data/205007/000207184426000768/final485.htm" TargetMode="External"/><Relationship Id="rId60" Type="http://schemas.openxmlformats.org/officeDocument/2006/relationships/hyperlink" Target="https://www.sec.gov/Archives/edgar/data/205007/000207184426000774/invescostit-stablecoinonchai.htm" TargetMode="External"/><Relationship Id="rId57" Type="http://schemas.openxmlformats.org/officeDocument/2006/relationships/hyperlink" Target="https://www.sec.gov/Archives/edgar/data/2065655/000110465926009255/tm2512337d6_s1.htm" TargetMode="External"/><Relationship Id="rId62" Type="http://schemas.openxmlformats.org/officeDocument/2006/relationships/hyperlink" Target="https://www.sec.gov/about/privacy-information"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www.franklintempleton.com/forms-literature/download-preview/9001-P" TargetMode="External"/><Relationship Id="rId54" Type="http://schemas.openxmlformats.org/officeDocument/2006/relationships/hyperlink" Target="https://www.franklintempleton.com/press-releases/news-room/2026/franklin-templeton-and-binance-advance-strategic-collaboration-with-institutional-off-exchange-collateral-program" TargetMode="External"/><Relationship Id="rId53" Type="http://schemas.openxmlformats.org/officeDocument/2006/relationships/hyperlink" Target="https://www.franklintempleton.com/press-releases/news-room/2026/franklin-templeton-stellar-development-foundation-mark-five-years-of-benji-the-first-u.s.-registered-tokenized-money-market-fund" TargetMode="External"/><Relationship Id="rId58" Type="http://schemas.openxmlformats.org/officeDocument/2006/relationships/hyperlink" Target="https://www.sec.gov/Archives/edgar/data/1659326/000119312526217424/d44657d485bpos.htm" TargetMode="External"/><Relationship Id="rId55" Type="http://schemas.openxmlformats.org/officeDocument/2006/relationships/hyperlink" Target="https://www.sec.gov/Archives/edgar/data/1786958/000174177325000031/c485bpos.htm" TargetMode="External"/><Relationship Id="rId61" Type="http://schemas.openxmlformats.org/officeDocument/2006/relationships/hyperlink" Target="https://www.sec.gov/Archives/edgar/data/1982577/000110465925042142/tm2513524d1_n1a.htm" TargetMode="External"/><Relationship Id="rId59" Type="http://schemas.openxmlformats.org/officeDocument/2006/relationships/hyperlink" Target="https://www.sec.gov/Archives/edgar/data/205007/000207184426000768/final485.htm" TargetMode="External"/><Relationship Id="rId60" Type="http://schemas.openxmlformats.org/officeDocument/2006/relationships/hyperlink" Target="https://www.sec.gov/Archives/edgar/data/205007/000207184426000774/invescostit-stablecoinonchai.htm" TargetMode="External"/><Relationship Id="rId57" Type="http://schemas.openxmlformats.org/officeDocument/2006/relationships/hyperlink" Target="https://www.sec.gov/Archives/edgar/data/2065655/000110465926009255/tm2512337d6_s1.htm" TargetMode="External"/><Relationship Id="rId62" Type="http://schemas.openxmlformats.org/officeDocument/2006/relationships/hyperlink" Target="https://www.sec.gov/about/privacy-in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Token Is Not the Financial Instrument</dc:title>
  <dc:creator>Darwin Rampai</dc:creator>
  <cp:keywords>tokenized financial instruments, financial reference integrity, authoritative ownership record, transfer effectiveness, reconciliation, tokenized funds, collateral controls</cp:keywords>
  <dcterms:created xsi:type="dcterms:W3CDTF">2026-07-16T00:11:04Z</dcterms:created>
  <dcterms:modified xsi:type="dcterms:W3CDTF">2026-07-16T00:11:04Z</dcterms:modified>
  <dc:subject>Five Tokenized Funds, Five Record Architectures, and the Control Boundary Between Blockchain Transfer and Financial Ownership</dc:subject>
  <dc:description>Generated under Independent Research Publication Standard 1.3; status RELEASED; disclosure PUBLIC</dc:description>
</cp:coreProperties>
</file>

<file path=docProps/custom.xml><?xml version="1.0" encoding="utf-8"?>
<Properties xmlns="http://schemas.openxmlformats.org/officeDocument/2006/custom-properties" xmlns:vt="http://schemas.openxmlformats.org/officeDocument/2006/docPropsVTypes"/>
</file>