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rId2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ETWordmark"/>
      </w:pPr>
      <w:r>
        <w:rPr>
          <w:rFonts w:ascii="Linux Libertine G" w:hAnsi="Linux Libertine G" w:eastAsia="Linux Libertine G" w:cs="Linux Libertine G"/>
          <w:color w:val="000000"/>
        </w:rPr>
        <w:t xml:space="preserve">INDEPENDENT RESEARCH</w:t>
      </w:r>
    </w:p>
    <w:p>
      <w:pPr>
        <w:pStyle w:val="FETDocumentType"/>
      </w:pPr>
      <w:r>
        <w:rPr>
          <w:rFonts w:ascii="Linux Libertine G" w:hAnsi="Linux Libertine G" w:eastAsia="Linux Libertine G" w:cs="Linux Libertine G"/>
          <w:color w:val="000000"/>
        </w:rPr>
        <w:t xml:space="preserve">TECHNICAL DETERMINATION</w:t>
      </w:r>
    </w:p>
    <w:p>
      <w:pPr>
        <w:pStyle w:val="Title"/>
      </w:pPr>
      <w:r>
        <w:rPr>
          <w:rFonts w:ascii="Linux Libertine G" w:hAnsi="Linux Libertine G" w:eastAsia="Linux Libertine G" w:cs="Linux Libertine G"/>
          <w:color w:val="000000"/>
        </w:rPr>
        <w:t xml:space="preserve">Movement Is Not Admission</w:t>
      </w:r>
    </w:p>
    <w:p>
      <w:pPr>
        <w:pStyle w:val="Subtitle"/>
      </w:pPr>
      <w:r>
        <w:rPr>
          <w:rFonts w:ascii="Linux Libertine G" w:hAnsi="Linux Libertine G" w:eastAsia="Linux Libertine G" w:cs="Linux Libertine G"/>
          <w:color w:val="000000"/>
        </w:rPr>
        <w:t xml:space="preserve">The Missing Production Control in a Tokenized Money-Market-Fund Collateral Sandbox</w:t>
      </w:r>
    </w:p>
    <w:p>
      <w:pPr>
        <w:pStyle w:val="FETCoverMetadata"/>
      </w:pPr>
      <w:r>
        <w:rPr>
          <w:rFonts w:ascii="Linux Libertine G" w:hAnsi="Linux Libertine G" w:eastAsia="Linux Libertine G" w:cs="Linux Libertine G"/>
          <w:color w:val="000000"/>
        </w:rPr>
        <w:t xml:space="preserve">VERSION 1.0</w:t>
      </w:r>
      <w:r>
        <w:rPr>
          <w:rFonts w:ascii="Linux Libertine G" w:hAnsi="Linux Libertine G" w:eastAsia="Linux Libertine G" w:cs="Linux Libertine G"/>
          <w:color w:val="000000"/>
        </w:rPr>
        <w:br/>
      </w:r>
      <w:r>
        <w:rPr>
          <w:rFonts w:ascii="Linux Libertine G" w:hAnsi="Linux Libertine G" w:eastAsia="Linux Libertine G" w:cs="Linux Libertine G"/>
          <w:color w:val="000000"/>
        </w:rPr>
        <w:t xml:space="preserve">16 JULY 2026</w:t>
      </w:r>
      <w:r>
        <w:rPr>
          <w:rFonts w:ascii="Linux Libertine G" w:hAnsi="Linux Libertine G" w:eastAsia="Linux Libertine G" w:cs="Linux Libertine G"/>
          <w:color w:val="000000"/>
        </w:rPr>
        <w:br/>
      </w:r>
      <w:r>
        <w:rPr>
          <w:rFonts w:ascii="Linux Libertine G" w:hAnsi="Linux Libertine G" w:eastAsia="Linux Libertine G" w:cs="Linux Libertine G"/>
          <w:color w:val="000000"/>
        </w:rPr>
        <w:t xml:space="preserve">Darwin Rampai</w:t>
      </w:r>
    </w:p>
    <w:p>
      <w:pPr>
        <w:pStyle w:val="FETCoverStatement"/>
      </w:pPr>
      <w:r>
        <w:rPr>
          <w:rFonts w:ascii="Linux Libertine G" w:hAnsi="Linux Libertine G" w:eastAsia="Linux Libertine G" w:cs="Linux Libertine G"/>
          <w:color w:val="000000"/>
        </w:rPr>
        <w:t xml:space="preserve">A bounded determination separating demonstrated tokenized-collateral movement from the evidence required for production admission. No instrument is declared eligible, ineligible, safe, or unsafe.</w:t>
      </w:r>
    </w:p>
    <w:p>
      <w:r>
        <w:rPr>
          <w:rFonts w:ascii="Linux Libertine G" w:hAnsi="Linux Libertine G" w:eastAsia="Linux Libertine G" w:cs="Linux Libertine G"/>
          <w:color w:val="000000"/>
        </w:rPr>
        <w:br w:type="page"/>
      </w:r>
    </w:p>
    <w:bookmarkStart w:id="21" w:name="publication-note"/>
    <w:p>
      <w:pPr>
        <w:pStyle w:val="Heading1"/>
      </w:pPr>
      <w:r>
        <w:rPr>
          <w:rFonts w:ascii="Linux Libertine G" w:hAnsi="Linux Libertine G" w:eastAsia="Linux Libertine G" w:cs="Linux Libertine G"/>
          <w:color w:val="000000"/>
        </w:rPr>
        <w:t xml:space="preserve">Publication Note</w:t>
      </w:r>
    </w:p>
    <w:p>
      <w:pPr>
        <w:pStyle w:val="FirstParagraph"/>
      </w:pPr>
      <w:r>
        <w:rPr>
          <w:rFonts w:ascii="Linux Libertine G" w:hAnsi="Linux Libertine G" w:eastAsia="Linux Libertine G" w:cs="Linux Libertine G"/>
          <w:b/>
          <w:bCs/>
          <w:color w:val="000000"/>
        </w:rPr>
        <w:t xml:space="preserve">Citation:</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Rampai, Darwin. 2026.</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i/>
          <w:iCs/>
          <w:color w:val="000000"/>
        </w:rPr>
        <w:t xml:space="preserve">Movement Is Not Admission</w:t>
      </w:r>
      <w:r>
        <w:rPr>
          <w:rFonts w:ascii="Linux Libertine G" w:hAnsi="Linux Libertine G" w:eastAsia="Linux Libertine G" w:cs="Linux Libertine G"/>
          <w:color w:val="000000"/>
        </w:rPr>
        <w:t xml:space="preserve">. Version 1.0.</w:t>
      </w:r>
      <w:r>
        <w:rPr>
          <w:rFonts w:ascii="Linux Libertine G" w:hAnsi="Linux Libertine G" w:eastAsia="Linux Libertine G" w:cs="Linux Libertine G"/>
          <w:color w:val="000000"/>
        </w:rPr>
        <w:br/>
      </w:r>
      <w:r>
        <w:rPr>
          <w:rFonts w:ascii="Linux Libertine G" w:hAnsi="Linux Libertine G" w:eastAsia="Linux Libertine G" w:cs="Linux Libertine G"/>
          <w:b/>
          <w:bCs/>
          <w:color w:val="000000"/>
        </w:rPr>
        <w:t xml:space="preserve">Class:</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FET Determination / PUBLIC / RELEASED</w:t>
      </w:r>
      <w:r>
        <w:rPr>
          <w:rFonts w:ascii="Linux Libertine G" w:hAnsi="Linux Libertine G" w:eastAsia="Linux Libertine G" w:cs="Linux Libertine G"/>
          <w:color w:val="000000"/>
        </w:rPr>
        <w:br/>
      </w:r>
      <w:r>
        <w:rPr>
          <w:rFonts w:ascii="Linux Libertine G" w:hAnsi="Linux Libertine G" w:eastAsia="Linux Libertine G" w:cs="Linux Libertine G"/>
          <w:b/>
          <w:bCs/>
          <w:color w:val="000000"/>
        </w:rPr>
        <w:t xml:space="preserve">Standard:</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Independent Research Publication Standard 1.3</w:t>
      </w:r>
      <w:r>
        <w:rPr>
          <w:rFonts w:ascii="Linux Libertine G" w:hAnsi="Linux Libertine G" w:eastAsia="Linux Libertine G" w:cs="Linux Libertine G"/>
          <w:color w:val="000000"/>
        </w:rPr>
        <w:br/>
      </w:r>
      <w:r>
        <w:rPr>
          <w:rFonts w:ascii="Linux Libertine G" w:hAnsi="Linux Libertine G" w:eastAsia="Linux Libertine G" w:cs="Linux Libertine G"/>
          <w:b/>
          <w:bCs/>
          <w:color w:val="000000"/>
        </w:rPr>
        <w:t xml:space="preserve">Keywords:</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tokenized money-market funds, collateral admission, FINOS CDM, financial record integrity, tokenized collateral, evidence controls</w:t>
      </w:r>
    </w:p>
    <w:p>
      <w:pPr>
        <w:pStyle w:val="BodyText"/>
      </w:pPr>
      <w:r>
        <w:rPr>
          <w:rFonts w:ascii="Linux Libertine G" w:hAnsi="Linux Libertine G" w:eastAsia="Linux Libertine G" w:cs="Linux Libertine G"/>
          <w:b/>
          <w:bCs/>
          <w:color w:val="000000"/>
        </w:rPr>
        <w:t xml:space="preserve">Source boundary.</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The July 2026 GDF and ISDA public report, FINOS Common Domain Model revision a6ffe777bc12ef3d289579cb3a86d1cbffea63d2, five public TFII records, one published record-integrity profile, and three fixed synthetic execution vectors. Private receiver, custodian, administrator, transfer-agent, and collateral-program records are excluded.</w:t>
      </w:r>
    </w:p>
    <w:p>
      <w:pPr>
        <w:pStyle w:val="BodyText"/>
      </w:pPr>
      <w:r>
        <w:rPr>
          <w:rFonts w:ascii="Linux Libertine G" w:hAnsi="Linux Libertine G" w:eastAsia="Linux Libertine G" w:cs="Linux Libertine G"/>
          <w:b/>
          <w:bCs/>
          <w:color w:val="000000"/>
        </w:rPr>
        <w:t xml:space="preserve">Rights.</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Copyright Darwin Rampai 2026. Public reading, quotation, and citation are permitted with attribution. Production use, implementation, complete maintained records, private outputs, and commercial redistribution require written terms and applicable data rights.</w:t>
      </w:r>
    </w:p>
    <w:bookmarkEnd w:id="21"/>
    <w:bookmarkStart w:id="22" w:name="abstract"/>
    <w:p>
      <w:pPr>
        <w:pStyle w:val="Heading1"/>
      </w:pPr>
      <w:r>
        <w:rPr>
          <w:rFonts w:ascii="Linux Libertine G" w:hAnsi="Linux Libertine G" w:eastAsia="Linux Libertine G" w:cs="Linux Libertine G"/>
          <w:color w:val="000000"/>
        </w:rPr>
        <w:t xml:space="preserve">Abstract</w:t>
      </w:r>
    </w:p>
    <w:p>
      <w:pPr>
        <w:pStyle w:val="FirstParagraph"/>
      </w:pPr>
      <w:r>
        <w:rPr>
          <w:rFonts w:ascii="Linux Libertine G" w:hAnsi="Linux Libertine G" w:eastAsia="Linux Libertine G" w:cs="Linux Libertine G"/>
          <w:color w:val="000000"/>
        </w:rPr>
        <w:t xml:space="preserve">The July 2026 Global Digital Finance and ISDA tokenized-money-market-fund sandbox demonstrated that test collateral could move through an orchestrated workflow. It did not establish the admission boundary for a live financial instrument. The published exercise used test assets, created no legal obligations, fixed every token at one United States dollar, applied a standard haircut, and used an eligible list agreed in advance. This determination tests the missing boundary in three stages. First, seventeen financial-record requirements were mapped against the inspected FINOS Common Domain Model revision. Native representation was partial: five requirements passed, three were partial, and nine failed the published native-path test. Second, a TFII record-integrity profile represented all seventeen requirements across five public tokenized-fund records without inferring private facts. Third, a fail-closed admission control executed PASS, FAIL, and UNKNOWN branches. When applied to the five public records, every instrument remained UNKNOWN because receiver-specific ownership, control, reconciliation, valuation, haircut, custody, and default-access evidence was unavailable. The supported conclusion is narrow: successful collateral movement under assumed eligibility is not proof of production admission.</w:t>
      </w:r>
    </w:p>
    <w:p>
      <w:pPr>
        <w:pStyle w:val="FETPrincipalFinding"/>
      </w:pPr>
      <w:r>
        <w:rPr>
          <w:rFonts w:ascii="Linux Libertine G" w:hAnsi="Linux Libertine G" w:eastAsia="Linux Libertine G" w:cs="Linux Libertine G"/>
          <w:b/>
          <w:bCs/>
          <w:color w:val="000000"/>
        </w:rPr>
        <w:t xml:space="preserve">PRINCIPAL FINDING.</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The sandbox demonstrated movement under assumed eligibility. It did not test whether a live tokenized fund satisfied the production admission boundary.</w:t>
      </w:r>
    </w:p>
    <w:bookmarkEnd w:id="22"/>
    <w:bookmarkStart w:id="23" w:name="claim"/>
    <w:p>
      <w:pPr>
        <w:pStyle w:val="Heading1"/>
      </w:pPr>
      <w:r>
        <w:rPr>
          <w:rFonts w:ascii="Linux Libertine G" w:hAnsi="Linux Libertine G" w:eastAsia="Linux Libertine G" w:cs="Linux Libertine G"/>
          <w:color w:val="000000"/>
        </w:rPr>
        <w:t xml:space="preserve">1. Claim</w:t>
      </w:r>
    </w:p>
    <w:p>
      <w:pPr>
        <w:pStyle w:val="FirstParagraph"/>
      </w:pPr>
      <w:r>
        <w:rPr>
          <w:rFonts w:ascii="Linux Libertine G" w:hAnsi="Linux Libertine G" w:eastAsia="Linux Libertine G" w:cs="Linux Libertine G"/>
          <w:color w:val="000000"/>
        </w:rPr>
        <w:t xml:space="preserve">The inspected tokenized-money-market-fund sandbox demonstrated collateral movement and workflow orchestration under a bounded set of simplifying assumptions. It did not prove that any live tokenized fund was legally effective, operationally controllable, financially valued, and accepted under a receiver’s production collateral schedule.</w:t>
      </w:r>
    </w:p>
    <w:p>
      <w:pPr>
        <w:pStyle w:val="BodyText"/>
      </w:pPr>
      <w:r>
        <w:rPr>
          <w:rFonts w:ascii="Linux Libertine G" w:hAnsi="Linux Libertine G" w:eastAsia="Linux Libertine G" w:cs="Linux Libertine G"/>
          <w:color w:val="000000"/>
        </w:rPr>
        <w:t xml:space="preserve">The distinction matters because a token can move while the financial object represented by that token remains subject to a different authoritative ownership record, transfer-effective event, correction hierarchy, reconciliation process, valuation boundary, custody arrangement, or receiver-specific eligibility rule.</w:t>
      </w:r>
    </w:p>
    <w:bookmarkEnd w:id="23"/>
    <w:bookmarkStart w:id="24" w:name="determination"/>
    <w:p>
      <w:pPr>
        <w:pStyle w:val="Heading1"/>
      </w:pPr>
      <w:r>
        <w:rPr>
          <w:rFonts w:ascii="Linux Libertine G" w:hAnsi="Linux Libertine G" w:eastAsia="Linux Libertine G" w:cs="Linux Libertine G"/>
          <w:color w:val="000000"/>
        </w:rPr>
        <w:t xml:space="preserve">2. Determination</w:t>
      </w:r>
    </w:p>
    <w:p>
      <w:pPr>
        <w:pStyle w:val="FirstParagraph"/>
      </w:pPr>
      <w:r>
        <w:rPr>
          <w:rFonts w:ascii="Linux Libertine G" w:hAnsi="Linux Libertine G" w:eastAsia="Linux Libertine G" w:cs="Linux Libertine G"/>
          <w:b/>
          <w:bCs/>
          <w:color w:val="000000"/>
        </w:rPr>
        <w:t xml:space="preserve">SUPPORTED.</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The public record supports the statement that the sandbox tested movement while assuming the admission decision.</w:t>
      </w:r>
    </w:p>
    <w:p>
      <w:pPr>
        <w:pStyle w:val="BodyText"/>
      </w:pPr>
      <w:r>
        <w:rPr>
          <w:rFonts w:ascii="Linux Libertine G" w:hAnsi="Linux Libertine G" w:eastAsia="Linux Libertine G" w:cs="Linux Libertine G"/>
          <w:color w:val="000000"/>
        </w:rPr>
        <w:t xml:space="preserve">The public record does not support any broader statement that the sandbox approved, rejected, validated, or invalidated a live financial instrument for production collateral use. It also does not support a claim that any participating organization acted improperly.</w:t>
      </w:r>
    </w:p>
    <w:p>
      <w:pPr>
        <w:pStyle w:val="BodyText"/>
      </w:pPr>
      <w:r>
        <w:rPr>
          <w:rFonts w:ascii="Linux Libertine G" w:hAnsi="Linux Libertine G" w:eastAsia="Linux Libertine G" w:cs="Linux Libertine G"/>
          <w:color w:val="000000"/>
        </w:rPr>
        <w:t xml:space="preserve">The external determination for the five real public TFII records is</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b/>
          <w:bCs/>
          <w:color w:val="000000"/>
        </w:rPr>
        <w:t xml:space="preserve">UNKNOWN</w:t>
      </w:r>
      <w:r>
        <w:rPr>
          <w:rFonts w:ascii="Linux Libertine G" w:hAnsi="Linux Libertine G" w:eastAsia="Linux Libertine G" w:cs="Linux Libertine G"/>
          <w:color w:val="000000"/>
        </w:rPr>
        <w:t xml:space="preserve">. UNKNOWN is not a euphemism for unsafe and is not a finding of ineligibility. It means the reviewed evidence does not establish the mandatory facts required to make the decision.</w:t>
      </w:r>
    </w:p>
    <w:bookmarkEnd w:id="24"/>
    <w:bookmarkStart w:id="28" w:name="proof-layer-result"/>
    <w:p>
      <w:pPr>
        <w:pStyle w:val="Heading1"/>
      </w:pPr>
      <w:r>
        <w:rPr>
          <w:rFonts w:ascii="Linux Libertine G" w:hAnsi="Linux Libertine G" w:eastAsia="Linux Libertine G" w:cs="Linux Libertine G"/>
          <w:color w:val="000000"/>
        </w:rPr>
        <w:t xml:space="preserve">3. Proof-Layer Result</w:t>
      </w:r>
    </w:p>
    <w:p>
      <w:pPr>
        <w:pStyle w:val="FirstParagraph"/>
      </w:pPr>
      <w:r>
        <w:rPr>
          <w:rFonts w:ascii="Linux Libertine G" w:hAnsi="Linux Libertine G" w:eastAsia="Linux Libertine G" w:cs="Linux Libertine G"/>
          <w:color w:val="000000"/>
        </w:rPr>
        <w:t xml:space="preserve">The determination separates four proof layers that should not be collapsed.</w:t>
      </w:r>
    </w:p>
    <w:tbl>
      <w:tblPr>
        <w:tblStyle w:val="Table"/>
        <w:tblW w:type="pct" w:w="5000"/>
        <w:jc w:val="center"/>
        <w:tblLayout w:type="autofit"/>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Pr>
      <w:tblGrid>
        <w:gridCol w:w="1697"/>
        <w:gridCol w:w="2262"/>
        <w:gridCol w:w="2262"/>
        <w:gridCol w:w="1697"/>
      </w:tblGrid>
      <w:tr>
        <w:trPr>
          <w:tblHeader w:val="on"/>
          <w:cantSplit w:val="true"/>
          <w:tblHeader w:val="true"/>
        </w:trPr>
        <w:tc>
          <w:tcPr>
            <w:vAlign w:val="center"/>
            <w:tcMar>
              <w:top w:w="120" w:type="dxa"/>
              <w:bottom w:w="120" w:type="dxa"/>
              <w:start w:w="140" w:type="dxa"/>
              <w:end w:w="140" w:type="dxa"/>
            </w:tcMar>
            <w:shd w:val="clear" w:color="auto" w:fill="000000"/>
          </w:tcPr>
          <w:p>
            <w:pPr>
              <w:pStyle w:val="Compact"/>
              <w:spacing w:before="0" w:after="40"/>
              <w:jc w:val="left"/>
            </w:pPr>
            <w:r>
              <w:rPr>
                <w:rFonts w:ascii="Linux Libertine G" w:hAnsi="Linux Libertine G" w:eastAsia="Linux Libertine G" w:cs="Linux Libertine G"/>
                <w:b/>
                <w:color w:val="FFFFFF"/>
                <w:sz w:val="17"/>
              </w:rPr>
              <w:t xml:space="preserve">Proof layer</w:t>
            </w:r>
          </w:p>
        </w:tc>
        <w:tc>
          <w:tcPr>
            <w:vAlign w:val="center"/>
            <w:tcMar>
              <w:top w:w="120" w:type="dxa"/>
              <w:bottom w:w="120" w:type="dxa"/>
              <w:start w:w="140" w:type="dxa"/>
              <w:end w:w="140" w:type="dxa"/>
            </w:tcMar>
            <w:shd w:val="clear" w:color="auto" w:fill="000000"/>
          </w:tcPr>
          <w:p>
            <w:pPr>
              <w:pStyle w:val="Compact"/>
              <w:spacing w:before="0" w:after="40"/>
              <w:jc w:val="left"/>
            </w:pPr>
            <w:r>
              <w:rPr>
                <w:rFonts w:ascii="Linux Libertine G" w:hAnsi="Linux Libertine G" w:eastAsia="Linux Libertine G" w:cs="Linux Libertine G"/>
                <w:b/>
                <w:color w:val="FFFFFF"/>
                <w:sz w:val="17"/>
              </w:rPr>
              <w:t xml:space="preserve">Test</w:t>
            </w:r>
          </w:p>
        </w:tc>
        <w:tc>
          <w:tcPr>
            <w:vAlign w:val="center"/>
            <w:tcMar>
              <w:top w:w="120" w:type="dxa"/>
              <w:bottom w:w="120" w:type="dxa"/>
              <w:start w:w="140" w:type="dxa"/>
              <w:end w:w="140" w:type="dxa"/>
            </w:tcMar>
            <w:shd w:val="clear" w:color="auto" w:fill="000000"/>
          </w:tcPr>
          <w:p>
            <w:pPr>
              <w:pStyle w:val="Compact"/>
              <w:spacing w:before="0" w:after="40"/>
              <w:jc w:val="left"/>
            </w:pPr>
            <w:r>
              <w:rPr>
                <w:rFonts w:ascii="Linux Libertine G" w:hAnsi="Linux Libertine G" w:eastAsia="Linux Libertine G" w:cs="Linux Libertine G"/>
                <w:b/>
                <w:color w:val="FFFFFF"/>
                <w:sz w:val="17"/>
              </w:rPr>
              <w:t xml:space="preserve">Result</w:t>
            </w:r>
          </w:p>
        </w:tc>
        <w:tc>
          <w:tcPr>
            <w:vAlign w:val="center"/>
            <w:tcMar>
              <w:top w:w="120" w:type="dxa"/>
              <w:bottom w:w="120" w:type="dxa"/>
              <w:start w:w="140" w:type="dxa"/>
              <w:end w:w="140" w:type="dxa"/>
            </w:tcMar>
            <w:shd w:val="clear" w:color="auto" w:fill="000000"/>
          </w:tcPr>
          <w:p>
            <w:pPr>
              <w:pStyle w:val="Compact"/>
              <w:spacing w:before="0" w:after="40"/>
              <w:jc w:val="left"/>
            </w:pPr>
            <w:r>
              <w:rPr>
                <w:rFonts w:ascii="Linux Libertine G" w:hAnsi="Linux Libertine G" w:eastAsia="Linux Libertine G" w:cs="Linux Libertine G"/>
                <w:b/>
                <w:color w:val="FFFFFF"/>
                <w:sz w:val="17"/>
              </w:rPr>
              <w:t xml:space="preserve">Meaning</w:t>
            </w:r>
          </w:p>
        </w:tc>
      </w:tr>
      <w:tr>
        <w:trPr>
          <w:cantSplit w:val="true"/>
        </w:trPr>
        <w:tc>
          <w:tcPr>
            <w:vAlign w:val="center"/>
            <w:tcMar>
              <w:top w:w="120" w:type="dxa"/>
              <w:bottom w:w="120" w:type="dxa"/>
              <w:start w:w="140" w:type="dxa"/>
              <w:end w:w="140" w:type="dxa"/>
            </w:tcMar>
            <w:shd w:val="clear" w:color="auto" w:fill="FFFFFF"/>
          </w:tcPr>
          <w:p>
            <w:pPr>
              <w:pStyle w:val="Compact"/>
              <w:spacing w:before="0" w:after="40"/>
              <w:jc w:val="left"/>
            </w:pPr>
            <w:r>
              <w:rPr>
                <w:rFonts w:ascii="Linux Libertine G" w:hAnsi="Linux Libertine G" w:eastAsia="Linux Libertine G" w:cs="Linux Libertine G"/>
                <w:color w:val="000000"/>
                <w:sz w:val="17"/>
              </w:rPr>
              <w:t xml:space="preserve">Workflow movement</w:t>
            </w:r>
          </w:p>
        </w:tc>
        <w:tc>
          <w:tcPr>
            <w:vAlign w:val="center"/>
            <w:tcMar>
              <w:top w:w="120" w:type="dxa"/>
              <w:bottom w:w="120" w:type="dxa"/>
              <w:start w:w="140" w:type="dxa"/>
              <w:end w:w="140" w:type="dxa"/>
            </w:tcMar>
            <w:shd w:val="clear" w:color="auto" w:fill="FFFFFF"/>
          </w:tcPr>
          <w:p>
            <w:pPr>
              <w:pStyle w:val="Compact"/>
              <w:spacing w:before="0" w:after="40"/>
              <w:jc w:val="left"/>
            </w:pPr>
            <w:r>
              <w:rPr>
                <w:rFonts w:ascii="Linux Libertine G" w:hAnsi="Linux Libertine G" w:eastAsia="Linux Libertine G" w:cs="Linux Libertine G"/>
                <w:color w:val="000000"/>
                <w:sz w:val="17"/>
              </w:rPr>
              <w:t xml:space="preserve">Published sandbox</w:t>
            </w:r>
          </w:p>
        </w:tc>
        <w:tc>
          <w:tcPr>
            <w:vAlign w:val="center"/>
            <w:tcMar>
              <w:top w:w="120" w:type="dxa"/>
              <w:bottom w:w="120" w:type="dxa"/>
              <w:start w:w="140" w:type="dxa"/>
              <w:end w:w="140" w:type="dxa"/>
            </w:tcMar>
            <w:shd w:val="clear" w:color="auto" w:fill="FFFFFF"/>
          </w:tcPr>
          <w:p>
            <w:pPr>
              <w:pStyle w:val="Compact"/>
              <w:spacing w:before="0" w:after="40"/>
              <w:jc w:val="left"/>
            </w:pPr>
            <w:r>
              <w:rPr>
                <w:rFonts w:ascii="Linux Libertine G" w:hAnsi="Linux Libertine G" w:eastAsia="Linux Libertine G" w:cs="Linux Libertine G"/>
                <w:color w:val="000000"/>
                <w:sz w:val="17"/>
              </w:rPr>
              <w:t xml:space="preserve">OBSERVED</w:t>
            </w:r>
          </w:p>
        </w:tc>
        <w:tc>
          <w:tcPr>
            <w:vAlign w:val="center"/>
            <w:tcMar>
              <w:top w:w="120" w:type="dxa"/>
              <w:bottom w:w="120" w:type="dxa"/>
              <w:start w:w="140" w:type="dxa"/>
              <w:end w:w="140" w:type="dxa"/>
            </w:tcMar>
            <w:shd w:val="clear" w:color="auto" w:fill="FFFFFF"/>
          </w:tcPr>
          <w:p>
            <w:pPr>
              <w:pStyle w:val="Compact"/>
              <w:spacing w:before="0" w:after="40"/>
              <w:jc w:val="left"/>
            </w:pPr>
            <w:r>
              <w:rPr>
                <w:rFonts w:ascii="Linux Libertine G" w:hAnsi="Linux Libertine G" w:eastAsia="Linux Libertine G" w:cs="Linux Libertine G"/>
                <w:color w:val="000000"/>
                <w:sz w:val="17"/>
              </w:rPr>
              <w:t xml:space="preserve">Test collateral moved through the demonstrated workflow.</w:t>
            </w:r>
          </w:p>
        </w:tc>
      </w:tr>
      <w:tr>
        <w:trPr>
          <w:cantSplit w:val="true"/>
        </w:trPr>
        <w:tc>
          <w:tcPr>
            <w:vAlign w:val="center"/>
            <w:tcMar>
              <w:top w:w="120" w:type="dxa"/>
              <w:bottom w:w="120" w:type="dxa"/>
              <w:start w:w="140" w:type="dxa"/>
              <w:end w:w="140" w:type="dxa"/>
            </w:tcMar>
            <w:shd w:val="clear" w:color="auto" w:fill="FFFFFF"/>
          </w:tcPr>
          <w:p>
            <w:pPr>
              <w:pStyle w:val="Compact"/>
              <w:spacing w:before="0" w:after="40"/>
              <w:jc w:val="left"/>
            </w:pPr>
            <w:r>
              <w:rPr>
                <w:rFonts w:ascii="Linux Libertine G" w:hAnsi="Linux Libertine G" w:eastAsia="Linux Libertine G" w:cs="Linux Libertine G"/>
                <w:color w:val="000000"/>
                <w:sz w:val="17"/>
              </w:rPr>
              <w:t xml:space="preserve">Native record representation</w:t>
            </w:r>
          </w:p>
        </w:tc>
        <w:tc>
          <w:tcPr>
            <w:vAlign w:val="center"/>
            <w:tcMar>
              <w:top w:w="120" w:type="dxa"/>
              <w:bottom w:w="120" w:type="dxa"/>
              <w:start w:w="140" w:type="dxa"/>
              <w:end w:w="140" w:type="dxa"/>
            </w:tcMar>
            <w:shd w:val="clear" w:color="auto" w:fill="FFFFFF"/>
          </w:tcPr>
          <w:p>
            <w:pPr>
              <w:pStyle w:val="Compact"/>
              <w:spacing w:before="0" w:after="40"/>
              <w:jc w:val="left"/>
            </w:pPr>
            <w:r>
              <w:rPr>
                <w:rFonts w:ascii="Linux Libertine G" w:hAnsi="Linux Libertine G" w:eastAsia="Linux Libertine G" w:cs="Linux Libertine G"/>
                <w:color w:val="000000"/>
                <w:sz w:val="17"/>
              </w:rPr>
              <w:t xml:space="preserve">17 FINOS CDM requirements</w:t>
            </w:r>
          </w:p>
        </w:tc>
        <w:tc>
          <w:tcPr>
            <w:vAlign w:val="center"/>
            <w:tcMar>
              <w:top w:w="120" w:type="dxa"/>
              <w:bottom w:w="120" w:type="dxa"/>
              <w:start w:w="140" w:type="dxa"/>
              <w:end w:w="140" w:type="dxa"/>
            </w:tcMar>
            <w:shd w:val="clear" w:color="auto" w:fill="FFFFFF"/>
          </w:tcPr>
          <w:p>
            <w:pPr>
              <w:pStyle w:val="Compact"/>
              <w:spacing w:before="0" w:after="40"/>
              <w:jc w:val="left"/>
            </w:pPr>
            <w:r>
              <w:rPr>
                <w:rFonts w:ascii="Linux Libertine G" w:hAnsi="Linux Libertine G" w:eastAsia="Linux Libertine G" w:cs="Linux Libertine G"/>
                <w:color w:val="000000"/>
                <w:sz w:val="17"/>
              </w:rPr>
              <w:t xml:space="preserve">PARTIAL</w:t>
            </w:r>
          </w:p>
        </w:tc>
        <w:tc>
          <w:tcPr>
            <w:vAlign w:val="center"/>
            <w:tcMar>
              <w:top w:w="120" w:type="dxa"/>
              <w:bottom w:w="120" w:type="dxa"/>
              <w:start w:w="140" w:type="dxa"/>
              <w:end w:w="140" w:type="dxa"/>
            </w:tcMar>
            <w:shd w:val="clear" w:color="auto" w:fill="FFFFFF"/>
          </w:tcPr>
          <w:p>
            <w:pPr>
              <w:pStyle w:val="Compact"/>
              <w:spacing w:before="0" w:after="40"/>
              <w:jc w:val="left"/>
            </w:pPr>
            <w:r>
              <w:rPr>
                <w:rFonts w:ascii="Linux Libertine G" w:hAnsi="Linux Libertine G" w:eastAsia="Linux Libertine G" w:cs="Linux Libertine G"/>
                <w:color w:val="000000"/>
                <w:sz w:val="17"/>
              </w:rPr>
              <w:t xml:space="preserve">Five passed, three were partial, and nine had no native typed path under the published test rule.</w:t>
            </w:r>
          </w:p>
        </w:tc>
      </w:tr>
      <w:tr>
        <w:trPr>
          <w:cantSplit w:val="true"/>
        </w:trPr>
        <w:tc>
          <w:tcPr>
            <w:vAlign w:val="center"/>
            <w:tcMar>
              <w:top w:w="120" w:type="dxa"/>
              <w:bottom w:w="120" w:type="dxa"/>
              <w:start w:w="140" w:type="dxa"/>
              <w:end w:w="140" w:type="dxa"/>
            </w:tcMar>
            <w:shd w:val="clear" w:color="auto" w:fill="FFFFFF"/>
          </w:tcPr>
          <w:p>
            <w:pPr>
              <w:pStyle w:val="Compact"/>
              <w:spacing w:before="0" w:after="40"/>
              <w:jc w:val="left"/>
            </w:pPr>
            <w:r>
              <w:rPr>
                <w:rFonts w:ascii="Linux Libertine G" w:hAnsi="Linux Libertine G" w:eastAsia="Linux Libertine G" w:cs="Linux Libertine G"/>
                <w:color w:val="000000"/>
                <w:sz w:val="17"/>
              </w:rPr>
              <w:t xml:space="preserve">Extended record representation</w:t>
            </w:r>
          </w:p>
        </w:tc>
        <w:tc>
          <w:tcPr>
            <w:vAlign w:val="center"/>
            <w:tcMar>
              <w:top w:w="120" w:type="dxa"/>
              <w:bottom w:w="120" w:type="dxa"/>
              <w:start w:w="140" w:type="dxa"/>
              <w:end w:w="140" w:type="dxa"/>
            </w:tcMar>
            <w:shd w:val="clear" w:color="auto" w:fill="FFFFFF"/>
          </w:tcPr>
          <w:p>
            <w:pPr>
              <w:pStyle w:val="Compact"/>
              <w:spacing w:before="0" w:after="40"/>
              <w:jc w:val="left"/>
            </w:pPr>
            <w:r>
              <w:rPr>
                <w:rFonts w:ascii="Linux Libertine G" w:hAnsi="Linux Libertine G" w:eastAsia="Linux Libertine G" w:cs="Linux Libertine G"/>
                <w:color w:val="000000"/>
                <w:sz w:val="17"/>
              </w:rPr>
              <w:t xml:space="preserve">CDM plus TFII profile</w:t>
            </w:r>
          </w:p>
        </w:tc>
        <w:tc>
          <w:tcPr>
            <w:vAlign w:val="center"/>
            <w:tcMar>
              <w:top w:w="120" w:type="dxa"/>
              <w:bottom w:w="120" w:type="dxa"/>
              <w:start w:w="140" w:type="dxa"/>
              <w:end w:w="140" w:type="dxa"/>
            </w:tcMar>
            <w:shd w:val="clear" w:color="auto" w:fill="FFFFFF"/>
          </w:tcPr>
          <w:p>
            <w:pPr>
              <w:pStyle w:val="Compact"/>
              <w:spacing w:before="0" w:after="40"/>
              <w:jc w:val="left"/>
            </w:pPr>
            <w:r>
              <w:rPr>
                <w:rFonts w:ascii="Linux Libertine G" w:hAnsi="Linux Libertine G" w:eastAsia="Linux Libertine G" w:cs="Linux Libertine G"/>
                <w:color w:val="000000"/>
                <w:sz w:val="17"/>
              </w:rPr>
              <w:t xml:space="preserve">PASS</w:t>
            </w:r>
          </w:p>
        </w:tc>
        <w:tc>
          <w:tcPr>
            <w:vAlign w:val="center"/>
            <w:tcMar>
              <w:top w:w="120" w:type="dxa"/>
              <w:bottom w:w="120" w:type="dxa"/>
              <w:start w:w="140" w:type="dxa"/>
              <w:end w:w="140" w:type="dxa"/>
            </w:tcMar>
            <w:shd w:val="clear" w:color="auto" w:fill="FFFFFF"/>
          </w:tcPr>
          <w:p>
            <w:pPr>
              <w:pStyle w:val="Compact"/>
              <w:spacing w:before="0" w:after="40"/>
              <w:jc w:val="left"/>
            </w:pPr>
            <w:r>
              <w:rPr>
                <w:rFonts w:ascii="Linux Libertine G" w:hAnsi="Linux Libertine G" w:eastAsia="Linux Libertine G" w:cs="Linux Libertine G"/>
                <w:color w:val="000000"/>
                <w:sz w:val="17"/>
              </w:rPr>
              <w:t xml:space="preserve">All seventeen requirements were representable across five records while preserving Unknowns.</w:t>
            </w:r>
          </w:p>
        </w:tc>
      </w:tr>
      <w:tr>
        <w:trPr>
          <w:cantSplit w:val="true"/>
        </w:trPr>
        <w:tc>
          <w:tcPr>
            <w:vAlign w:val="center"/>
            <w:tcMar>
              <w:top w:w="120" w:type="dxa"/>
              <w:bottom w:w="120" w:type="dxa"/>
              <w:start w:w="140" w:type="dxa"/>
              <w:end w:w="140" w:type="dxa"/>
            </w:tcMar>
            <w:shd w:val="clear" w:color="auto" w:fill="FFFFFF"/>
          </w:tcPr>
          <w:p>
            <w:pPr>
              <w:pStyle w:val="Compact"/>
              <w:spacing w:before="0" w:after="40"/>
              <w:jc w:val="left"/>
            </w:pPr>
            <w:r>
              <w:rPr>
                <w:rFonts w:ascii="Linux Libertine G" w:hAnsi="Linux Libertine G" w:eastAsia="Linux Libertine G" w:cs="Linux Libertine G"/>
                <w:color w:val="000000"/>
                <w:sz w:val="17"/>
              </w:rPr>
              <w:t xml:space="preserve">Production admission</w:t>
            </w:r>
          </w:p>
        </w:tc>
        <w:tc>
          <w:tcPr>
            <w:vAlign w:val="center"/>
            <w:tcMar>
              <w:top w:w="120" w:type="dxa"/>
              <w:bottom w:w="120" w:type="dxa"/>
              <w:start w:w="140" w:type="dxa"/>
              <w:end w:w="140" w:type="dxa"/>
            </w:tcMar>
            <w:shd w:val="clear" w:color="auto" w:fill="FFFFFF"/>
          </w:tcPr>
          <w:p>
            <w:pPr>
              <w:pStyle w:val="Compact"/>
              <w:spacing w:before="0" w:after="40"/>
              <w:jc w:val="left"/>
            </w:pPr>
            <w:r>
              <w:rPr>
                <w:rFonts w:ascii="Linux Libertine G" w:hAnsi="Linux Libertine G" w:eastAsia="Linux Libertine G" w:cs="Linux Libertine G"/>
                <w:color w:val="000000"/>
                <w:sz w:val="17"/>
              </w:rPr>
              <w:t xml:space="preserve">Five public instruments</w:t>
            </w:r>
          </w:p>
        </w:tc>
        <w:tc>
          <w:tcPr>
            <w:vAlign w:val="center"/>
            <w:tcMar>
              <w:top w:w="120" w:type="dxa"/>
              <w:bottom w:w="120" w:type="dxa"/>
              <w:start w:w="140" w:type="dxa"/>
              <w:end w:w="140" w:type="dxa"/>
            </w:tcMar>
            <w:shd w:val="clear" w:color="auto" w:fill="FFFFFF"/>
          </w:tcPr>
          <w:p>
            <w:pPr>
              <w:pStyle w:val="Compact"/>
              <w:spacing w:before="0" w:after="40"/>
              <w:jc w:val="left"/>
            </w:pPr>
            <w:r>
              <w:rPr>
                <w:rFonts w:ascii="Linux Libertine G" w:hAnsi="Linux Libertine G" w:eastAsia="Linux Libertine G" w:cs="Linux Libertine G"/>
                <w:color w:val="000000"/>
                <w:sz w:val="17"/>
              </w:rPr>
              <w:t xml:space="preserve">UNKNOWN</w:t>
            </w:r>
          </w:p>
        </w:tc>
        <w:tc>
          <w:tcPr>
            <w:vAlign w:val="center"/>
            <w:tcMar>
              <w:top w:w="120" w:type="dxa"/>
              <w:bottom w:w="120" w:type="dxa"/>
              <w:start w:w="140" w:type="dxa"/>
              <w:end w:w="140" w:type="dxa"/>
            </w:tcMar>
            <w:shd w:val="clear" w:color="auto" w:fill="FFFFFF"/>
          </w:tcPr>
          <w:p>
            <w:pPr>
              <w:pStyle w:val="Compact"/>
              <w:spacing w:before="0" w:after="40"/>
              <w:jc w:val="left"/>
            </w:pPr>
            <w:r>
              <w:rPr>
                <w:rFonts w:ascii="Linux Libertine G" w:hAnsi="Linux Libertine G" w:eastAsia="Linux Libertine G" w:cs="Linux Libertine G"/>
                <w:color w:val="000000"/>
                <w:sz w:val="17"/>
              </w:rPr>
              <w:t xml:space="preserve">Receiver-specific program evidence was unavailable, so zero real admission queries ran.</w:t>
            </w:r>
          </w:p>
        </w:tc>
      </w:tr>
    </w:tbl>
    <w:p>
      <w:pPr>
        <w:pStyle w:val="BodyText"/>
      </w:pPr>
      <w:r>
        <w:rPr>
          <w:rFonts w:ascii="Linux Libertine G" w:hAnsi="Linux Libertine G" w:eastAsia="Linux Libertine G" w:cs="Linux Libertine G"/>
          <w:color w:val="000000"/>
        </w:rPr>
        <w:t xml:space="preserve">The native CDM result is not rewritten by the profile. The profile is an extension that carries financial-record integrity fields CDM did not natively preserve under the inspected revision and test rule.</w:t>
      </w:r>
    </w:p>
    <w:p>
      <w:pPr>
        <w:pStyle w:val="CaptionedFigure"/>
      </w:pPr>
      <w:r>
        <w:rPr>
          <w:rFonts w:ascii="Linux Libertine G" w:hAnsi="Linux Libertine G" w:eastAsia="Linux Libertine G" w:cs="Linux Libertine G"/>
          <w:color w:val="000000"/>
        </w:rPr>
        <w:drawing>
          <wp:inline>
            <wp:extent cx="5943600" cy="3070860"/>
            <wp:effectExtent b="0" l="0" r="0" t="0"/>
            <wp:docPr descr="The production admission boundary" title="" id="26" name="Picture"/>
            <a:graphic>
              <a:graphicData uri="http://schemas.openxmlformats.org/drawingml/2006/picture">
                <pic:pic>
                  <pic:nvPicPr>
                    <pic:cNvPr descr="../figures/Movement_Is_Not_Admission_Control_001.svg" id="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bwMode="auto">
                    <a:xfrm>
                      <a:off x="0" y="0"/>
                      <a:ext cx="5943600" cy="3070860"/>
                    </a:xfrm>
                    <a:prstGeom prst="rect">
                      <a:avLst/>
                    </a:prstGeom>
                    <a:noFill/>
                    <a:ln w="9525">
                      <a:noFill/>
                      <a:headEnd/>
                      <a:tailEnd/>
                    </a:ln>
                  </pic:spPr>
                </pic:pic>
              </a:graphicData>
            </a:graphic>
          </wp:inline>
        </w:drawing>
      </w:r>
    </w:p>
    <w:p>
      <w:pPr>
        <w:pStyle w:val="ImageCaption"/>
      </w:pPr>
      <w:r>
        <w:rPr>
          <w:rFonts w:ascii="Linux Libertine G" w:hAnsi="Linux Libertine G" w:eastAsia="Linux Libertine G" w:cs="Linux Libertine G"/>
          <w:color w:val="000000"/>
        </w:rPr>
        <w:t xml:space="preserve">The production admission boundary</w:t>
      </w:r>
    </w:p>
    <w:bookmarkEnd w:id="28"/>
    <w:bookmarkStart w:id="34" w:name="material-evidence"/>
    <w:p>
      <w:pPr>
        <w:pStyle w:val="Heading1"/>
      </w:pPr>
      <w:r>
        <w:rPr>
          <w:rFonts w:ascii="Linux Libertine G" w:hAnsi="Linux Libertine G" w:eastAsia="Linux Libertine G" w:cs="Linux Libertine G"/>
          <w:color w:val="000000"/>
        </w:rPr>
        <w:t xml:space="preserve">4. Material Evidence</w:t>
      </w:r>
    </w:p>
    <w:bookmarkStart w:id="29" w:name="the-sandbox-assumed-eligibility"/>
    <w:p>
      <w:pPr>
        <w:pStyle w:val="Heading2"/>
      </w:pPr>
      <w:r>
        <w:rPr>
          <w:rFonts w:ascii="Linux Libertine G" w:hAnsi="Linux Libertine G" w:eastAsia="Linux Libertine G" w:cs="Linux Libertine G"/>
          <w:color w:val="000000"/>
        </w:rPr>
        <w:t xml:space="preserve">4.1 The sandbox assumed eligibility</w:t>
      </w:r>
    </w:p>
    <w:p>
      <w:pPr>
        <w:pStyle w:val="FirstParagraph"/>
      </w:pPr>
      <w:r>
        <w:rPr>
          <w:rFonts w:ascii="Linux Libertine G" w:hAnsi="Linux Libertine G" w:eastAsia="Linux Libertine G" w:cs="Linux Libertine G"/>
          <w:color w:val="000000"/>
        </w:rPr>
        <w:t xml:space="preserve">The GDF and ISDA report records six assumptions that remove the production admission question from the demonstrated workflow:</w:t>
      </w:r>
    </w:p>
    <w:p>
      <w:pPr>
        <w:pStyle w:val="Compact"/>
        <w:numPr>
          <w:ilvl w:val="0"/>
          <w:numId w:val="1001"/>
        </w:numPr>
      </w:pPr>
      <w:r>
        <w:rPr>
          <w:rFonts w:ascii="Linux Libertine G" w:hAnsi="Linux Libertine G" w:eastAsia="Linux Libertine G" w:cs="Linux Libertine G"/>
          <w:color w:val="000000"/>
        </w:rPr>
        <w:t xml:space="preserve">all instruments were test assets;</w:t>
      </w:r>
    </w:p>
    <w:p>
      <w:pPr>
        <w:pStyle w:val="Compact"/>
        <w:numPr>
          <w:ilvl w:val="0"/>
          <w:numId w:val="1001"/>
        </w:numPr>
      </w:pPr>
      <w:r>
        <w:rPr>
          <w:rFonts w:ascii="Linux Libertine G" w:hAnsi="Linux Libertine G" w:eastAsia="Linux Libertine G" w:cs="Linux Libertine G"/>
          <w:color w:val="000000"/>
        </w:rPr>
        <w:t xml:space="preserve">no real fund interests were transferred;</w:t>
      </w:r>
    </w:p>
    <w:p>
      <w:pPr>
        <w:pStyle w:val="Compact"/>
        <w:numPr>
          <w:ilvl w:val="0"/>
          <w:numId w:val="1001"/>
        </w:numPr>
      </w:pPr>
      <w:r>
        <w:rPr>
          <w:rFonts w:ascii="Linux Libertine G" w:hAnsi="Linux Libertine G" w:eastAsia="Linux Libertine G" w:cs="Linux Libertine G"/>
          <w:color w:val="000000"/>
        </w:rPr>
        <w:t xml:space="preserve">no legal obligations were created;</w:t>
      </w:r>
    </w:p>
    <w:p>
      <w:pPr>
        <w:pStyle w:val="Compact"/>
        <w:numPr>
          <w:ilvl w:val="0"/>
          <w:numId w:val="1001"/>
        </w:numPr>
      </w:pPr>
      <w:r>
        <w:rPr>
          <w:rFonts w:ascii="Linux Libertine G" w:hAnsi="Linux Libertine G" w:eastAsia="Linux Libertine G" w:cs="Linux Libertine G"/>
          <w:color w:val="000000"/>
        </w:rPr>
        <w:t xml:space="preserve">every instrument was priced at one dollar per token;</w:t>
      </w:r>
    </w:p>
    <w:p>
      <w:pPr>
        <w:pStyle w:val="Compact"/>
        <w:numPr>
          <w:ilvl w:val="0"/>
          <w:numId w:val="1001"/>
        </w:numPr>
      </w:pPr>
      <w:r>
        <w:rPr>
          <w:rFonts w:ascii="Linux Libertine G" w:hAnsi="Linux Libertine G" w:eastAsia="Linux Libertine G" w:cs="Linux Libertine G"/>
          <w:color w:val="000000"/>
        </w:rPr>
        <w:t xml:space="preserve">one standard haircut was applied; and</w:t>
      </w:r>
    </w:p>
    <w:p>
      <w:pPr>
        <w:pStyle w:val="Compact"/>
        <w:numPr>
          <w:ilvl w:val="0"/>
          <w:numId w:val="1001"/>
        </w:numPr>
      </w:pPr>
      <w:r>
        <w:rPr>
          <w:rFonts w:ascii="Linux Libertine G" w:hAnsi="Linux Libertine G" w:eastAsia="Linux Libertine G" w:cs="Linux Libertine G"/>
          <w:color w:val="000000"/>
        </w:rPr>
        <w:t xml:space="preserve">the eligible-asset list was agreed in advance by pledgor and receiver.</w:t>
      </w:r>
    </w:p>
    <w:p>
      <w:pPr>
        <w:pStyle w:val="FirstParagraph"/>
      </w:pPr>
      <w:r>
        <w:rPr>
          <w:rFonts w:ascii="Linux Libertine G" w:hAnsi="Linux Libertine G" w:eastAsia="Linux Libertine G" w:cs="Linux Libertine G"/>
          <w:color w:val="000000"/>
        </w:rPr>
        <w:t xml:space="preserve">Those assumptions are legitimate for a workflow simulation. They are also the reason the simulation cannot be treated as evidence that a live instrument satisfies a production admission boundary.</w:t>
      </w:r>
    </w:p>
    <w:bookmarkEnd w:id="29"/>
    <w:bookmarkStart w:id="30" w:name="native-representation-was-partial"/>
    <w:p>
      <w:pPr>
        <w:pStyle w:val="Heading2"/>
      </w:pPr>
      <w:r>
        <w:rPr>
          <w:rFonts w:ascii="Linux Libertine G" w:hAnsi="Linux Libertine G" w:eastAsia="Linux Libertine G" w:cs="Linux Libertine G"/>
          <w:color w:val="000000"/>
        </w:rPr>
        <w:t xml:space="preserve">4.2 Native representation was partial</w:t>
      </w:r>
    </w:p>
    <w:p>
      <w:pPr>
        <w:pStyle w:val="FirstParagraph"/>
      </w:pPr>
      <w:r>
        <w:rPr>
          <w:rFonts w:ascii="Linux Libertine G" w:hAnsi="Linux Libertine G" w:eastAsia="Linux Libertine G" w:cs="Linux Libertine G"/>
          <w:color w:val="000000"/>
        </w:rPr>
        <w:t xml:space="preserve">Seventeen requirements were tested against FINOS CDM revision</w:t>
      </w:r>
      <w:r>
        <w:rPr>
          <w:rFonts w:ascii="Linux Libertine G" w:hAnsi="Linux Libertine G" w:eastAsia="Linux Libertine G" w:cs="Linux Libertine G"/>
          <w:color w:val="000000"/>
        </w:rPr>
        <w:t xml:space="preserve"> </w:t>
      </w:r>
      <w:r>
        <w:rPr>
          <w:rStyle w:val="VerbatimChar"/>
          <w:rFonts w:ascii="Linux Libertine G" w:hAnsi="Linux Libertine G" w:eastAsia="Linux Libertine G" w:cs="Linux Libertine G"/>
          <w:color w:val="000000"/>
        </w:rPr>
        <w:t xml:space="preserve">a6ffe777bc12ef3d289579cb3a86d1cbffea63d2</w:t>
      </w:r>
      <w:r>
        <w:rPr>
          <w:rFonts w:ascii="Linux Libertine G" w:hAnsi="Linux Libertine G" w:eastAsia="Linux Libertine G" w:cs="Linux Libertine G"/>
          <w:color w:val="000000"/>
        </w:rPr>
        <w:t xml:space="preserve">. CDM represented instrument identity, parties, transfer workflow, collateral criteria, valuation concepts, and lineage. Under the published test rule, it did not natively preserve nine control areas, including authoritative-record identity, token role, ownership-effective event, correction authority, reconciliation, wallet control, evidence state, rights, and coverage.</w:t>
      </w:r>
    </w:p>
    <w:p>
      <w:pPr>
        <w:pStyle w:val="BodyText"/>
      </w:pPr>
      <w:r>
        <w:rPr>
          <w:rFonts w:ascii="Linux Libertine G" w:hAnsi="Linux Libertine G" w:eastAsia="Linux Libertine G" w:cs="Linux Libertine G"/>
          <w:color w:val="000000"/>
        </w:rPr>
        <w:t xml:space="preserve">The result is a conformance observation, not an allegation that CDM is defective. A standard can be intentionally extensible and still require an explicit profile before a particular financial use is safe to represent.</w:t>
      </w:r>
    </w:p>
    <w:bookmarkEnd w:id="30"/>
    <w:bookmarkStart w:id="31" w:name="Xf108c745a876342711136676b58ac79f58af952"/>
    <w:p>
      <w:pPr>
        <w:pStyle w:val="Heading2"/>
      </w:pPr>
      <w:r>
        <w:rPr>
          <w:rFonts w:ascii="Linux Libertine G" w:hAnsi="Linux Libertine G" w:eastAsia="Linux Libertine G" w:cs="Linux Libertine G"/>
          <w:color w:val="000000"/>
        </w:rPr>
        <w:t xml:space="preserve">4.3 The combined record contract closed representation gaps</w:t>
      </w:r>
    </w:p>
    <w:p>
      <w:pPr>
        <w:pStyle w:val="FirstParagraph"/>
      </w:pPr>
      <w:r>
        <w:rPr>
          <w:rFonts w:ascii="Linux Libertine G" w:hAnsi="Linux Libertine G" w:eastAsia="Linux Libertine G" w:cs="Linux Libertine G"/>
          <w:color w:val="000000"/>
        </w:rPr>
        <w:t xml:space="preserve">The TFII Record Integrity Profile added typed, evidence-bearing fields for the missing and partial control areas. All seventeen requirements were represented across the five public records. Five of five records validated against the profile. Private facts were not guessed. Missing evidence remained explicitly UNKNOWN.</w:t>
      </w:r>
    </w:p>
    <w:p>
      <w:pPr>
        <w:pStyle w:val="BodyText"/>
      </w:pPr>
      <w:r>
        <w:rPr>
          <w:rFonts w:ascii="Linux Libertine G" w:hAnsi="Linux Libertine G" w:eastAsia="Linux Libertine G" w:cs="Linux Libertine G"/>
          <w:color w:val="000000"/>
        </w:rPr>
        <w:t xml:space="preserve">This PASS establishes representability only. A complete schema does not manufacture complete evidence and does not authorize collateral use.</w:t>
      </w:r>
    </w:p>
    <w:bookmarkEnd w:id="31"/>
    <w:bookmarkStart w:id="32" w:name="X8e1dc77e15e5042b0c0842f3c9248d349006b27"/>
    <w:p>
      <w:pPr>
        <w:pStyle w:val="Heading2"/>
      </w:pPr>
      <w:r>
        <w:rPr>
          <w:rFonts w:ascii="Linux Libertine G" w:hAnsi="Linux Libertine G" w:eastAsia="Linux Libertine G" w:cs="Linux Libertine G"/>
          <w:color w:val="000000"/>
        </w:rPr>
        <w:t xml:space="preserve">4.4 The control executed all decision branches</w:t>
      </w:r>
    </w:p>
    <w:p>
      <w:pPr>
        <w:pStyle w:val="FirstParagraph"/>
      </w:pPr>
      <w:r>
        <w:rPr>
          <w:rFonts w:ascii="Linux Libertine G" w:hAnsi="Linux Libertine G" w:eastAsia="Linux Libertine G" w:cs="Linux Libertine G"/>
          <w:color w:val="000000"/>
        </w:rPr>
        <w:t xml:space="preserve">Three fixed synthetic vectors executed the admission control:</w:t>
      </w:r>
    </w:p>
    <w:p>
      <w:pPr>
        <w:pStyle w:val="Compact"/>
        <w:numPr>
          <w:ilvl w:val="0"/>
          <w:numId w:val="1002"/>
        </w:numPr>
      </w:pPr>
      <w:r>
        <w:rPr>
          <w:rFonts w:ascii="Linux Libertine G" w:hAnsi="Linux Libertine G" w:eastAsia="Linux Libertine G" w:cs="Linux Libertine G"/>
          <w:color w:val="000000"/>
        </w:rPr>
        <w:t xml:space="preserve">complete evidence with matching criteria returned PASS;</w:t>
      </w:r>
    </w:p>
    <w:p>
      <w:pPr>
        <w:pStyle w:val="Compact"/>
        <w:numPr>
          <w:ilvl w:val="0"/>
          <w:numId w:val="1002"/>
        </w:numPr>
      </w:pPr>
      <w:r>
        <w:rPr>
          <w:rFonts w:ascii="Linux Libertine G" w:hAnsi="Linux Libertine G" w:eastAsia="Linux Libertine G" w:cs="Linux Libertine G"/>
          <w:color w:val="000000"/>
        </w:rPr>
        <w:t xml:space="preserve">complete evidence with non-matching criteria returned FAIL; and</w:t>
      </w:r>
    </w:p>
    <w:p>
      <w:pPr>
        <w:pStyle w:val="Compact"/>
        <w:numPr>
          <w:ilvl w:val="0"/>
          <w:numId w:val="1002"/>
        </w:numPr>
      </w:pPr>
      <w:r>
        <w:rPr>
          <w:rFonts w:ascii="Linux Libertine G" w:hAnsi="Linux Libertine G" w:eastAsia="Linux Libertine G" w:cs="Linux Libertine G"/>
          <w:color w:val="000000"/>
        </w:rPr>
        <w:t xml:space="preserve">missing mandatory custody and control evidence returned UNKNOWN before query execution.</w:t>
      </w:r>
    </w:p>
    <w:p>
      <w:pPr>
        <w:pStyle w:val="FirstParagraph"/>
      </w:pPr>
      <w:r>
        <w:rPr>
          <w:rFonts w:ascii="Linux Libertine G" w:hAnsi="Linux Libertine G" w:eastAsia="Linux Libertine G" w:cs="Linux Libertine G"/>
          <w:color w:val="000000"/>
        </w:rPr>
        <w:t xml:space="preserve">Two bounded eligibility-reference queries ran. The incomplete vector was blocked before query. The evaluator is a bounded Python parity replay of FINOS CDM criteria logic, not generated CDM runtime and not a live-instrument decision.</w:t>
      </w:r>
    </w:p>
    <w:bookmarkEnd w:id="32"/>
    <w:bookmarkStart w:id="33" w:name="Xf7be86acd7caf5f20fa0710855ad11d1efacaee"/>
    <w:p>
      <w:pPr>
        <w:pStyle w:val="Heading2"/>
      </w:pPr>
      <w:r>
        <w:rPr>
          <w:rFonts w:ascii="Linux Libertine G" w:hAnsi="Linux Libertine G" w:eastAsia="Linux Libertine G" w:cs="Linux Libertine G"/>
          <w:color w:val="000000"/>
        </w:rPr>
        <w:t xml:space="preserve">4.5 Five real records stopped at the boundary</w:t>
      </w:r>
    </w:p>
    <w:p>
      <w:pPr>
        <w:pStyle w:val="FirstParagraph"/>
      </w:pPr>
      <w:r>
        <w:rPr>
          <w:rFonts w:ascii="Linux Libertine G" w:hAnsi="Linux Libertine G" w:eastAsia="Linux Libertine G" w:cs="Linux Libertine G"/>
          <w:color w:val="000000"/>
        </w:rPr>
        <w:t xml:space="preserve">The control then assessed the public TFII records for Franklin Templeton, JPMorgan, Superstate, Invesco, and HSBC. Every architecture precheck was partial. None contained the receiver-specific program evidence required to proceed. Zero CDM eligibility queries ran, and zero admission decisions were manufactured.</w:t>
      </w:r>
    </w:p>
    <w:bookmarkEnd w:id="33"/>
    <w:bookmarkEnd w:id="34"/>
    <w:bookmarkStart w:id="35" w:name="material-unknowns"/>
    <w:p>
      <w:pPr>
        <w:pStyle w:val="Heading1"/>
      </w:pPr>
      <w:r>
        <w:rPr>
          <w:rFonts w:ascii="Linux Libertine G" w:hAnsi="Linux Libertine G" w:eastAsia="Linux Libertine G" w:cs="Linux Libertine G"/>
          <w:color w:val="000000"/>
        </w:rPr>
        <w:t xml:space="preserve">5. Material Unknowns</w:t>
      </w:r>
    </w:p>
    <w:p>
      <w:pPr>
        <w:pStyle w:val="FirstParagraph"/>
      </w:pPr>
      <w:r>
        <w:rPr>
          <w:rFonts w:ascii="Linux Libertine G" w:hAnsi="Linux Libertine G" w:eastAsia="Linux Libertine G" w:cs="Linux Libertine G"/>
          <w:color w:val="000000"/>
        </w:rPr>
        <w:t xml:space="preserve">The following evidence remains Unknown for each proposed real production workflow unless supplied by an authorized party:</w:t>
      </w:r>
    </w:p>
    <w:p>
      <w:pPr>
        <w:pStyle w:val="Compact"/>
        <w:numPr>
          <w:ilvl w:val="0"/>
          <w:numId w:val="1003"/>
        </w:numPr>
      </w:pPr>
      <w:r>
        <w:rPr>
          <w:rFonts w:ascii="Linux Libertine G" w:hAnsi="Linux Libertine G" w:eastAsia="Linux Libertine G" w:cs="Linux Libertine G"/>
          <w:color w:val="000000"/>
        </w:rPr>
        <w:t xml:space="preserve">the governing collateral agreement or eligible schedule;</w:t>
      </w:r>
    </w:p>
    <w:p>
      <w:pPr>
        <w:pStyle w:val="Compact"/>
        <w:numPr>
          <w:ilvl w:val="0"/>
          <w:numId w:val="1003"/>
        </w:numPr>
      </w:pPr>
      <w:r>
        <w:rPr>
          <w:rFonts w:ascii="Linux Libertine G" w:hAnsi="Linux Libertine G" w:eastAsia="Linux Libertine G" w:cs="Linux Libertine G"/>
          <w:color w:val="000000"/>
        </w:rPr>
        <w:t xml:space="preserve">receiver, secured-party, custodian, or CCP acceptance;</w:t>
      </w:r>
    </w:p>
    <w:p>
      <w:pPr>
        <w:pStyle w:val="Compact"/>
        <w:numPr>
          <w:ilvl w:val="0"/>
          <w:numId w:val="1003"/>
        </w:numPr>
      </w:pPr>
      <w:r>
        <w:rPr>
          <w:rFonts w:ascii="Linux Libertine G" w:hAnsi="Linux Libertine G" w:eastAsia="Linux Libertine G" w:cs="Linux Libertine G"/>
          <w:color w:val="000000"/>
        </w:rPr>
        <w:t xml:space="preserve">exact position, owner, control, and encumbrance state;</w:t>
      </w:r>
    </w:p>
    <w:p>
      <w:pPr>
        <w:pStyle w:val="Compact"/>
        <w:numPr>
          <w:ilvl w:val="0"/>
          <w:numId w:val="1003"/>
        </w:numPr>
      </w:pPr>
      <w:r>
        <w:rPr>
          <w:rFonts w:ascii="Linux Libertine G" w:hAnsi="Linux Libertine G" w:eastAsia="Linux Libertine G" w:cs="Linux Libertine G"/>
          <w:color w:val="000000"/>
        </w:rPr>
        <w:t xml:space="preserve">accepted valuation source and freshness rule;</w:t>
      </w:r>
    </w:p>
    <w:p>
      <w:pPr>
        <w:pStyle w:val="Compact"/>
        <w:numPr>
          <w:ilvl w:val="0"/>
          <w:numId w:val="1003"/>
        </w:numPr>
      </w:pPr>
      <w:r>
        <w:rPr>
          <w:rFonts w:ascii="Linux Libertine G" w:hAnsi="Linux Libertine G" w:eastAsia="Linux Libertine G" w:cs="Linux Libertine G"/>
          <w:color w:val="000000"/>
        </w:rPr>
        <w:t xml:space="preserve">applicable haircut and concentration limits;</w:t>
      </w:r>
    </w:p>
    <w:p>
      <w:pPr>
        <w:pStyle w:val="Compact"/>
        <w:numPr>
          <w:ilvl w:val="0"/>
          <w:numId w:val="1003"/>
        </w:numPr>
      </w:pPr>
      <w:r>
        <w:rPr>
          <w:rFonts w:ascii="Linux Libertine G" w:hAnsi="Linux Libertine G" w:eastAsia="Linux Libertine G" w:cs="Linux Libertine G"/>
          <w:color w:val="000000"/>
        </w:rPr>
        <w:t xml:space="preserve">custody, control, and any perfection conditions;</w:t>
      </w:r>
    </w:p>
    <w:p>
      <w:pPr>
        <w:pStyle w:val="Compact"/>
        <w:numPr>
          <w:ilvl w:val="0"/>
          <w:numId w:val="1003"/>
        </w:numPr>
      </w:pPr>
      <w:r>
        <w:rPr>
          <w:rFonts w:ascii="Linux Libertine G" w:hAnsi="Linux Libertine G" w:eastAsia="Linux Libertine G" w:cs="Linux Libertine G"/>
          <w:color w:val="000000"/>
        </w:rPr>
        <w:t xml:space="preserve">reconciliation between token, fund entitlement, and collateral records;</w:t>
      </w:r>
    </w:p>
    <w:p>
      <w:pPr>
        <w:pStyle w:val="Compact"/>
        <w:numPr>
          <w:ilvl w:val="0"/>
          <w:numId w:val="1003"/>
        </w:numPr>
      </w:pPr>
      <w:r>
        <w:rPr>
          <w:rFonts w:ascii="Linux Libertine G" w:hAnsi="Linux Libertine G" w:eastAsia="Linux Libertine G" w:cs="Linux Libertine G"/>
          <w:color w:val="000000"/>
        </w:rPr>
        <w:t xml:space="preserve">default access and liquidation mechanics; and</w:t>
      </w:r>
    </w:p>
    <w:p>
      <w:pPr>
        <w:pStyle w:val="Compact"/>
        <w:numPr>
          <w:ilvl w:val="0"/>
          <w:numId w:val="1003"/>
        </w:numPr>
      </w:pPr>
      <w:r>
        <w:rPr>
          <w:rFonts w:ascii="Linux Libertine G" w:hAnsi="Linux Libertine G" w:eastAsia="Linux Libertine G" w:cs="Linux Libertine G"/>
          <w:color w:val="000000"/>
        </w:rPr>
        <w:t xml:space="preserve">the exact observation boundary for each input.</w:t>
      </w:r>
    </w:p>
    <w:p>
      <w:pPr>
        <w:pStyle w:val="FirstParagraph"/>
      </w:pPr>
      <w:r>
        <w:rPr>
          <w:rFonts w:ascii="Linux Libertine G" w:hAnsi="Linux Libertine G" w:eastAsia="Linux Libertine G" w:cs="Linux Libertine G"/>
          <w:color w:val="000000"/>
        </w:rPr>
        <w:t xml:space="preserve">These facts cannot be inferred from a token label, prospectus, public wallet balance, or generic eligible-asset category.</w:t>
      </w:r>
    </w:p>
    <w:bookmarkEnd w:id="35"/>
    <w:bookmarkStart w:id="36" w:name="financial-consequence"/>
    <w:p>
      <w:pPr>
        <w:pStyle w:val="Heading1"/>
      </w:pPr>
      <w:r>
        <w:rPr>
          <w:rFonts w:ascii="Linux Libertine G" w:hAnsi="Linux Libertine G" w:eastAsia="Linux Libertine G" w:cs="Linux Libertine G"/>
          <w:color w:val="000000"/>
        </w:rPr>
        <w:t xml:space="preserve">6. Financial Consequence</w:t>
      </w:r>
    </w:p>
    <w:p>
      <w:pPr>
        <w:pStyle w:val="FirstParagraph"/>
      </w:pPr>
      <w:r>
        <w:rPr>
          <w:rFonts w:ascii="Linux Libertine G" w:hAnsi="Linux Libertine G" w:eastAsia="Linux Libertine G" w:cs="Linux Libertine G"/>
          <w:color w:val="000000"/>
        </w:rPr>
        <w:t xml:space="preserve">The control addresses a specific operational risk: a technically movable token or an asset-category match can be promoted into an admission claim without proving the records and rights that make the collateral usable by a particular receiver.</w:t>
      </w:r>
    </w:p>
    <w:p>
      <w:pPr>
        <w:pStyle w:val="BodyText"/>
      </w:pPr>
      <w:r>
        <w:rPr>
          <w:rFonts w:ascii="Linux Libertine G" w:hAnsi="Linux Libertine G" w:eastAsia="Linux Libertine G" w:cs="Linux Libertine G"/>
          <w:color w:val="000000"/>
        </w:rPr>
        <w:t xml:space="preserve">No realized loss or observed production admission failure is claimed in this determination. The consequence established here is a decision-control boundary. Without the precheck, incomplete evidence can reach criteria matching. With the precheck, missing mandatory facts return UNKNOWN and the query does not run.</w:t>
      </w:r>
    </w:p>
    <w:bookmarkEnd w:id="36"/>
    <w:bookmarkStart w:id="37" w:name="scope-boundary"/>
    <w:p>
      <w:pPr>
        <w:pStyle w:val="Heading1"/>
      </w:pPr>
      <w:r>
        <w:rPr>
          <w:rFonts w:ascii="Linux Libertine G" w:hAnsi="Linux Libertine G" w:eastAsia="Linux Libertine G" w:cs="Linux Libertine G"/>
          <w:color w:val="000000"/>
        </w:rPr>
        <w:t xml:space="preserve">7. Scope Boundary</w:t>
      </w:r>
    </w:p>
    <w:p>
      <w:pPr>
        <w:pStyle w:val="FirstParagraph"/>
      </w:pPr>
      <w:r>
        <w:rPr>
          <w:rFonts w:ascii="Linux Libertine G" w:hAnsi="Linux Libertine G" w:eastAsia="Linux Libertine G" w:cs="Linux Libertine G"/>
          <w:color w:val="000000"/>
        </w:rPr>
        <w:t xml:space="preserve">This determination is not a legal opinion, audit, collateral approval, risk score, investment recommendation, trading signal, or allegation of wrongdoing. It does not claim endorsement by FINOS, GDF, ISDA, Ownera, any issuer, or any collateral receiver.</w:t>
      </w:r>
    </w:p>
    <w:p>
      <w:pPr>
        <w:pStyle w:val="BodyText"/>
      </w:pPr>
      <w:r>
        <w:rPr>
          <w:rFonts w:ascii="Linux Libertine G" w:hAnsi="Linux Libertine G" w:eastAsia="Linux Libertine G" w:cs="Linux Libertine G"/>
          <w:color w:val="000000"/>
        </w:rPr>
        <w:t xml:space="preserve">The test is bounded to the cited GDF and ISDA report, the inspected FINOS CDM revision, five public TFII records, the published profile, and three synthetic execution vectors. Private production records were excluded because they were not available through an authorized route.</w:t>
      </w:r>
    </w:p>
    <w:bookmarkEnd w:id="37"/>
    <w:bookmarkStart w:id="38" w:name="production-inspection"/>
    <w:p>
      <w:pPr>
        <w:pStyle w:val="Heading1"/>
      </w:pPr>
      <w:r>
        <w:rPr>
          <w:rFonts w:ascii="Linux Libertine G" w:hAnsi="Linux Libertine G" w:eastAsia="Linux Libertine G" w:cs="Linux Libertine G"/>
          <w:color w:val="000000"/>
        </w:rPr>
        <w:t xml:space="preserve">8. Production Inspection</w:t>
      </w:r>
    </w:p>
    <w:p>
      <w:pPr>
        <w:pStyle w:val="FirstParagraph"/>
      </w:pPr>
      <w:r>
        <w:rPr>
          <w:rFonts w:ascii="Linux Libertine G" w:hAnsi="Linux Libertine G" w:eastAsia="Linux Libertine G" w:cs="Linux Libertine G"/>
          <w:color w:val="000000"/>
        </w:rPr>
        <w:t xml:space="preserve">A production inspection requires one named instrument, one pledgor and receiver workflow, the actual admission schedule, and authorized operating records. The output is a machine-readable integrity receipt, eligibility determination or evidence hold, Unknown register, and calculation hashes.</w:t>
      </w:r>
    </w:p>
    <w:p>
      <w:pPr>
        <w:pStyle w:val="BodyText"/>
      </w:pPr>
      <w:r>
        <w:rPr>
          <w:rFonts w:ascii="Linux Libertine G" w:hAnsi="Linux Libertine G" w:eastAsia="Linux Libertine G" w:cs="Linux Libertine G"/>
          <w:color w:val="000000"/>
        </w:rPr>
        <w:t xml:space="preserve">The public materials establish the method and the fail-closed behavior. Complete maintained records, implementation, private inputs, and buyer-specific outputs remain controlled. Production inspection is prepaid and governed by written terms.</w:t>
      </w:r>
    </w:p>
    <w:p>
      <w:r>
        <w:rPr>
          <w:rFonts w:ascii="Linux Libertine G" w:hAnsi="Linux Libertine G" w:eastAsia="Linux Libertine G" w:cs="Linux Libertine G"/>
          <w:color w:val="000000"/>
        </w:rPr>
        <w:br w:type="page"/>
      </w:r>
    </w:p>
    <w:bookmarkEnd w:id="38"/>
    <w:bookmarkStart w:id="39" w:name="conclusion"/>
    <w:p>
      <w:pPr>
        <w:pStyle w:val="Heading1"/>
      </w:pPr>
      <w:r>
        <w:rPr>
          <w:rFonts w:ascii="Linux Libertine G" w:hAnsi="Linux Libertine G" w:eastAsia="Linux Libertine G" w:cs="Linux Libertine G"/>
          <w:color w:val="000000"/>
        </w:rPr>
        <w:t xml:space="preserve">9. Conclusion</w:t>
      </w:r>
    </w:p>
    <w:p>
      <w:pPr>
        <w:pStyle w:val="FirstParagraph"/>
      </w:pPr>
      <w:r>
        <w:rPr>
          <w:rFonts w:ascii="Linux Libertine G" w:hAnsi="Linux Libertine G" w:eastAsia="Linux Libertine G" w:cs="Linux Libertine G"/>
          <w:color w:val="000000"/>
        </w:rPr>
        <w:t xml:space="preserve">Movement is observable. Admission is a separate financial determination.</w:t>
      </w:r>
    </w:p>
    <w:p>
      <w:pPr>
        <w:pStyle w:val="BodyText"/>
      </w:pPr>
      <w:r>
        <w:rPr>
          <w:rFonts w:ascii="Linux Libertine G" w:hAnsi="Linux Libertine G" w:eastAsia="Linux Libertine G" w:cs="Linux Libertine G"/>
          <w:color w:val="000000"/>
        </w:rPr>
        <w:t xml:space="preserve">The sandbox proved that test collateral could move through an orchestrated process under agreed assumptions. The combined CDM and TFII profile proved that the required record distinctions can be represented. The execution vectors proved that the control can return PASS, FAIL, and UNKNOWN. The five public live-instrument records proved that the control stops when production evidence is absent.</w:t>
      </w:r>
    </w:p>
    <w:p>
      <w:pPr>
        <w:pStyle w:val="BodyText"/>
      </w:pPr>
      <w:r>
        <w:rPr>
          <w:rFonts w:ascii="Linux Libertine G" w:hAnsi="Linux Libertine G" w:eastAsia="Linux Libertine G" w:cs="Linux Libertine G"/>
          <w:color w:val="000000"/>
        </w:rPr>
        <w:t xml:space="preserve">The supported public conclusion is therefore exact:</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b/>
          <w:bCs/>
          <w:color w:val="000000"/>
        </w:rPr>
        <w:t xml:space="preserve">the sandbox moved collateral; it did not test whether a real tokenized fund should be admitted.</w:t>
      </w:r>
    </w:p>
    <w:bookmarkEnd w:id="39"/>
    <w:bookmarkStart w:id="40" w:name="references"/>
    <w:p>
      <w:pPr>
        <w:pStyle w:val="Heading1"/>
      </w:pPr>
      <w:r>
        <w:rPr>
          <w:rFonts w:ascii="Linux Libertine G" w:hAnsi="Linux Libertine G" w:eastAsia="Linux Libertine G" w:cs="Linux Libertine G"/>
          <w:color w:val="000000"/>
        </w:rPr>
        <w:t xml:space="preserve">References</w:t>
      </w:r>
    </w:p>
    <w:p>
      <w:pPr>
        <w:pStyle w:val="FirstParagraph"/>
      </w:pPr>
      <w:r>
        <w:rPr>
          <w:rFonts w:ascii="Linux Libertine G" w:hAnsi="Linux Libertine G" w:eastAsia="Linux Libertine G" w:cs="Linux Libertine G"/>
          <w:color w:val="000000"/>
        </w:rPr>
        <w:t xml:space="preserve">Global Digital Finance and International Swaps and Derivatives Association. 2026.</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i/>
          <w:iCs/>
          <w:color w:val="000000"/>
        </w:rPr>
        <w:t xml:space="preserve">Unlocking Capital with U.S. Tokenized Money Market Funds for Collateral Mobility</w:t>
      </w:r>
      <w:r>
        <w:rPr>
          <w:rFonts w:ascii="Linux Libertine G" w:hAnsi="Linux Libertine G" w:eastAsia="Linux Libertine G" w:cs="Linux Libertine G"/>
          <w:color w:val="000000"/>
        </w:rPr>
        <w:t xml:space="preserve">. https://www.gdf.io/wp-content/uploads/2026/07/6.07.26_Unlocking-Capital-with-U.S-Tokenized-Money-Market-Funds-for-Collateral-Mobility.pdf.</w:t>
      </w:r>
    </w:p>
    <w:p>
      <w:pPr>
        <w:pStyle w:val="BodyText"/>
      </w:pPr>
      <w:r>
        <w:rPr>
          <w:rFonts w:ascii="Linux Libertine G" w:hAnsi="Linux Libertine G" w:eastAsia="Linux Libertine G" w:cs="Linux Libertine G"/>
          <w:color w:val="000000"/>
        </w:rPr>
        <w:t xml:space="preserve">FINOS. 2026.</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i/>
          <w:iCs/>
          <w:color w:val="000000"/>
        </w:rPr>
        <w:t xml:space="preserve">Common Domain Model</w:t>
      </w:r>
      <w:r>
        <w:rPr>
          <w:rFonts w:ascii="Linux Libertine G" w:hAnsi="Linux Libertine G" w:eastAsia="Linux Libertine G" w:cs="Linux Libertine G"/>
          <w:color w:val="000000"/>
        </w:rPr>
        <w:t xml:space="preserve">. Revision</w:t>
      </w:r>
      <w:r>
        <w:rPr>
          <w:rFonts w:ascii="Linux Libertine G" w:hAnsi="Linux Libertine G" w:eastAsia="Linux Libertine G" w:cs="Linux Libertine G"/>
          <w:color w:val="000000"/>
        </w:rPr>
        <w:t xml:space="preserve"> </w:t>
      </w:r>
      <w:r>
        <w:rPr>
          <w:rStyle w:val="VerbatimChar"/>
          <w:rFonts w:ascii="Linux Libertine G" w:hAnsi="Linux Libertine G" w:eastAsia="Linux Libertine G" w:cs="Linux Libertine G"/>
          <w:color w:val="000000"/>
        </w:rPr>
        <w:t xml:space="preserve">a6ffe777bc12ef3d289579cb3a86d1cbffea63d2</w:t>
      </w:r>
      <w:r>
        <w:rPr>
          <w:rFonts w:ascii="Linux Libertine G" w:hAnsi="Linux Libertine G" w:eastAsia="Linux Libertine G" w:cs="Linux Libertine G"/>
          <w:color w:val="000000"/>
        </w:rPr>
        <w:t xml:space="preserve">. https://github.com/finos/common-domain-model.</w:t>
      </w:r>
    </w:p>
    <w:p>
      <w:pPr>
        <w:pStyle w:val="BodyText"/>
      </w:pPr>
      <w:r>
        <w:rPr>
          <w:rFonts w:ascii="Linux Libertine G" w:hAnsi="Linux Libertine G" w:eastAsia="Linux Libertine G" w:cs="Linux Libertine G"/>
          <w:color w:val="000000"/>
        </w:rPr>
        <w:t xml:space="preserve">Rampai, Darwin. 2026.</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i/>
          <w:iCs/>
          <w:color w:val="000000"/>
        </w:rPr>
        <w:t xml:space="preserve">The Token Is Not the Financial Instrument: Five Tokenized Funds, Five Record Architectures, and the Control Boundary Between Blockchain Transfer and Financial Ownership</w:t>
      </w:r>
      <w:r>
        <w:rPr>
          <w:rFonts w:ascii="Linux Libertine G" w:hAnsi="Linux Libertine G" w:eastAsia="Linux Libertine G" w:cs="Linux Libertine G"/>
          <w:color w:val="000000"/>
        </w:rPr>
        <w:t xml:space="preserve">. Version 1.0. https://doi.org/10.5281/zenodo.21399416.</w:t>
      </w:r>
    </w:p>
    <w:p>
      <w:pPr>
        <w:pStyle w:val="BodyText"/>
      </w:pPr>
      <w:r>
        <w:rPr>
          <w:rFonts w:ascii="Linux Libertine G" w:hAnsi="Linux Libertine G" w:eastAsia="Linux Libertine G" w:cs="Linux Libertine G"/>
          <w:color w:val="000000"/>
        </w:rPr>
        <w:t xml:space="preserve">Rampai, Darwin. 2026.</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“Tokenized-Fund Record Integrity and Collateral Admission.”</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Public technical contribution. https://github.com/DarwinRampai/the-token-is-not-the-financial-instrument/tree/main/Technical%20Contributions.</w:t>
      </w:r>
    </w:p>
    <w:bookmarkEnd w:id="40"/>
    <w:sectPr>
      <w:headerReference r:id="rId9" w:type="first"/>
      <w:footerReference r:id="rId10" w:type="first"/>
      <w:headerReference r:id="rId11" w:type="default"/>
      <w:footerReference r:id="rId12" w:type="default"/>
      <w:footnotePr>
        <w:numRestart w:val="eachSect"/>
      </w:footnotePr>
      <w:pgSz w:h="15840" w:w="12240"/>
      <w:pgMar w:bottom="1440" w:footer="605" w:header="605" w:left="1440" w:right="1440" w:top="144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 w:pos="9360" w:val="right"/>
      </w:tabs>
    </w:pPr>
    <w:r>
      <w:rPr>
        <w:rFonts w:ascii="Linux Libertine G" w:hAnsi="Linux Libertine G" w:eastAsia="Linux Libertine G" w:cs="Linux Libertine G"/>
        <w:color w:val="000000"/>
        <w:sz w:val="15"/>
      </w:rPr>
      <w:t>RAMPAI / INDEPENDENT RESEARCH / 2026 / VERSION 1.0</w:t>
    </w:r>
    <w:r>
      <w:rPr>
        <w:rFonts w:ascii="Linux Libertine G" w:hAnsi="Linux Libertine G" w:eastAsia="Linux Libertine G" w:cs="Linux Libertine G"/>
        <w:color w:val="000000"/>
        <w:sz w:val="15"/>
      </w:rPr>
      <w:tab/>
      <w:t xml:space="preserve">PAGE </w:t>
    </w:r>
    <w:r>
      <w:rPr>
        <w:rFonts w:ascii="Linux Libertine G" w:hAnsi="Linux Libertine G" w:eastAsia="Linux Libertine G" w:cs="Linux Libertine G"/>
        <w:color w:val="000000"/>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 w:pos="9360" w:val="right"/>
      </w:tabs>
      <w:spacing w:after="60"/>
      <w:pBdr>
        <w:bottom w:val="single" w:sz="4" w:space="2" w:color="000000"/>
      </w:pBdr>
    </w:pPr>
    <w:r>
      <w:rPr>
        <w:rFonts w:ascii="Linux Libertine G" w:hAnsi="Linux Libertine G" w:eastAsia="Linux Libertine G" w:cs="Linux Libertine G"/>
        <w:b/>
        <w:color w:val="000000"/>
        <w:sz w:val="15"/>
      </w:rPr>
      <w:t>INDEPENDENT RESEARCH</w:t>
    </w:r>
    <w:r>
      <w:rPr>
        <w:rFonts w:ascii="Linux Libertine G" w:hAnsi="Linux Libertine G" w:eastAsia="Linux Libertine G" w:cs="Linux Libertine G"/>
        <w:color w:val="000000"/>
        <w:sz w:val="15"/>
      </w:rPr>
      <w:tab/>
      <w:t>MOVEMENT IS NOT ADMISSION</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widowControl/>
      <w:spacing w:after="140" w:before="0" w:line="293" w:lineRule="auto"/>
    </w:pPr>
    <w:rPr>
      <w:rFonts w:ascii="Linux Libertine G" w:eastAsia="Linux Libertine G" w:hAnsi="Linux Libertine G"/>
      <w:b w:val="0"/>
      <w:i w:val="0"/>
      <w:color w:val="000000"/>
      <w:sz w:val="21"/>
    </w:rPr>
  </w:style>
  <w:style w:styleId="BodyText" w:type="paragraph">
    <w:name w:val="Body Text"/>
    <w:basedOn w:val="Normal"/>
    <w:link w:val="BodyTextChar"/>
    <w:qFormat/>
    <w:pPr>
      <w:spacing w:after="180" w:before="180"/>
    </w:pPr>
    <w:rPr>
      <w:color w:val="000000"/>
    </w:rPr>
  </w:style>
  <w:style w:customStyle="1" w:styleId="FirstParagraph" w:type="paragraph">
    <w:name w:val="First Paragraph"/>
    <w:basedOn w:val="BodyText"/>
    <w:next w:val="BodyText"/>
    <w:qFormat/>
    <w:rPr>
      <w:color w:val="000000"/>
    </w:rPr>
  </w:style>
  <w:style w:customStyle="1" w:styleId="Compact" w:type="paragraph">
    <w:name w:val="Compact"/>
    <w:basedOn w:val="BodyText"/>
    <w:qFormat/>
    <w:pPr>
      <w:spacing w:after="36" w:before="36"/>
    </w:pPr>
    <w:rPr>
      <w:color w:val="000000"/>
    </w:rPr>
  </w:style>
  <w:style w:styleId="Title" w:type="paragraph">
    <w:name w:val="Title"/>
    <w:basedOn w:val="Normal"/>
    <w:next w:val="BodyText"/>
    <w:link w:val="TitleChar"/>
    <w:uiPriority w:val="10"/>
    <w:qFormat/>
    <w:rsid w:val="00A10FD9"/>
    <w:pPr>
      <w:keepNext/>
      <w:widowControl/>
      <w:spacing w:after="240" w:before="2760" w:line="240" w:lineRule="auto"/>
      <w:contextualSpacing/>
      <w:jc w:val="left"/>
    </w:pPr>
    <w:rPr>
      <w:rFonts w:ascii="Linux Libertine G" w:asciiTheme="majorHAnsi" w:cstheme="majorBidi" w:eastAsia="Linux Libertine G" w:eastAsiaTheme="majorEastAsia" w:hAnsi="Linux Libertine G" w:hAnsiTheme="majorHAnsi"/>
      <w:b/>
      <w:i w:val="0"/>
      <w:color w:val="000000"/>
      <w:sz w:val="7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color w:val="000000"/>
      <w:sz w:val="56"/>
      <w:szCs w:val="56"/>
    </w:rPr>
  </w:style>
  <w:style w:styleId="Subtitle" w:type="paragraph">
    <w:name w:val="Subtitle"/>
    <w:basedOn w:val="Title"/>
    <w:next w:val="BodyText"/>
    <w:link w:val="SubtitleChar"/>
    <w:uiPriority w:val="11"/>
    <w:qFormat/>
    <w:rsid w:val="00A10FD9"/>
    <w:pPr>
      <w:keepNext/>
      <w:widowControl/>
      <w:numPr>
        <w:ilvl w:val="1"/>
      </w:numPr>
      <w:spacing w:after="480" w:before="0"/>
      <w:jc w:val="left"/>
      <w:pBdr>
        <w:bottom w:color="000000" w:space="1" w:sz="18" w:val="single"/>
      </w:pBdr>
    </w:pPr>
    <w:rPr>
      <w:rFonts w:ascii="Linux Libertine G" w:cstheme="majorBidi" w:eastAsia="Linux Libertine G" w:eastAsiaTheme="majorEastAsia" w:hAnsi="Linux Libertine G"/>
      <w:b w:val="0"/>
      <w:i/>
      <w:color w:val="000000"/>
      <w:spacing w:val="15"/>
      <w:sz w:val="30"/>
      <w:szCs w:val="28"/>
    </w:rPr>
  </w:style>
  <w:style w:customStyle="1" w:styleId="SubtitleChar" w:type="character">
    <w:name w:val="Subtitle Char"/>
    <w:basedOn w:val="DefaultParagraphFont"/>
    <w:link w:val="Subtitle"/>
    <w:uiPriority w:val="11"/>
    <w:rsid w:val="00A10FD9"/>
    <w:rPr>
      <w:rFonts w:cstheme="majorBidi" w:eastAsiaTheme="majorEastAsia"/>
      <w:color w:val="000000"/>
      <w:spacing w:val="15"/>
      <w:sz w:val="28"/>
      <w:szCs w:val="28"/>
    </w:rPr>
  </w:style>
  <w:style w:customStyle="1" w:styleId="Author" w:type="paragraph">
    <w:name w:val="Author"/>
    <w:basedOn w:val="Title"/>
    <w:next w:val="BodyText"/>
    <w:qFormat/>
    <w:pPr>
      <w:keepNext/>
      <w:keepLines/>
    </w:pPr>
    <w:rPr>
      <w:color w:val="000000"/>
      <w:sz w:val="24"/>
      <w:szCs w:val="24"/>
    </w:rPr>
  </w:style>
  <w:style w:styleId="Date" w:type="paragraph">
    <w:name w:val="Date"/>
    <w:basedOn w:val="Title"/>
    <w:next w:val="BodyText"/>
    <w:qFormat/>
    <w:pPr>
      <w:keepNext/>
      <w:keepLines/>
    </w:pPr>
    <w:rPr>
      <w:color w:val="000000"/>
      <w:sz w:val="24"/>
      <w:szCs w:val="24"/>
    </w:rPr>
  </w:style>
  <w:style w:customStyle="1" w:styleId="AbstractTitle" w:type="paragraph">
    <w:name w:val="Abstract Title"/>
    <w:basedOn w:val="Normal"/>
    <w:next w:val="Abstract"/>
    <w:qFormat/>
    <w:pPr>
      <w:keepNext/>
      <w:keepLines/>
      <w:spacing w:after="0" w:before="300"/>
      <w:jc w:val="center"/>
    </w:pPr>
    <w:rPr>
      <w:b/>
      <w:color w:val="000000"/>
      <w:sz w:val="20"/>
      <w:szCs w:val="20"/>
    </w:rPr>
  </w:style>
  <w:style w:customStyle="1" w:styleId="Abstract" w:type="paragraph">
    <w:name w:val="Abstract"/>
    <w:basedOn w:val="Normal"/>
    <w:next w:val="BodyText"/>
    <w:qFormat/>
    <w:pPr>
      <w:keepNext/>
      <w:keepLines/>
      <w:spacing w:after="300" w:before="100"/>
    </w:pPr>
    <w:rPr>
      <w:color w:val="000000"/>
      <w:sz w:val="20"/>
      <w:szCs w:val="20"/>
    </w:rPr>
  </w:style>
  <w:style w:styleId="Bibliography" w:type="paragraph">
    <w:name w:val="Bibliography"/>
    <w:basedOn w:val="Normal"/>
    <w:next w:val="Bibliography"/>
    <w:qFormat/>
    <w:pPr>
      <w:keepNext w:val="0"/>
      <w:widowControl/>
      <w:spacing w:after="100" w:before="0" w:line="264" w:lineRule="auto"/>
      <w:ind w:hanging="360" w:left="360"/>
    </w:pPr>
    <w:rPr>
      <w:rFonts w:ascii="Linux Libertine G" w:eastAsia="Linux Libertine G" w:hAnsi="Linux Libertine G"/>
      <w:b w:val="0"/>
      <w:i w:val="0"/>
      <w:color w:val="000000"/>
      <w:sz w:val="16"/>
    </w:rPr>
  </w:style>
  <w:style w:styleId="Heading1" w:type="paragraph">
    <w:name w:val="heading 1"/>
    <w:basedOn w:val="Normal"/>
    <w:next w:val="BodyText"/>
    <w:link w:val="Heading1Char"/>
    <w:uiPriority w:val="9"/>
    <w:qFormat/>
    <w:rsid w:val="00A10FD9"/>
    <w:pPr>
      <w:keepNext/>
      <w:keepLines/>
      <w:widowControl/>
      <w:spacing w:after="180" w:before="440"/>
      <w:outlineLvl w:val="0"/>
    </w:pPr>
    <w:rPr>
      <w:rFonts w:ascii="Linux Libertine G" w:asciiTheme="majorHAnsi" w:cstheme="majorBidi" w:eastAsia="Linux Libertine G" w:eastAsiaTheme="majorEastAsia" w:hAnsi="Linux Libertine G" w:hAnsiTheme="majorHAnsi"/>
      <w:b/>
      <w:i w:val="0"/>
      <w:color w:val="000000"/>
      <w:sz w:val="36"/>
      <w:szCs w:val="40"/>
    </w:rPr>
  </w:style>
  <w:style w:styleId="Heading2" w:type="paragraph">
    <w:name w:val="heading 2"/>
    <w:basedOn w:val="Normal"/>
    <w:next w:val="BodyText"/>
    <w:link w:val="Heading2Char"/>
    <w:uiPriority w:val="9"/>
    <w:semiHidden/>
    <w:unhideWhenUsed/>
    <w:qFormat/>
    <w:rsid w:val="00A10FD9"/>
    <w:pPr>
      <w:keepNext/>
      <w:keepLines/>
      <w:widowControl/>
      <w:spacing w:after="140" w:before="320"/>
      <w:outlineLvl w:val="1"/>
    </w:pPr>
    <w:rPr>
      <w:rFonts w:ascii="Linux Libertine G" w:asciiTheme="majorHAnsi" w:cstheme="majorBidi" w:eastAsia="Linux Libertine G" w:eastAsiaTheme="majorEastAsia" w:hAnsi="Linux Libertine G" w:hAnsiTheme="majorHAnsi"/>
      <w:b/>
      <w:i w:val="0"/>
      <w:color w:val="000000"/>
      <w:sz w:val="27"/>
      <w:szCs w:val="32"/>
    </w:rPr>
  </w:style>
  <w:style w:styleId="Heading3" w:type="paragraph">
    <w:name w:val="heading 3"/>
    <w:basedOn w:val="Normal"/>
    <w:next w:val="BodyText"/>
    <w:link w:val="Heading3Char"/>
    <w:uiPriority w:val="9"/>
    <w:semiHidden/>
    <w:unhideWhenUsed/>
    <w:qFormat/>
    <w:rsid w:val="00A10FD9"/>
    <w:pPr>
      <w:keepNext/>
      <w:keepLines/>
      <w:widowControl/>
      <w:spacing w:after="100" w:before="240"/>
      <w:outlineLvl w:val="2"/>
    </w:pPr>
    <w:rPr>
      <w:rFonts w:ascii="Linux Libertine G" w:cstheme="majorBidi" w:eastAsia="Linux Libertine G" w:eastAsiaTheme="majorEastAsia" w:hAnsi="Linux Libertine G"/>
      <w:b/>
      <w:i w:val="0"/>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val="000000"/>
    </w:rPr>
  </w:style>
  <w:style w:customStyle="1" w:styleId="Heading7Char" w:type="character">
    <w:name w:val="Heading 7 Char"/>
    <w:basedOn w:val="DefaultParagraphFont"/>
    <w:link w:val="Heading7"/>
    <w:uiPriority w:val="9"/>
    <w:semiHidden/>
    <w:rsid w:val="00A10FD9"/>
    <w:rPr>
      <w:rFonts w:cstheme="majorBidi" w:eastAsiaTheme="majorEastAsia"/>
      <w:color w:val="000000"/>
    </w:rPr>
  </w:style>
  <w:style w:customStyle="1" w:styleId="Heading8Char" w:type="character">
    <w:name w:val="Heading 8 Char"/>
    <w:basedOn w:val="DefaultParagraphFont"/>
    <w:link w:val="Heading8"/>
    <w:uiPriority w:val="9"/>
    <w:semiHidden/>
    <w:rsid w:val="00A10FD9"/>
    <w:rPr>
      <w:rFonts w:cstheme="majorBidi" w:eastAsiaTheme="majorEastAsia"/>
      <w:i/>
      <w:iCs/>
      <w:color w:val="000000"/>
    </w:rPr>
  </w:style>
  <w:style w:customStyle="1" w:styleId="Heading9Char" w:type="character">
    <w:name w:val="Heading 9 Char"/>
    <w:basedOn w:val="DefaultParagraphFont"/>
    <w:link w:val="Heading9"/>
    <w:uiPriority w:val="9"/>
    <w:semiHidden/>
    <w:rsid w:val="00A10FD9"/>
    <w:rPr>
      <w:rFonts w:cstheme="majorBidi" w:eastAsiaTheme="majorEastAsia"/>
      <w:color w:val="000000"/>
    </w:rPr>
  </w:style>
  <w:style w:styleId="BlockText" w:type="paragraph">
    <w:name w:val="Block Text"/>
    <w:basedOn w:val="BodyText"/>
    <w:next w:val="BodyText"/>
    <w:uiPriority w:val="9"/>
    <w:unhideWhenUsed/>
    <w:qFormat/>
    <w:pPr>
      <w:keepNext w:val="0"/>
      <w:widowControl/>
      <w:spacing w:after="120" w:before="120" w:line="288" w:lineRule="auto"/>
      <w:ind w:firstLine="0" w:left="360" w:right="360"/>
    </w:pPr>
    <w:rPr>
      <w:rFonts w:ascii="Linux Libertine G" w:eastAsia="Linux Libertine G" w:hAnsi="Linux Libertine G"/>
      <w:b w:val="0"/>
      <w:i w:val="0"/>
      <w:color w:val="000000"/>
      <w:sz w:val="21"/>
    </w:rPr>
  </w:style>
  <w:style w:styleId="FootnoteText" w:type="paragraph">
    <w:name w:val="Footnote Text"/>
    <w:basedOn w:val="Normal"/>
    <w:next w:val="FootnoteText"/>
    <w:uiPriority w:val="9"/>
    <w:unhideWhenUsed/>
    <w:qFormat/>
    <w:rPr>
      <w:color w:val="000000"/>
    </w:rPr>
  </w:style>
  <w:style w:styleId="FootnoteBlockText" w:type="paragraph">
    <w:name w:val="Footnote Block Text"/>
    <w:basedOn w:val="FootnoteText"/>
    <w:next w:val="FootnoteText"/>
    <w:uiPriority w:val="9"/>
    <w:unhideWhenUsed/>
    <w:qFormat/>
    <w:pPr>
      <w:spacing w:after="100" w:before="100"/>
      <w:ind w:firstLine="0" w:left="480" w:right="480"/>
    </w:pPr>
    <w:rPr>
      <w:color w:val="000000"/>
    </w:rPr>
  </w:style>
  <w:style w:default="1" w:styleId="DefaultParagraphFont" w:type="character">
    <w:name w:val="Default Paragraph Font"/>
    <w:semiHidden/>
    <w:unhideWhenUsed/>
    <w:rPr>
      <w:color w:val="000000"/>
    </w:rPr>
  </w:style>
  <w:style w:default="1" w:styleId="Table" w:type="table">
    <w:name w:val="Table"/>
    <w:basedOn w:val="TableNormal"/>
    <w:semiHidden/>
    <w:unhideWhenUsed/>
    <w:qFormat/>
    <w:rPr>
      <w:color w:val="000000"/>
    </w:rPr>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color w:val="000000"/>
    </w:rPr>
  </w:style>
  <w:style w:customStyle="1" w:styleId="Definition" w:type="paragraph">
    <w:name w:val="Definition"/>
    <w:basedOn w:val="Normal"/>
    <w:rPr>
      <w:color w:val="000000"/>
    </w:rPr>
  </w:style>
  <w:style w:styleId="Caption" w:type="paragraph">
    <w:name w:val="Caption"/>
    <w:basedOn w:val="Normal"/>
    <w:link w:val="BodyTextChar"/>
    <w:pPr>
      <w:keepNext/>
      <w:widowControl/>
      <w:spacing w:after="100" w:before="160"/>
    </w:pPr>
    <w:rPr>
      <w:rFonts w:ascii="Linux Libertine G" w:eastAsia="Linux Libertine G" w:hAnsi="Linux Libertine G"/>
      <w:b w:val="0"/>
      <w:i w:val="0"/>
      <w:color w:val="000000"/>
      <w:sz w:val="17"/>
    </w:rPr>
  </w:style>
  <w:style w:customStyle="1" w:styleId="TableCaption" w:type="paragraph">
    <w:name w:val="Table Caption"/>
    <w:basedOn w:val="Caption"/>
    <w:pPr>
      <w:keepNext/>
    </w:pPr>
    <w:rPr>
      <w:color w:val="000000"/>
    </w:rPr>
  </w:style>
  <w:style w:customStyle="1" w:styleId="ImageCaption" w:type="paragraph">
    <w:name w:val="Image Caption"/>
    <w:basedOn w:val="Caption"/>
    <w:rPr>
      <w:color w:val="000000"/>
    </w:rPr>
  </w:style>
  <w:style w:customStyle="1" w:styleId="Figure" w:type="paragraph">
    <w:name w:val="Figure"/>
    <w:basedOn w:val="Normal"/>
    <w:rPr>
      <w:color w:val="000000"/>
    </w:rPr>
  </w:style>
  <w:style w:customStyle="1" w:styleId="CaptionedFigure" w:type="paragraph">
    <w:name w:val="Captioned Figure"/>
    <w:basedOn w:val="Figure"/>
    <w:pPr>
      <w:keepNext/>
    </w:pPr>
    <w:rPr>
      <w:color w:val="000000"/>
    </w:rPr>
  </w:style>
  <w:style w:customStyle="1" w:styleId="BodyTextChar" w:type="character">
    <w:name w:val="Body Text Char"/>
    <w:basedOn w:val="DefaultParagraphFont"/>
    <w:link w:val="BodyText"/>
    <w:rPr>
      <w:color w:val="000000"/>
    </w:rPr>
  </w:style>
  <w:style w:customStyle="1" w:styleId="VerbatimChar" w:type="character">
    <w:name w:val="Verbatim Char"/>
    <w:basedOn w:val="BodyTextChar"/>
    <w:rPr>
      <w:rFonts w:ascii="Consolas" w:hAnsi="Consolas"/>
      <w:color w:val="000000"/>
      <w:sz w:val="22"/>
    </w:rPr>
  </w:style>
  <w:style w:customStyle="1" w:styleId="SectionNumber" w:type="character">
    <w:name w:val="Section Number"/>
    <w:basedOn w:val="BodyTextChar"/>
    <w:rPr>
      <w:color w:val="000000"/>
    </w:rPr>
  </w:style>
  <w:style w:styleId="FootnoteReference" w:type="character">
    <w:name w:val="Footnote Reference"/>
    <w:basedOn w:val="BodyTextChar"/>
    <w:rPr>
      <w:color w:val="000000"/>
      <w:vertAlign w:val="superscript"/>
    </w:rPr>
  </w:style>
  <w:style w:styleId="Hyperlink" w:type="character">
    <w:name w:val="Hyperlink"/>
    <w:basedOn w:val="BodyTextChar"/>
    <w:rPr>
      <w:rFonts w:ascii="Linux Libertine G" w:eastAsia="Linux Libertine G" w:hAnsi="Linux Libertine G"/>
      <w:b w:val="0"/>
      <w:i w:val="0"/>
      <w:color w:val="000000"/>
      <w:sz w:val="21"/>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000000"/>
    </w:rPr>
  </w:style>
  <w:style w:customStyle="1" w:styleId="FETWordmark" w:type="paragraph">
    <w:name w:val="FET Wordmark"/>
    <w:pPr>
      <w:keepNext/>
      <w:widowControl/>
      <w:spacing w:after="280" w:before="0" w:line="288" w:lineRule="auto"/>
    </w:pPr>
    <w:rPr>
      <w:rFonts w:ascii="Linux Libertine G" w:eastAsia="Linux Libertine G" w:hAnsi="Linux Libertine G"/>
      <w:b/>
      <w:i w:val="0"/>
      <w:color w:val="000000"/>
      <w:sz w:val="17"/>
    </w:rPr>
  </w:style>
  <w:style w:customStyle="1" w:styleId="FETDocumentType" w:type="paragraph">
    <w:name w:val="FET Document Type"/>
    <w:pPr>
      <w:keepNext/>
      <w:widowControl/>
      <w:spacing w:after="120" w:before="0" w:line="288" w:lineRule="auto"/>
    </w:pPr>
    <w:rPr>
      <w:rFonts w:ascii="Linux Libertine G" w:eastAsia="Linux Libertine G" w:hAnsi="Linux Libertine G"/>
      <w:b/>
      <w:i w:val="0"/>
      <w:color w:val="000000"/>
      <w:sz w:val="18"/>
    </w:rPr>
  </w:style>
  <w:style w:customStyle="1" w:styleId="FETCoverMetadata" w:type="paragraph">
    <w:name w:val="FET Cover Metadata"/>
    <w:pPr>
      <w:keepNext w:val="0"/>
      <w:widowControl/>
      <w:spacing w:after="40" w:before="80" w:line="288" w:lineRule="auto"/>
    </w:pPr>
    <w:rPr>
      <w:rFonts w:ascii="Linux Libertine G" w:eastAsia="Linux Libertine G" w:hAnsi="Linux Libertine G"/>
      <w:b w:val="0"/>
      <w:i w:val="0"/>
      <w:color w:val="000000"/>
      <w:sz w:val="17"/>
    </w:rPr>
  </w:style>
  <w:style w:customStyle="1" w:styleId="FETCoverStatement" w:type="paragraph">
    <w:name w:val="FET Cover Statement"/>
    <w:pPr>
      <w:keepNext w:val="0"/>
      <w:widowControl/>
      <w:spacing w:after="0" w:before="0" w:line="288" w:lineRule="auto"/>
    </w:pPr>
    <w:rPr>
      <w:rFonts w:ascii="Linux Libertine G" w:eastAsia="Linux Libertine G" w:hAnsi="Linux Libertine G"/>
      <w:b w:val="0"/>
      <w:i/>
      <w:color w:val="000000"/>
      <w:sz w:val="18"/>
    </w:rPr>
  </w:style>
  <w:style w:customStyle="1" w:styleId="FETLead" w:type="paragraph">
    <w:name w:val="FET Lead"/>
    <w:pPr>
      <w:keepNext w:val="0"/>
      <w:widowControl/>
      <w:spacing w:after="180" w:before="0" w:line="288" w:lineRule="auto"/>
    </w:pPr>
    <w:rPr>
      <w:rFonts w:ascii="Linux Libertine G" w:eastAsia="Linux Libertine G" w:hAnsi="Linux Libertine G"/>
      <w:b w:val="0"/>
      <w:i w:val="0"/>
      <w:color w:val="000000"/>
      <w:sz w:val="24"/>
    </w:rPr>
  </w:style>
  <w:style w:customStyle="1" w:styleId="FETAbstract" w:type="paragraph">
    <w:name w:val="FET Abstract"/>
    <w:pPr>
      <w:keepNext w:val="0"/>
      <w:widowControl/>
      <w:spacing w:after="140" w:before="0" w:line="288" w:lineRule="auto"/>
    </w:pPr>
    <w:rPr>
      <w:rFonts w:ascii="Linux Libertine G" w:eastAsia="Linux Libertine G" w:hAnsi="Linux Libertine G"/>
      <w:b w:val="0"/>
      <w:i w:val="0"/>
      <w:color w:val="000000"/>
      <w:sz w:val="21"/>
    </w:rPr>
  </w:style>
  <w:style w:customStyle="1" w:styleId="FETPrincipalFinding" w:type="paragraph">
    <w:name w:val="FET Principal Finding"/>
    <w:pPr>
      <w:keepNext w:val="0"/>
      <w:widowControl/>
      <w:spacing w:after="160" w:before="160" w:line="288" w:lineRule="auto"/>
      <w:pBdr>
        <w:top w:color="000000" w:space="5" w:sz="8" w:val="single"/>
        <w:left w:color="000000" w:space="5" w:sz="8" w:val="single"/>
        <w:bottom w:color="000000" w:space="5" w:sz="8" w:val="single"/>
        <w:right w:color="000000" w:space="5" w:sz="8" w:val="single"/>
      </w:pBdr>
    </w:pPr>
    <w:rPr>
      <w:rFonts w:ascii="Linux Libertine G" w:eastAsia="Linux Libertine G" w:hAnsi="Linux Libertine G"/>
      <w:b w:val="0"/>
      <w:i w:val="0"/>
      <w:color w:val="000000"/>
      <w:sz w:val="21"/>
    </w:rPr>
  </w:style>
  <w:style w:customStyle="1" w:styleId="FETEvidenceBoundary" w:type="paragraph">
    <w:name w:val="FET Evidence Boundary"/>
    <w:pPr>
      <w:keepNext w:val="0"/>
      <w:widowControl/>
      <w:spacing w:after="160" w:before="160" w:line="288" w:lineRule="auto"/>
      <w:pBdr>
        <w:top w:color="000000" w:space="5" w:sz="8" w:val="single"/>
        <w:left w:color="000000" w:space="5" w:sz="8" w:val="single"/>
        <w:bottom w:color="000000" w:space="5" w:sz="8" w:val="single"/>
        <w:right w:color="000000" w:space="5" w:sz="8" w:val="single"/>
      </w:pBdr>
    </w:pPr>
    <w:rPr>
      <w:rFonts w:ascii="Linux Libertine G" w:eastAsia="Linux Libertine G" w:hAnsi="Linux Libertine G"/>
      <w:b w:val="0"/>
      <w:i w:val="0"/>
      <w:color w:val="000000"/>
      <w:sz w:val="21"/>
    </w:rPr>
  </w:style>
  <w:style w:customStyle="1" w:styleId="FETTableCaption" w:type="paragraph">
    <w:name w:val="FET Table Caption"/>
    <w:pPr>
      <w:keepNext w:val="0"/>
      <w:widowControl/>
      <w:spacing w:after="80" w:before="120" w:line="288" w:lineRule="auto"/>
    </w:pPr>
    <w:rPr>
      <w:rFonts w:ascii="Linux Libertine G" w:eastAsia="Linux Libertine G" w:hAnsi="Linux Libertine G"/>
      <w:b/>
      <w:i w:val="0"/>
      <w:color w:val="000000"/>
      <w:sz w:val="17"/>
    </w:rPr>
  </w:style>
  <w:style w:customStyle="1" w:styleId="FETFigureCaption" w:type="paragraph">
    <w:name w:val="FET Figure Caption"/>
    <w:pPr>
      <w:keepNext w:val="0"/>
      <w:widowControl/>
      <w:spacing w:after="120" w:before="80" w:line="288" w:lineRule="auto"/>
    </w:pPr>
    <w:rPr>
      <w:rFonts w:ascii="Linux Libertine G" w:eastAsia="Linux Libertine G" w:hAnsi="Linux Libertine G"/>
      <w:b w:val="0"/>
      <w:i w:val="0"/>
      <w:color w:val="000000"/>
      <w:sz w:val="17"/>
    </w:rPr>
  </w:style>
  <w:style w:customStyle="1" w:styleId="FETTOCEntry" w:type="paragraph">
    <w:name w:val="FET TOC Entry"/>
    <w:pPr>
      <w:keepNext w:val="0"/>
      <w:widowControl/>
      <w:spacing w:after="100" w:before="0" w:line="288" w:lineRule="auto"/>
    </w:pPr>
    <w:rPr>
      <w:rFonts w:ascii="Linux Libertine G" w:eastAsia="Linux Libertine G" w:hAnsi="Linux Libertine G"/>
      <w:b w:val="0"/>
      <w:i w:val="0"/>
      <w:color w:val="000000"/>
      <w:sz w:val="19"/>
    </w:rPr>
  </w:style>
  <w:style w:customStyle="1" w:styleId="FETEvidenceID" w:type="paragraph">
    <w:name w:val="FET Evidence ID"/>
    <w:pPr>
      <w:keepNext w:val="0"/>
      <w:widowControl/>
      <w:spacing w:after="80" w:before="0" w:line="288" w:lineRule="auto"/>
    </w:pPr>
    <w:rPr>
      <w:rFonts w:ascii="Linux Libertine G" w:eastAsia="Linux Libertine G" w:hAnsi="Linux Libertine G"/>
      <w:b w:val="0"/>
      <w:i w:val="0"/>
      <w:color w:val="000000"/>
      <w:sz w:val="17"/>
    </w:rPr>
  </w:style>
  <w:style w:customStyle="1" w:styleId="FETCoverRule" w:type="paragraph">
    <w:name w:val="FET Cover Rule"/>
    <w:pPr>
      <w:keepNext w:val="0"/>
      <w:widowControl/>
      <w:spacing w:after="240" w:before="80"/>
      <w:pBdr>
        <w:bottom w:color="000000" w:space="1" w:sz="18" w:val="single"/>
      </w:pBdr>
    </w:pPr>
    <w:rPr>
      <w:rFonts w:ascii="Linux Libertine G" w:eastAsia="Linux Libertine G" w:hAnsi="Linux Libertine G"/>
      <w:b w:val="0"/>
      <w:i w:val="0"/>
      <w:color w:val="000000"/>
      <w:sz w:val="4"/>
    </w:rPr>
  </w:style>
  <w:style w:customStyle="1" w:styleId="SourceCode" w:type="paragraph">
    <w:name w:val="Source Code"/>
    <w:pPr>
      <w:keepNext w:val="0"/>
      <w:widowControl/>
      <w:spacing w:after="120" w:before="80" w:line="240" w:lineRule="auto"/>
    </w:pPr>
    <w:rPr>
      <w:rFonts w:ascii="Linux Libertine G" w:eastAsia="Linux Libertine G" w:hAnsi="Linux Libertine G"/>
      <w:b w:val="0"/>
      <w:i w:val="0"/>
      <w:color w:val="000000"/>
      <w:sz w:val="17"/>
    </w:rPr>
  </w:style>
  <w:style w:customStyle="1" w:styleId="Quote" w:type="paragraph">
    <w:name w:val="Quote"/>
    <w:pPr>
      <w:keepNext w:val="0"/>
      <w:widowControl/>
      <w:spacing w:after="120" w:before="120" w:line="288" w:lineRule="auto"/>
      <w:ind w:left="432"/>
    </w:pPr>
    <w:rPr>
      <w:rFonts w:ascii="Linux Libertine G" w:eastAsia="Linux Libertine G" w:hAnsi="Linux Libertine G"/>
      <w:b w:val="0"/>
      <w:i/>
      <w:color w:val="000000"/>
      <w:sz w:val="21"/>
    </w:r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color w:val="000000"/>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color w:val="000000"/>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color w:val="00000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25" Type="http://schemas.openxmlformats.org/officeDocument/2006/relationships/image" Target="media/rId25.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Movement Is Not Admission</dc:title>
  <dc:creator>Darwin Rampai</dc:creator>
  <cp:keywords>tokenized money-market funds, collateral admission, FINOS CDM, financial record integrity, tokenized collateral, evidence controls</cp:keywords>
  <dcterms:created xsi:type="dcterms:W3CDTF">2026-07-16T19:14:02Z</dcterms:created>
  <dcterms:modified xsi:type="dcterms:W3CDTF">2026-07-16T19:14:02Z</dcterms:modified>
  <dc:subject>The Missing Production Control in a Tokenized Money-Market-Fund Collateral Sandbox</dc:subject>
  <dc:description>Generated under Independent Research Publication Standard 1.3; status RELEASED; disclosure PUBLIC</dc:description>
</cp:coreProperties>
</file>

<file path=docProps/custom.xml><?xml version="1.0" encoding="utf-8"?>
<Properties xmlns="http://schemas.openxmlformats.org/officeDocument/2006/custom-properties" xmlns:vt="http://schemas.openxmlformats.org/officeDocument/2006/docPropsVTypes"/>
</file>