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2041"/>
        <w:gridCol w:w="8164"/>
        <w:tblGridChange w:id="0">
          <w:tblGrid>
            <w:gridCol w:w="2041"/>
            <w:gridCol w:w="816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0f0f0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Способ восстановления пароля по ссылке на почту не соответствует требованиям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Ростелеком (https://b2c.passport.rt.ru/)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регистрации на сайте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2041"/>
        <w:gridCol w:w="3061"/>
        <w:gridCol w:w="2041"/>
        <w:gridCol w:w="3062"/>
        <w:tblGridChange w:id="0">
          <w:tblGrid>
            <w:gridCol w:w="2041"/>
            <w:gridCol w:w="3061"/>
            <w:gridCol w:w="2041"/>
            <w:gridCol w:w="3062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Баг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Приоритет: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Сухова Дарья QAM-21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назначено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решения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Голоса: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Метки: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Требуется уточнение у аналитика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center"/>
        <w:tblLayout w:type="fixed"/>
        <w:tblLook w:val="0000"/>
      </w:tblPr>
      <w:tblGrid>
        <w:gridCol w:w="1352"/>
        <w:gridCol w:w="8853"/>
        <w:tblGridChange w:id="0">
          <w:tblGrid>
            <w:gridCol w:w="1352"/>
            <w:gridCol w:w="8853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Открыт сайт (https://b2c.passport.rt.ru/), осуществлен переход на страницу </w:t>
            </w:r>
            <w:r w:rsidDel="00000000" w:rsidR="00000000" w:rsidRPr="00000000">
              <w:rPr>
                <w:rtl w:val="0"/>
              </w:rPr>
              <w:t xml:space="preserve">восстановления пароля, </w:t>
            </w:r>
            <w:r w:rsidDel="00000000" w:rsidR="00000000" w:rsidRPr="00000000">
              <w:rPr>
                <w:rtl w:val="0"/>
              </w:rPr>
              <w:t xml:space="preserve">к УЗ привязана только почта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7"/>
              </w:tabs>
              <w:spacing w:after="283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Вести email. Заполнить форму "Капча" Нажать на кнопку "Далее"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На указанную почту будет отправлена ссылка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Открывается форма ввода кода. </w:t>
            </w:r>
            <w:r w:rsidDel="00000000" w:rsidR="00000000" w:rsidRPr="00000000">
              <w:rPr>
                <w:rtl w:val="0"/>
              </w:rPr>
              <w:t xml:space="preserve">На указанную почту отправляется 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