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A1A1A"/>
          <w:sz w:val="30"/>
          <w:szCs w:val="30"/>
        </w:rPr>
        <w:t xml:space="preserve">Analiza sytuacji finansowej Dino Polska S.A.</w:t>
      </w:r>
    </w:p>
    <w:p>
      <w:pPr>
        <w:spacing w:after="200"/>
      </w:pPr>
      <w:r>
        <w:rPr>
          <w:color w:val="595959"/>
          <w:sz w:val="18"/>
          <w:szCs w:val="18"/>
        </w:rPr>
        <w:t xml:space="preserve">Raport wykonawczy · lata 2021–2024 · sprawozdania jednostkowe Spółki · czerwiec 2026</w:t>
      </w:r>
    </w:p>
    <w:p>
      <w:pPr>
        <w:pStyle w:val="Heading1"/>
      </w:pPr>
      <w:r>
        <w:t xml:space="preserve">1. Streszczenie zarządcze</w:t>
      </w:r>
    </w:p>
    <w:p>
      <w:pPr>
        <w:spacing w:after="200" w:line="340" w:lineRule="auto"/>
        <w:jc w:val="both"/>
      </w:pPr>
      <w:r>
        <w:t xml:space="preserve">Dino Polska S.A. to ogólnopolska sieć supermarketów spożywczych średniej wielkości, działająca od 1999 r. Na tle konkurencji zajmuje pozycję pośrednią pod względem skali — konkuruje zarówno z dyskontami (Biedronka, Lidl), jak i z sieciami convenience (Żabka). W 2024 r. Spółka weszła dodatkowo w segment e-commerce, przejmując 75% udziałów w eZebra.pl.</w:t>
      </w:r>
    </w:p>
    <w:p>
      <w:pPr>
        <w:spacing w:after="200" w:line="340" w:lineRule="auto"/>
        <w:jc w:val="both"/>
      </w:pPr>
      <w:r>
        <w:t xml:space="preserve">Dino Polska S.A. zwiększyła w latach 2021–2024 liczbę sklepów z 1 815 do 2 688 (+48%), przy CAGR przychodów na poziomie 29,8% — najwyższym wśród analizowanych konkurentów krajowych. Ekspansja jest finansowana niemal wyłącznie kapitałem własnym: jego udział w finansowaniu majątku wzrósł z 43% do 54%, a zadłużenie ogólne spadło z 57% do 46%, w efekcie zatrzymywania całości zysku i braku wypłat dywidend.</w:t>
      </w:r>
    </w:p>
    <w:p>
      <w:pPr>
        <w:spacing w:after="200" w:line="340" w:lineRule="auto"/>
        <w:jc w:val="both"/>
      </w:pPr>
      <w:r>
        <w:t xml:space="preserve">Rentowność sprzedaży (ROS) obniżyła się w tym samym czasie z 6,0% do 5,1%, głównie pod wpływem rosnących kosztów pracy i energii. Przepływy operacyjne wyniosły w 2024 r. 2 557 mln PLN i pokryły zarówno nakłady inwestycyjne, jak i przejęcie 75% udziałów w eZebra.pl — pierwszą akwizycję Spółki w segmencie e-commerce. Sytuację oceniam jako stabilną, z jednym obszarem do obserwacji — presją kosztową ograniczającą marżę sprzedaży.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Wskaźnik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2021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2024</w:t>
            </w:r>
          </w:p>
        </w:tc>
      </w:tr>
      <w:t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Przychody ze sprzedaży (CAGR)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13 362 mln PLN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29 274 mln PLN (29,8%)</w:t>
            </w:r>
          </w:p>
        </w:tc>
      </w:tr>
      <w:t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ROS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6,0%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5,1%</w:t>
            </w:r>
          </w:p>
        </w:tc>
      </w:tr>
      <w:t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Zadłużenie ogólne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57%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46%</w:t>
            </w:r>
          </w:p>
        </w:tc>
      </w:tr>
      <w:t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Przepływy operacyjne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2 557 mln PLN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Główne wnioski</w:t>
      </w:r>
    </w:p>
    <w:p>
      <w:pPr>
        <w:pStyle w:val="Heading2"/>
      </w:pPr>
      <w:r>
        <w:t xml:space="preserve">Rentowność</w:t>
      </w:r>
    </w:p>
    <w:p>
      <w:pPr>
        <w:spacing w:after="200" w:line="340" w:lineRule="auto"/>
        <w:jc w:val="both"/>
      </w:pPr>
      <w:r>
        <w:t xml:space="preserve">ROA pozostaje wysokie (11,5% w 2024 r.), choć niżej niż szczytowe 13,5% w 2023 r. — spadek wynika z przyspieszenia inwestycji, nie z pogorszenia wyników. ROE obniżyło się do 21,2%, głównie w efekcie rosnącej bazy kapitałowej.</w:t>
      </w:r>
    </w:p>
    <w:p>
      <w:pPr>
        <w:pStyle w:val="Heading2"/>
      </w:pPr>
      <w:r>
        <w:t xml:space="preserve">Płynność i sprawność działania</w:t>
      </w:r>
    </w:p>
    <w:p>
      <w:pPr>
        <w:spacing w:after="200" w:line="340" w:lineRule="auto"/>
        <w:jc w:val="both"/>
      </w:pPr>
      <w:r>
        <w:t xml:space="preserve">Wskaźniki płynności (WBPF 0,82; WPP 0,25) są niższe od wartości podręcznikowych, co jest typowe dla handlu detalicznego o wysokiej rotacji towaru, i rosły w 2024 r. Cykl zapasów jest stabilny (ok. 37 dni), a cykl zobowiązań handlowych (54 dni) generuje ujemny cykl konwersji gotówki — Spółka w praktyce finansuje bieżącą działalność środkami dostawców.</w:t>
      </w:r>
    </w:p>
    <w:p>
      <w:pPr>
        <w:pStyle w:val="Heading2"/>
      </w:pPr>
      <w:r>
        <w:t xml:space="preserve">Zadłużenie</w:t>
      </w:r>
    </w:p>
    <w:p>
      <w:pPr>
        <w:spacing w:after="200" w:line="340" w:lineRule="auto"/>
        <w:jc w:val="both"/>
      </w:pPr>
      <w:r>
        <w:t xml:space="preserve">Zadłużenie ogólne spadło z 57% do 46%, a kapitał własny finansuje już 54% aktywów — efekt zatrzymywania całości zysku i braku wypłat dywidend.</w:t>
      </w:r>
    </w:p>
    <w:p>
      <w:pPr>
        <w:pStyle w:val="Heading2"/>
      </w:pPr>
      <w:r>
        <w:t xml:space="preserve">Przepływy pieniężne i wzrost</w:t>
      </w:r>
    </w:p>
    <w:p>
      <w:pPr>
        <w:spacing w:after="200" w:line="340" w:lineRule="auto"/>
        <w:jc w:val="both"/>
      </w:pPr>
      <w:r>
        <w:t xml:space="preserve">Przepływy operacyjne osiągnęły rekordowy poziom 2 557 mln PLN, pokrywając nakłady inwestycyjne (-1 597 mln PLN). Dino odnotowało też najwyższe tempo wzrostu przychodów (CAGR 29,8%) wśród analizowanych podmiotów — przed Żabka Group (23,9%) i Biedronką (15,1%), przy czym przychód na punkt sprzedaży rósł szybciej niż u konkurentów (13,9% rocznie), co wskazuje na rosnącą produktywność istniejącej sieci, a nie tylko na nowe lokalizacje.</w:t>
      </w:r>
    </w:p>
    <w:p>
      <w:pPr>
        <w:pStyle w:val="Heading1"/>
      </w:pPr>
      <w:r>
        <w:t xml:space="preserve">3. Kluczowe ryzyka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auto" w:sz="4"/>
          <w:insideV w:val="single" w:color="auto" w:sz="4"/>
        </w:tblBorders>
      </w:tblPr>
      <w:tblGrid>
        <w:gridCol w:w="2700"/>
        <w:gridCol w:w="4660"/>
        <w:gridCol w:w="2000"/>
      </w:tblGrid>
      <w:tr>
        <w:trPr>
          <w:tblHeader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Ryzyko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Potencjalny wpływ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Priorytet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Presja kosztowa (płace, energia)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Może ograniczać rentowność szybciej, niż rośnie skala działalności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Średni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Zależność od kredytu kupieckiego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Zaostrzenie warunków przez dostawców wymusiłoby alternatywne finansowanie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Średni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Silna konkurencja dyskontów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Biedronka, Lidl i Żabka mogą wywierać presję cenową dzięki większej skali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Średni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Kapitałochłonny model wzrostu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Spowolnienie inwestycji bezpośrednio ograniczyłoby dynamikę przychodów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Niski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Wrażliwość na deflację cen żywności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Deflacja może zatrzymać nominalny wzrost przychodów przy stałym wolumenie sprzedaży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Niski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Szanse i rekomendacje</w:t>
      </w:r>
    </w:p>
    <w:p>
      <w:pPr>
        <w:pStyle w:val="ListParagraph"/>
        <w:numPr>
          <w:ilvl w:val="0"/>
          <w:numId w:val="2"/>
        </w:numPr>
        <w:spacing w:after="110" w:line="320" w:lineRule="auto"/>
      </w:pPr>
      <w:r>
        <w:t xml:space="preserve">Dalsza ekspansja w małych i średnich miejscowościach — format Dino pozostaje niedoreprezentowany względem konkurencji w wielu lokalizacjach.</w:t>
      </w:r>
    </w:p>
    <w:p>
      <w:pPr>
        <w:pStyle w:val="ListParagraph"/>
        <w:numPr>
          <w:ilvl w:val="0"/>
          <w:numId w:val="2"/>
        </w:numPr>
        <w:spacing w:after="110" w:line="320" w:lineRule="auto"/>
      </w:pPr>
      <w:r>
        <w:t xml:space="preserve">Rosnąca produktywność istniejącej sieci (like-for-like +5,3% w 2024 r.) jako dodatkowe źródło wzrostu przychodów, niewymagające nowych nakładów inwestycyjnych.</w:t>
      </w:r>
    </w:p>
    <w:p>
      <w:pPr>
        <w:pStyle w:val="ListParagraph"/>
        <w:numPr>
          <w:ilvl w:val="0"/>
          <w:numId w:val="2"/>
        </w:numPr>
        <w:spacing w:after="110" w:line="320" w:lineRule="auto"/>
      </w:pPr>
      <w:r>
        <w:t xml:space="preserve">Monitorować koszty pracy i energii względem przychodów na poziomie pojedynczego sklepu, aby ograniczyć dalszą erozję ROS.</w:t>
      </w:r>
    </w:p>
    <w:p>
      <w:pPr>
        <w:pStyle w:val="ListParagraph"/>
        <w:numPr>
          <w:ilvl w:val="0"/>
          <w:numId w:val="2"/>
        </w:numPr>
        <w:spacing w:after="110" w:line="320" w:lineRule="auto"/>
      </w:pPr>
      <w:r>
        <w:t xml:space="preserve">Utrzymać dyscyplinę w zarządzaniu relacjami z dostawcami — kredyt kupiecki jest kluczowym, ale wymagającym aktywnego zarządzania źródłem finansowania.</w:t>
      </w:r>
    </w:p>
    <w:p>
      <w:pPr>
        <w:pStyle w:val="ListParagraph"/>
        <w:numPr>
          <w:ilvl w:val="0"/>
          <w:numId w:val="2"/>
        </w:numPr>
        <w:spacing w:after="110" w:line="320" w:lineRule="auto"/>
      </w:pPr>
      <w:r>
        <w:t xml:space="preserve">Kontynuować politykę zatrzymywania zysków i finansowania ekspansji kapitałem własnym.</w:t>
      </w:r>
    </w:p>
    <w:p>
      <w:pPr>
        <w:pStyle w:val="ListParagraph"/>
        <w:numPr>
          <w:ilvl w:val="0"/>
          <w:numId w:val="2"/>
        </w:numPr>
        <w:spacing w:after="110" w:line="320" w:lineRule="auto"/>
      </w:pPr>
      <w:r>
        <w:t xml:space="preserve">Monitorować rentowność segmentu e-commerce (eZebra.pl) przed dalszym skalowaniem tej linii biznesowej.</w:t>
      </w:r>
    </w:p>
    <w:p>
      <w:pPr>
        <w:pStyle w:val="Heading1"/>
      </w:pPr>
      <w:r>
        <w:t xml:space="preserve">5. Ogólna ocena</w:t>
      </w:r>
    </w:p>
    <w:p>
      <w:pPr>
        <w:pStyle w:val="Heading2"/>
      </w:pPr>
      <w:r>
        <w:t xml:space="preserve">Mocne strony</w:t>
      </w:r>
    </w:p>
    <w:p>
      <w:pPr>
        <w:pStyle w:val="ListParagraph"/>
        <w:numPr>
          <w:ilvl w:val="0"/>
          <w:numId w:val="2"/>
        </w:numPr>
        <w:spacing w:after="110" w:line="320" w:lineRule="auto"/>
      </w:pPr>
      <w:r>
        <w:t xml:space="preserve">Rekordowe przepływy operacyjne pokrywające nakłady inwestycyjne.</w:t>
      </w:r>
    </w:p>
    <w:p>
      <w:pPr>
        <w:pStyle w:val="ListParagraph"/>
        <w:numPr>
          <w:ilvl w:val="0"/>
          <w:numId w:val="2"/>
        </w:numPr>
        <w:spacing w:after="110" w:line="320" w:lineRule="auto"/>
      </w:pPr>
      <w:r>
        <w:t xml:space="preserve">Systematyczny spadek zadłużenia — 54% aktywów finansowane kapitałem własnym.</w:t>
      </w:r>
    </w:p>
    <w:p>
      <w:pPr>
        <w:pStyle w:val="ListParagraph"/>
        <w:numPr>
          <w:ilvl w:val="0"/>
          <w:numId w:val="2"/>
        </w:numPr>
        <w:spacing w:after="110" w:line="320" w:lineRule="auto"/>
      </w:pPr>
      <w:r>
        <w:t xml:space="preserve">Najwyższe tempo wzrostu przychodów i produktywności sieci wśród analizowanych konkurentów.</w:t>
      </w:r>
    </w:p>
    <w:p>
      <w:pPr>
        <w:pStyle w:val="Heading2"/>
      </w:pPr>
      <w:r>
        <w:t xml:space="preserve">Słabe strony</w:t>
      </w:r>
    </w:p>
    <w:p>
      <w:pPr>
        <w:pStyle w:val="ListParagraph"/>
        <w:numPr>
          <w:ilvl w:val="0"/>
          <w:numId w:val="2"/>
        </w:numPr>
        <w:spacing w:after="110" w:line="320" w:lineRule="auto"/>
      </w:pPr>
      <w:r>
        <w:t xml:space="preserve">Spadek rentowności sprzedaży (ROS) z 6,0% do 5,1% pod presją kosztów pracy i energii.</w:t>
      </w:r>
    </w:p>
    <w:p>
      <w:pPr>
        <w:pStyle w:val="ListParagraph"/>
        <w:numPr>
          <w:ilvl w:val="0"/>
          <w:numId w:val="2"/>
        </w:numPr>
        <w:spacing w:after="110" w:line="320" w:lineRule="auto"/>
      </w:pPr>
      <w:r>
        <w:t xml:space="preserve">Strukturalne uzależnienie od warunków kredytu kupieckiego oferowanego przez dostawców.</w:t>
      </w:r>
    </w:p>
    <w:p>
      <w:pPr>
        <w:spacing w:after="80"/>
      </w:pPr>
    </w:p>
    <w:p>
      <w:pPr>
        <w:spacing w:after="200" w:line="340" w:lineRule="auto"/>
        <w:jc w:val="both"/>
      </w:pPr>
      <w:r>
        <w:t xml:space="preserve">Dino Polska wchodzi w kolejny okres z bezpiecznym bilansem i sprawdzonym modelem ekspansji. Kluczowym czynnikiem sukcesu pozostanie zdolność do kontrolowania presji kosztowej przy zachowaniu dotychczasowego tempa wzrostu sieci.</w:t>
      </w:r>
    </w:p>
    <w:p>
      <w:pPr>
        <w:pStyle w:val="Heading1"/>
      </w:pPr>
      <w:r>
        <w:t xml:space="preserve">6. Załącznik: skróty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Skrót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Znaczenie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ROS / ROA / ROE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Rentowność sprzedaży / aktywów / kapitału własnego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EBIT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Zysk operacyjny — wynik przed odsetkami i podatkami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CAGR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Skumulowana roczna stopa wzrostu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WBPF / WPP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Wskaźnik bieżącej płynności / płynności przyspieszonej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KOBR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Kapitał obrotowy (kapitał stały minus aktywa trwałe)</w:t>
            </w:r>
          </w:p>
        </w:tc>
      </w:tr>
    </w:tbl>
    <w:p>
      <w:pPr>
        <w:spacing w:after="140"/>
      </w:pPr>
    </w:p>
    <w:p>
      <w:pPr>
        <w:spacing w:after="200" w:line="340" w:lineRule="auto"/>
        <w:jc w:val="both"/>
      </w:pPr>
      <w:r>
        <w:rPr>
          <w:color w:val="595959"/>
          <w:sz w:val="19"/>
          <w:szCs w:val="19"/>
        </w:rPr>
        <w:t xml:space="preserve">Pełna analiza wskaźnikowa i metodologia obliczeń znajdują się w raporcie analitycznym Dino Polska S.A. za lata 2021–2024.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3"/>
        <w:szCs w:val="13"/>
      </w:rPr>
      <w:t xml:space="preserve">Strona </w:t>
    </w:r>
    <w:r>
      <w:rPr>
        <w:color w:val="8C8C8C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3"/>
        <w:szCs w:val="13"/>
      </w:rPr>
      <w:t xml:space="preserve">Dino Polska S.A. — raport wykonawczy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40"/>
      <w:outlineLvl w:val="0"/>
    </w:pPr>
    <w:rPr>
      <w:rFonts w:ascii="Calibri" w:cs="Calibri" w:eastAsia="Calibri" w:hAnsi="Calibri"/>
      <w:b/>
      <w:bCs/>
      <w:color w:val="1A1A1A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2026-06-30T16:06:21.295Z</dcterms:created>
  <dcterms:modified xsi:type="dcterms:W3CDTF">2026-06-30T16:06:21.295Z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