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single"/>
        </w:rPr>
        <w:t>Marktformen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Monopol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Alleiniger Anbieter eines Angebots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kann daher Preis oder Absatzmenge festlegen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Menge welche abgenommen wird hängt von Preis ab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Monopolist strebt es an eine Produktionsmenge anzubieten die die meisten güter anbieten aber trotzdem noch gewinn machen (cournotscher Punkt)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Polypol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viele kleine Anbieter und Nachfrager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Preise stabil, weil Anbieter einen zu kleinen Anteil haben als das sie ihn steuren könnten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bezeichnet als “Vollständige Konkurrenz”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Einzige Variable ist dei Menge and gehandelten Gütern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Olygopol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viele kleine Nachfrager und wenige, große Anbieter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Anbieter haben großen Einfluss auf Preis/Menge und die anderen Unternehmen (Interdependenz)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hohe Markteintrittsbarrieren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Hohes Maß an Wettbewerb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Häufige Preisanpassungen aufgrund des Wettbewerbs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single"/>
        </w:rPr>
        <w:t>Vollkommener Markt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Polypol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homogene Güter (gleiche Qualität)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Transparenz (alle haben alle Information)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Geld- und Güterfluss uneingeschränkt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kein staatlicher Eingriff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keine Kundenpräferenz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unendlich schnelle Reaktion der Marktteilnehmer(zeitlich und räumlich)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Homo Oeconomics (Marktteilnehmer handeln rational)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  <w:t>Die Unsichtbare Hand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Theorie von Adam Smith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beschreibt die selbstregulerung des Markets von Angebot und Nachfrage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Egoistisches Menschenbild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Besteuerung zum Alllgemeinen Wohlstand erfolgt unfreiwilig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  <w:t>Auswirkung auf den Markt</w:t>
      </w:r>
    </w:p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</w:r>
    </w:p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  <w:t>Faktoren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Auf das Angebot: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Auf die Nachfrage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Preis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Preis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Produktionskosten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Einkommen der Nachfrager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Technische Entwicklungen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Nutzeinschätzung des nachfragers (auch Hype)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Gewinnerwartungen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Preis des Subtitutionsgutes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Preise und Güter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</w:tc>
      </w:tr>
    </w:tbl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JetBrai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LibreOffice/24.8.3.2$Windows_X86_64 LibreOffice_project/48a6bac9e7e268aeb4c3483fcf825c94556d9f92</Application>
  <AppVersion>15.0000</AppVersion>
  <Pages>2</Pages>
  <Words>215</Words>
  <Characters>1376</Characters>
  <CharactersWithSpaces>1547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2024-12-11T09:04:02Z</dcterms:created>
  <dc:creator/>
  <dc:description/>
  <dc:language>en-GB</dc:language>
  <cp:lastModifiedBy/>
  <dcterms:modified xsi:type="dcterms:W3CDTF">2024-12-19T11:51:44Z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