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88" w:rsidRPr="00CF0088" w:rsidRDefault="00CF0088" w:rsidP="000E311E">
      <w:pPr>
        <w:pStyle w:val="1"/>
        <w:spacing w:before="480" w:beforeAutospacing="0" w:after="240" w:afterAutospacing="0" w:line="435" w:lineRule="atLeast"/>
        <w:ind w:left="-600" w:right="-600"/>
        <w:rPr>
          <w:b w:val="0"/>
          <w:bCs w:val="0"/>
          <w:color w:val="000000"/>
          <w:sz w:val="32"/>
          <w:szCs w:val="42"/>
        </w:rPr>
      </w:pPr>
      <w:r w:rsidRPr="00CF0088">
        <w:rPr>
          <w:b w:val="0"/>
          <w:bCs w:val="0"/>
          <w:color w:val="000000"/>
          <w:sz w:val="32"/>
          <w:szCs w:val="42"/>
        </w:rPr>
        <w:t xml:space="preserve">Лицензионное соглашение на использование настольного программного обеспечения </w:t>
      </w:r>
      <w:r w:rsidRPr="00CF0088">
        <w:rPr>
          <w:b w:val="0"/>
          <w:bCs w:val="0"/>
          <w:color w:val="000000"/>
          <w:sz w:val="32"/>
          <w:szCs w:val="42"/>
          <w:lang w:val="en-US"/>
        </w:rPr>
        <w:t>MonCenterPosViewer</w:t>
      </w: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color w:val="000000"/>
          <w:sz w:val="23"/>
          <w:szCs w:val="23"/>
        </w:rPr>
      </w:pPr>
      <w:r w:rsidRPr="00CF0088">
        <w:rPr>
          <w:rStyle w:val="a5"/>
          <w:color w:val="000000"/>
          <w:sz w:val="23"/>
          <w:szCs w:val="23"/>
        </w:rPr>
        <w:t>Перед использованием программы, пожалуйста, ознакомьтесь с условиями нижеследующего лицензионного соглашения. Любое использование вами программы означает полное и безоговорочное принятие вами его условий.</w:t>
      </w: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rStyle w:val="a5"/>
          <w:color w:val="000000"/>
          <w:sz w:val="23"/>
          <w:szCs w:val="23"/>
        </w:rPr>
      </w:pPr>
      <w:r w:rsidRPr="00CF0088">
        <w:rPr>
          <w:rStyle w:val="a5"/>
          <w:color w:val="000000"/>
          <w:sz w:val="23"/>
          <w:szCs w:val="23"/>
        </w:rPr>
        <w:t>Если вы не принимаете условия лицензионного соглашения в полном объеме, вы не имеете права использовать программу в каких-либо целях.</w:t>
      </w:r>
    </w:p>
    <w:p w:rsidR="00CF0088" w:rsidRPr="004760C2" w:rsidRDefault="00CF0088" w:rsidP="000E311E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 w:rsidRPr="004760C2">
        <w:rPr>
          <w:rFonts w:ascii="Arial" w:hAnsi="Arial" w:cs="Arial"/>
          <w:b/>
          <w:bCs/>
          <w:color w:val="000000"/>
        </w:rPr>
        <w:t>1. Общие положения</w:t>
      </w:r>
    </w:p>
    <w:p w:rsidR="000E311E" w:rsidRDefault="00CF008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1.1. Настоящее Лицензионное соглашение («Лицензия») уст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анавливает условия использование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программ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ЭВМ:</w:t>
      </w:r>
      <w:r w:rsidR="000E311E"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MonCenterPosViewer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(далее программа именуется «Программа») и заключено между любым лицом, использующим Программу («Пользователь»), и </w:t>
      </w:r>
      <w:r w:rsidR="000E311E"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ФГБОУ ВО «Сибирский государственный университет геосистем и технологий» (СГУГиТ)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Россия, </w:t>
      </w:r>
      <w:r w:rsidR="000E311E">
        <w:rPr>
          <w:rFonts w:ascii="Arial" w:hAnsi="Arial" w:cs="Arial"/>
          <w:color w:val="4D5156"/>
          <w:sz w:val="21"/>
          <w:szCs w:val="21"/>
          <w:shd w:val="clear" w:color="auto" w:fill="FFFFFF"/>
        </w:rPr>
        <w:t>630108</w:t>
      </w:r>
      <w:r w:rsid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г. Новосибирск, ул. Плахотного, д. 10, являющимся правообладателем исключительных прав на Программы («Правообладатель»). 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1.2. Копир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уя Программу, устанавливая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свой персональн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ый компьютер или используя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Программу каким-либо образом, Пол</w:t>
      </w:r>
      <w:bookmarkStart w:id="0" w:name="_GoBack"/>
      <w:bookmarkEnd w:id="0"/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ьзователь выражает свое полное и безоговорочное согласие со всеми условиями Лицензии.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1.3.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разрешается только на условиях настоящей Лицензии. Если Пользователь не принимает условия Лицензии в полном объеме, Пользователь не имее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т права использовать 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каких-либо целях.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 нарушением (невыполнением) какого-либо из условий Лицензии запрещено.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1.4. Использование Программ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условиях настоящей Лицензии в личных некоммерческих целях осуществляется безвозмездно. Использование Программ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1.5. К настоящей Лицензии и всем отношени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ям, связанным с использованием Программы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подлежит применению право Российской Федерации и любые претензии или иски, вытекающие из настоящей Лицензии и</w:t>
      </w:r>
      <w:r w:rsidR="00DE406F">
        <w:rPr>
          <w:rFonts w:ascii="Arial" w:hAnsi="Arial" w:cs="Arial"/>
          <w:color w:val="000000"/>
          <w:sz w:val="23"/>
          <w:szCs w:val="23"/>
          <w:shd w:val="clear" w:color="auto" w:fill="FFFFFF"/>
        </w:rPr>
        <w:t>ли использования Программы</w:t>
      </w: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, должны быть поданы и рассмотрены в суде по месту нахождения Правообладателя.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>1.6. Правообладатель может предоставить Пользователю перевод настоящей Лицензии с русского на другие языки, однако в случае противоречия между условиями Лицензии на русском языке и ее переводом, юридическую силу имеет исключительно русскоязычная версия Лицензии.</w:t>
      </w:r>
    </w:p>
    <w:p w:rsidR="00386DE8" w:rsidRDefault="00386DE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 Права на Программу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2.1. Исключительные права на Программу принадлежат Правообладателю.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3. Лицензия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 Правообладатель безвозмездно, на условиях простой (неисключительной) лицензии, предоставляет Пользователю непередаваемое право использования Программы на территории стран всего мира следующими способами: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3.1.1. Применять Программу по прямому функциональному назначению, в целях чего произвести их копирование и установку (воспроизведение) на персональном(-ых) компьютере(-ах) Пользователя. Пользователь вправе произвести установку Программы на неограниченное число персональных компьютеров.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3.1.2. Воспроизводить и распространять Программы в неизменном виде строго в некоммерческих целях (безвозмездно).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 Ограничения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4.1. За исключением использования в объемах и способами, прямо предусмотренными настоящей Лицензией или законодательством Российской Федерации, Пользователь не имеет права изменять, декомпилировать, дизассемблировать, дешифровать и производить иные действия с объектным кодом Программы, имеющие целью извлечение исходного текста Программы и/или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</w:t>
      </w:r>
      <w:r w:rsidR="00CB7639"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>, без письменного согласия Правообладателя.</w:t>
      </w: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4.2. Пользователь не имеет права без письменного согласия Правообладателя воспроизводить, распространять, дово</w:t>
      </w:r>
      <w:r w:rsidR="00CB7639">
        <w:rPr>
          <w:rFonts w:ascii="Arial" w:hAnsi="Arial" w:cs="Arial"/>
          <w:color w:val="000000"/>
          <w:sz w:val="23"/>
          <w:szCs w:val="23"/>
        </w:rPr>
        <w:t xml:space="preserve">дить до всеобщего сведения Программу </w:t>
      </w:r>
      <w:r>
        <w:rPr>
          <w:rFonts w:ascii="Arial" w:hAnsi="Arial" w:cs="Arial"/>
          <w:color w:val="000000"/>
          <w:sz w:val="23"/>
          <w:szCs w:val="23"/>
        </w:rPr>
        <w:t>в любой форме и любым способом, прямо не предусмотренным настоящей Лицензией, в том числе совместно с другими программами, в составе сборников программных продуктов, c предложением других программ, настроек и иных продуктов, независимо от целей такого использования.</w:t>
      </w:r>
    </w:p>
    <w:p w:rsidR="00CB7639" w:rsidRDefault="00CB7639" w:rsidP="00CB763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4.3. Программа</w:t>
      </w:r>
      <w:r w:rsidR="00386DE8">
        <w:rPr>
          <w:rFonts w:ascii="Arial" w:hAnsi="Arial" w:cs="Arial"/>
          <w:color w:val="000000"/>
          <w:sz w:val="23"/>
          <w:szCs w:val="23"/>
        </w:rPr>
        <w:t xml:space="preserve"> должны использоваться под теми наименованиями, которые были им даны Правообладателем. Пользователь не вправе изменять наименование Программ</w:t>
      </w:r>
      <w:r>
        <w:rPr>
          <w:rFonts w:ascii="Arial" w:hAnsi="Arial" w:cs="Arial"/>
          <w:color w:val="000000"/>
          <w:sz w:val="23"/>
          <w:szCs w:val="23"/>
        </w:rPr>
        <w:t>ы</w:t>
      </w:r>
      <w:r w:rsidR="00386DE8">
        <w:rPr>
          <w:rFonts w:ascii="Arial" w:hAnsi="Arial" w:cs="Arial"/>
          <w:color w:val="000000"/>
          <w:sz w:val="23"/>
          <w:szCs w:val="23"/>
        </w:rPr>
        <w:t>, изменять и/или удалять знаки охраны авторского права (copyright notice) или иное указание на Правообладателя.</w:t>
      </w:r>
    </w:p>
    <w:p w:rsidR="00CB7639" w:rsidRPr="00CB7639" w:rsidRDefault="006558A7" w:rsidP="00CB763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</w:t>
      </w:r>
      <w:r w:rsidR="00CB7639" w:rsidRPr="00CB7639">
        <w:rPr>
          <w:rFonts w:ascii="Arial" w:hAnsi="Arial" w:cs="Arial"/>
          <w:b/>
          <w:bCs/>
          <w:color w:val="000000"/>
        </w:rPr>
        <w:t>.  Регулирующее законодательство</w:t>
      </w:r>
    </w:p>
    <w:p w:rsidR="00191F59" w:rsidRDefault="006558A7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</w:t>
      </w:r>
      <w:r w:rsidR="00191F59">
        <w:rPr>
          <w:rFonts w:ascii="Arial" w:hAnsi="Arial" w:cs="Arial"/>
          <w:color w:val="000000"/>
          <w:sz w:val="23"/>
          <w:szCs w:val="23"/>
        </w:rPr>
        <w:t xml:space="preserve">.1 </w:t>
      </w:r>
      <w:r w:rsidR="00CB7639">
        <w:rPr>
          <w:rFonts w:ascii="Arial" w:hAnsi="Arial" w:cs="Arial"/>
          <w:color w:val="000000"/>
          <w:sz w:val="23"/>
          <w:szCs w:val="23"/>
        </w:rPr>
        <w:t>Лицензия на Программу регулируется законами России</w:t>
      </w:r>
      <w:r w:rsidR="00CB7639" w:rsidRPr="00CB7639">
        <w:rPr>
          <w:rFonts w:ascii="Arial" w:hAnsi="Arial" w:cs="Arial"/>
          <w:color w:val="000000"/>
          <w:sz w:val="23"/>
          <w:szCs w:val="23"/>
        </w:rPr>
        <w:t>.</w:t>
      </w:r>
    </w:p>
    <w:p w:rsidR="00191F59" w:rsidRPr="00191F59" w:rsidRDefault="006558A7" w:rsidP="00191F5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</w:t>
      </w:r>
      <w:r w:rsidR="00191F59" w:rsidRPr="00191F59">
        <w:rPr>
          <w:rFonts w:ascii="Arial" w:hAnsi="Arial" w:cs="Arial"/>
          <w:b/>
          <w:bCs/>
          <w:color w:val="000000"/>
        </w:rPr>
        <w:t>.  Независимость положений</w:t>
      </w:r>
    </w:p>
    <w:p w:rsidR="00191F59" w:rsidRDefault="006558A7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</w:t>
      </w:r>
      <w:r w:rsidR="00191F59">
        <w:rPr>
          <w:rFonts w:ascii="Arial" w:hAnsi="Arial" w:cs="Arial"/>
          <w:color w:val="000000"/>
          <w:sz w:val="23"/>
          <w:szCs w:val="23"/>
        </w:rPr>
        <w:t xml:space="preserve">.1 </w:t>
      </w:r>
      <w:r w:rsidR="00191F59" w:rsidRPr="00191F59">
        <w:rPr>
          <w:rFonts w:ascii="Arial" w:hAnsi="Arial" w:cs="Arial"/>
          <w:color w:val="000000"/>
          <w:sz w:val="23"/>
          <w:szCs w:val="23"/>
        </w:rPr>
        <w:t>Если какая-либо часть настоящего Соглашения признается недействительной и неприменимой, это не повлияет на действительность остального Соглашения, которое сохранит юридическую силу в соответствии со своими условиями.</w:t>
      </w:r>
    </w:p>
    <w:p w:rsidR="00191F59" w:rsidRDefault="006558A7" w:rsidP="00191F59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7</w:t>
      </w:r>
      <w:r w:rsidR="00191F59">
        <w:rPr>
          <w:rFonts w:ascii="Arial" w:hAnsi="Arial" w:cs="Arial"/>
          <w:b/>
          <w:bCs/>
          <w:color w:val="000000"/>
        </w:rPr>
        <w:t>. Ограничение ответственности по Лицензии</w:t>
      </w:r>
    </w:p>
    <w:p w:rsidR="00191F59" w:rsidRDefault="006558A7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</w:t>
      </w:r>
      <w:r w:rsidR="00784EBA">
        <w:rPr>
          <w:rFonts w:ascii="Arial" w:hAnsi="Arial" w:cs="Arial"/>
          <w:color w:val="000000"/>
          <w:sz w:val="23"/>
          <w:szCs w:val="23"/>
        </w:rPr>
        <w:t>.1. Программа</w:t>
      </w:r>
      <w:r w:rsidR="00191F59">
        <w:rPr>
          <w:rFonts w:ascii="Arial" w:hAnsi="Arial" w:cs="Arial"/>
          <w:color w:val="000000"/>
          <w:sz w:val="23"/>
          <w:szCs w:val="23"/>
        </w:rPr>
        <w:t xml:space="preserve"> предоставляются на условиях «как есть» (as is). Правообладатель не предоставляет никаких гарантий в отношении безошибочной и бесперебойной работы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 w:rsidR="00191F59">
        <w:rPr>
          <w:rFonts w:ascii="Arial" w:hAnsi="Arial" w:cs="Arial"/>
          <w:color w:val="000000"/>
          <w:sz w:val="23"/>
          <w:szCs w:val="23"/>
        </w:rPr>
        <w:t>, соответствия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 w:rsidR="00191F59">
        <w:rPr>
          <w:rFonts w:ascii="Arial" w:hAnsi="Arial" w:cs="Arial"/>
          <w:color w:val="000000"/>
          <w:sz w:val="23"/>
          <w:szCs w:val="23"/>
        </w:rPr>
        <w:t xml:space="preserve"> конкретным целям и ожиданиям Пользователя, а также не предоставляет никаких иных гарантий, прямо не указанных в настоящей Лицензии.</w:t>
      </w:r>
    </w:p>
    <w:p w:rsidR="00191F59" w:rsidRDefault="006558A7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</w:t>
      </w:r>
      <w:r w:rsidR="00191F59">
        <w:rPr>
          <w:rFonts w:ascii="Arial" w:hAnsi="Arial" w:cs="Arial"/>
          <w:color w:val="000000"/>
          <w:sz w:val="23"/>
          <w:szCs w:val="23"/>
        </w:rPr>
        <w:t>.2. В максимальной степени, допустимой действующим законодательством, Правообладатель не несет никакой ответственности за какие-либо прямые или косвенные последствия какого-либо использования или невозможности использования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 w:rsidR="00191F59">
        <w:rPr>
          <w:rFonts w:ascii="Arial" w:hAnsi="Arial" w:cs="Arial"/>
          <w:color w:val="000000"/>
          <w:sz w:val="23"/>
          <w:szCs w:val="23"/>
        </w:rPr>
        <w:t xml:space="preserve"> и/или ущерб, причиненный Пользователю и/или третьим сторонам в результате какого-либо использования или неиспользования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 w:rsidR="00191F59">
        <w:rPr>
          <w:rFonts w:ascii="Arial" w:hAnsi="Arial" w:cs="Arial"/>
          <w:color w:val="000000"/>
          <w:sz w:val="23"/>
          <w:szCs w:val="23"/>
        </w:rPr>
        <w:t>, в том числе из-за возможных ошибок или сбоев в работе Программ</w:t>
      </w:r>
      <w:r w:rsidR="00784EBA">
        <w:rPr>
          <w:rFonts w:ascii="Arial" w:hAnsi="Arial" w:cs="Arial"/>
          <w:color w:val="000000"/>
          <w:sz w:val="23"/>
          <w:szCs w:val="23"/>
        </w:rPr>
        <w:t>ы</w:t>
      </w:r>
      <w:r w:rsidR="00191F59">
        <w:rPr>
          <w:rFonts w:ascii="Arial" w:hAnsi="Arial" w:cs="Arial"/>
          <w:color w:val="000000"/>
          <w:sz w:val="23"/>
          <w:szCs w:val="23"/>
        </w:rPr>
        <w:t>.</w:t>
      </w:r>
    </w:p>
    <w:p w:rsidR="006558A7" w:rsidRDefault="004760C2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7.3</w:t>
      </w:r>
      <w:r w:rsidR="006558A7">
        <w:rPr>
          <w:rFonts w:ascii="Arial" w:hAnsi="Arial" w:cs="Arial"/>
          <w:color w:val="000000"/>
          <w:sz w:val="23"/>
          <w:szCs w:val="23"/>
          <w:shd w:val="clear" w:color="auto" w:fill="FFFFFF"/>
        </w:rPr>
        <w:t>. К отношениям по поводу предоставления Польз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ователю в пользование Программы и её</w:t>
      </w:r>
      <w:r w:rsidR="006558A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функций применяется право Российской Федерации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В случае недостижения Правообладателем</w:t>
      </w:r>
      <w:r w:rsidR="006558A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Пользователем согласия, вопрос может быть решен в суде по месту нахождения Правообладателя.</w:t>
      </w:r>
    </w:p>
    <w:p w:rsidR="00191F59" w:rsidRDefault="00191F59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784EBA" w:rsidRDefault="006558A7" w:rsidP="00784EBA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</w:t>
      </w:r>
      <w:r w:rsidR="00784EBA">
        <w:rPr>
          <w:rFonts w:ascii="Arial" w:hAnsi="Arial" w:cs="Arial"/>
          <w:b/>
          <w:bCs/>
          <w:color w:val="000000"/>
        </w:rPr>
        <w:t>. Обновления/новые версии Программ и стороннее программное обеспечение</w:t>
      </w:r>
    </w:p>
    <w:p w:rsidR="00784EBA" w:rsidRDefault="006558A7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</w:t>
      </w:r>
      <w:r w:rsidR="00784EBA">
        <w:rPr>
          <w:rFonts w:ascii="Arial" w:hAnsi="Arial" w:cs="Arial"/>
          <w:color w:val="000000"/>
          <w:sz w:val="23"/>
          <w:szCs w:val="23"/>
          <w:shd w:val="clear" w:color="auto" w:fill="FFFFFF"/>
        </w:rPr>
        <w:t>.1. Действие настоящей Лицензии распространяется на все последующие обновления/новые версии Программы. Установка обновления/новой версии Программы означает принятие Пользователем условий настоящей Лицензии для соответствующих обновлений/новых версий Программы, если обновление/установка новой версии Программы не сопровождается иным лицензионным соглашением.</w:t>
      </w:r>
    </w:p>
    <w:p w:rsidR="00784EBA" w:rsidRDefault="006558A7" w:rsidP="00784EBA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9</w:t>
      </w:r>
      <w:r w:rsidR="00784EBA">
        <w:rPr>
          <w:rFonts w:ascii="Arial" w:hAnsi="Arial" w:cs="Arial"/>
          <w:b/>
          <w:bCs/>
          <w:color w:val="000000"/>
        </w:rPr>
        <w:t>. Изменения условий настоящей Лицензии</w:t>
      </w:r>
    </w:p>
    <w:p w:rsidR="00784EBA" w:rsidRDefault="006558A7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</w:t>
      </w:r>
      <w:r w:rsidR="00784EBA">
        <w:rPr>
          <w:rFonts w:ascii="Arial" w:hAnsi="Arial" w:cs="Arial"/>
          <w:color w:val="000000"/>
          <w:sz w:val="23"/>
          <w:szCs w:val="23"/>
          <w:shd w:val="clear" w:color="auto" w:fill="FFFFFF"/>
        </w:rPr>
        <w:t>.1. Настоящее лицензионное соглашение может изменяться Правообладателем в одностороннем порядке. Уведомление Пользователя о внесенных изменениях в условия настоящей Лицензии публикуется на странице:</w:t>
      </w:r>
      <w:r w:rsidR="003A3CBF" w:rsidRPr="003A3CBF">
        <w:t xml:space="preserve"> </w:t>
      </w:r>
      <w:hyperlink r:id="rId4" w:history="1">
        <w:r w:rsidR="00070405" w:rsidRPr="00027DF8"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https://github.com/Dasadaly/MonCenterPosViewer/blob/main/License%20agreement.docx</w:t>
        </w:r>
      </w:hyperlink>
      <w:r w:rsidR="0007040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784EBA">
        <w:rPr>
          <w:rFonts w:ascii="Arial" w:hAnsi="Arial" w:cs="Arial"/>
          <w:color w:val="000000"/>
          <w:sz w:val="23"/>
          <w:szCs w:val="23"/>
          <w:shd w:val="clear" w:color="auto" w:fill="FFFFFF"/>
        </w:rPr>
        <w:t>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6558A7" w:rsidRDefault="006558A7" w:rsidP="006558A7">
      <w:pPr>
        <w:pStyle w:val="2"/>
        <w:shd w:val="clear" w:color="auto" w:fill="FFFFFF"/>
        <w:spacing w:before="480" w:after="240" w:line="450" w:lineRule="atLeast"/>
        <w:ind w:left="-600" w:right="-6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10</w:t>
      </w:r>
      <w:r>
        <w:rPr>
          <w:rFonts w:ascii="Arial" w:hAnsi="Arial" w:cs="Arial"/>
          <w:b/>
          <w:bCs/>
          <w:color w:val="000000"/>
        </w:rPr>
        <w:t>. Ответственность</w:t>
      </w:r>
    </w:p>
    <w:p w:rsidR="006558A7" w:rsidRDefault="006558A7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10.1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Любые данные, полученные с использованием Программы, Пользователь использует на свой собственный риск и самостоятельно несет ответственность за возможные последствия использования указанных данных, в том числе за ущерб, который это может причинить компьютеру или мобильному устройству Пользователя или третьим лицам, за потерю данных, нарушение пр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ав или любой другой вред. Правообладатель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не несет ответственности за любые виды убытков, произошедшие вследствие использования или невозможности использования Пользователем Программы или отдельных его частей/функций, в том числе из-за возможных ошибок или сбоев в работе, за исключением случаев, прямо предусмотренных законодательством.</w:t>
      </w:r>
    </w:p>
    <w:p w:rsidR="006558A7" w:rsidRDefault="006558A7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10.2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Вне зависимости от места нахождения Пользователя или его оборудования, ко всем отношениям, связанным с использованием Программы, подлежит применению право Российской Федерации и любые требования или иски, возникающие из использования Программы, должны быть поданы и рассмотрены в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суде по месту нахождения Правообладателя.</w:t>
      </w:r>
    </w:p>
    <w:p w:rsidR="006558A7" w:rsidRDefault="006558A7" w:rsidP="00784EBA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10.3. Правообладатель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может предоставить Пользователю перевод настоящего Лицензионного соглашения с русского языка на другие языки, однако в случае противоречия между версией Лицензионного соглашения на русском языке и ее переводом, юридическую силу имеет русскоязычная версия.</w:t>
      </w:r>
    </w:p>
    <w:p w:rsidR="006558A7" w:rsidRPr="00784EBA" w:rsidRDefault="006558A7" w:rsidP="00784EBA">
      <w:pPr>
        <w:ind w:left="-567"/>
      </w:pPr>
      <w:r>
        <w:rPr>
          <w:rStyle w:val="a5"/>
          <w:rFonts w:ascii="Arial" w:hAnsi="Arial" w:cs="Arial"/>
          <w:color w:val="000000"/>
          <w:sz w:val="23"/>
          <w:szCs w:val="23"/>
          <w:shd w:val="clear" w:color="auto" w:fill="FFFFFF"/>
        </w:rPr>
        <w:t>Дата п</w:t>
      </w:r>
      <w:r>
        <w:rPr>
          <w:rStyle w:val="a5"/>
          <w:rFonts w:ascii="Arial" w:hAnsi="Arial" w:cs="Arial"/>
          <w:color w:val="000000"/>
          <w:sz w:val="23"/>
          <w:szCs w:val="23"/>
          <w:shd w:val="clear" w:color="auto" w:fill="FFFFFF"/>
        </w:rPr>
        <w:t>убликации 15.11</w:t>
      </w:r>
      <w:r>
        <w:rPr>
          <w:rStyle w:val="a5"/>
          <w:rFonts w:ascii="Arial" w:hAnsi="Arial" w:cs="Arial"/>
          <w:color w:val="000000"/>
          <w:sz w:val="23"/>
          <w:szCs w:val="23"/>
          <w:shd w:val="clear" w:color="auto" w:fill="FFFFFF"/>
        </w:rPr>
        <w:t>.2023 г.</w:t>
      </w:r>
    </w:p>
    <w:p w:rsidR="00784EBA" w:rsidRPr="00CB7639" w:rsidRDefault="00784EBA" w:rsidP="00191F59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386DE8" w:rsidRDefault="00386DE8" w:rsidP="00386DE8">
      <w:pPr>
        <w:pStyle w:val="p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:rsidR="000E311E" w:rsidRPr="000E311E" w:rsidRDefault="00386DE8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E3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0E311E" w:rsidRPr="000E311E" w:rsidRDefault="000E311E" w:rsidP="000E311E">
      <w:pPr>
        <w:ind w:left="-567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F0088" w:rsidRPr="00CF0088" w:rsidRDefault="00CF0088" w:rsidP="000E311E">
      <w:pPr>
        <w:pStyle w:val="p"/>
        <w:shd w:val="clear" w:color="auto" w:fill="FFFFFF"/>
        <w:spacing w:before="150" w:beforeAutospacing="0" w:after="150" w:afterAutospacing="0"/>
        <w:ind w:left="-567"/>
        <w:rPr>
          <w:rFonts w:ascii="Arial" w:hAnsi="Arial" w:cs="Arial"/>
          <w:color w:val="000000"/>
          <w:sz w:val="23"/>
          <w:szCs w:val="23"/>
        </w:rPr>
      </w:pPr>
    </w:p>
    <w:p w:rsidR="00A623A8" w:rsidRPr="00CF0088" w:rsidRDefault="00A623A8" w:rsidP="000E311E">
      <w:pPr>
        <w:rPr>
          <w:sz w:val="18"/>
        </w:rPr>
      </w:pPr>
    </w:p>
    <w:sectPr w:rsidR="00A623A8" w:rsidRPr="00CF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E0"/>
    <w:rsid w:val="00070405"/>
    <w:rsid w:val="000720E0"/>
    <w:rsid w:val="000E311E"/>
    <w:rsid w:val="00191F59"/>
    <w:rsid w:val="00386DE8"/>
    <w:rsid w:val="003A3CBF"/>
    <w:rsid w:val="003F0ADA"/>
    <w:rsid w:val="004760C2"/>
    <w:rsid w:val="006558A7"/>
    <w:rsid w:val="00784EBA"/>
    <w:rsid w:val="00A623A8"/>
    <w:rsid w:val="00CB7639"/>
    <w:rsid w:val="00CF0088"/>
    <w:rsid w:val="00D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85E6"/>
  <w15:chartTrackingRefBased/>
  <w15:docId w15:val="{09916542-7122-449F-ADFB-436CC99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0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A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F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0ADA"/>
    <w:rPr>
      <w:b/>
      <w:bCs/>
    </w:rPr>
  </w:style>
  <w:style w:type="character" w:styleId="a5">
    <w:name w:val="Emphasis"/>
    <w:basedOn w:val="a0"/>
    <w:uiPriority w:val="20"/>
    <w:qFormat/>
    <w:rsid w:val="003F0ADA"/>
    <w:rPr>
      <w:i/>
      <w:iCs/>
    </w:rPr>
  </w:style>
  <w:style w:type="paragraph" w:customStyle="1" w:styleId="p">
    <w:name w:val="p"/>
    <w:basedOn w:val="a"/>
    <w:rsid w:val="00C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0E3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sadaly/MonCenterPosViewer/blob/main/License%20agreemen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2023-11-14T15:00:00Z</dcterms:created>
  <dcterms:modified xsi:type="dcterms:W3CDTF">2023-11-15T03:36:00Z</dcterms:modified>
</cp:coreProperties>
</file>