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3B37" w14:textId="35665E50" w:rsidR="00B50870" w:rsidRPr="00B50870" w:rsidRDefault="00B50870" w:rsidP="00B50870">
      <w:r>
        <w:rPr>
          <w:b/>
          <w:bCs/>
        </w:rPr>
        <w:t xml:space="preserve">Task  </w:t>
      </w:r>
      <w:r w:rsidRPr="00B50870">
        <w:rPr>
          <w:b/>
          <w:bCs/>
        </w:rPr>
        <w:t>3 – Data Visualization &amp; Reporting</w:t>
      </w:r>
    </w:p>
    <w:p w14:paraId="26A6883F" w14:textId="77777777" w:rsidR="00B50870" w:rsidRPr="00B50870" w:rsidRDefault="00000000" w:rsidP="00B50870">
      <w:r>
        <w:pict w14:anchorId="32D7AF40">
          <v:rect id="_x0000_i1025" style="width:0;height:1.5pt" o:hralign="center" o:hrstd="t" o:hr="t" fillcolor="#a0a0a0" stroked="f"/>
        </w:pict>
      </w:r>
    </w:p>
    <w:p w14:paraId="5DC59581" w14:textId="77777777" w:rsidR="00B50870" w:rsidRPr="00B50870" w:rsidRDefault="00B50870" w:rsidP="00B50870">
      <w:pPr>
        <w:rPr>
          <w:b/>
          <w:bCs/>
        </w:rPr>
      </w:pPr>
      <w:r w:rsidRPr="00B50870">
        <w:rPr>
          <w:b/>
          <w:bCs/>
        </w:rPr>
        <w:t>1️</w:t>
      </w:r>
      <w:r w:rsidRPr="00B50870">
        <w:rPr>
          <w:rFonts w:ascii="Segoe UI Symbol" w:hAnsi="Segoe UI Symbol" w:cs="Segoe UI Symbol"/>
          <w:b/>
          <w:bCs/>
        </w:rPr>
        <w:t>⃣</w:t>
      </w:r>
      <w:r w:rsidRPr="00B50870">
        <w:rPr>
          <w:b/>
          <w:bCs/>
        </w:rPr>
        <w:t xml:space="preserve"> Introduction</w:t>
      </w:r>
    </w:p>
    <w:p w14:paraId="00054DAF" w14:textId="77777777" w:rsidR="00B50870" w:rsidRPr="00B50870" w:rsidRDefault="00B50870" w:rsidP="00B50870">
      <w:r w:rsidRPr="00B50870">
        <w:t>Human Resource Analytics plays a crucial role in enabling organizations to make data-driven workforce decisions. Employee attrition is one of the most critical challenges faced by HR departments, as high turnover leads to increased recruitment costs, reduced productivity, and loss of organizational knowledge.</w:t>
      </w:r>
    </w:p>
    <w:p w14:paraId="6681E18D" w14:textId="77777777" w:rsidR="00B50870" w:rsidRPr="00B50870" w:rsidRDefault="00B50870" w:rsidP="00B50870">
      <w:r w:rsidRPr="00B50870">
        <w:t>The objective of this analysis is to transform statistical findings from previous exploratory analysis into meaningful visual insights that can support HR decision-making. Using the IBM HR Employee Attrition dataset, this report presents key trends related to attrition, salary distribution, job satisfaction, overtime, and departmental performance. The visualizations are designed to communicate insights clearly to both technical and non-technical HR stakeholders.</w:t>
      </w:r>
    </w:p>
    <w:p w14:paraId="1FB6DA28" w14:textId="77777777" w:rsidR="00B50870" w:rsidRPr="00B50870" w:rsidRDefault="00000000" w:rsidP="00B50870">
      <w:r>
        <w:pict w14:anchorId="176AFA94">
          <v:rect id="_x0000_i1026" style="width:0;height:1.5pt" o:hralign="center" o:hrstd="t" o:hr="t" fillcolor="#a0a0a0" stroked="f"/>
        </w:pict>
      </w:r>
    </w:p>
    <w:p w14:paraId="44DC0281" w14:textId="77777777" w:rsidR="00B50870" w:rsidRPr="00B50870" w:rsidRDefault="00B50870" w:rsidP="00B50870">
      <w:pPr>
        <w:rPr>
          <w:b/>
          <w:bCs/>
        </w:rPr>
      </w:pPr>
      <w:r w:rsidRPr="00B50870">
        <w:rPr>
          <w:b/>
          <w:bCs/>
        </w:rPr>
        <w:t>2️</w:t>
      </w:r>
      <w:r w:rsidRPr="00B50870">
        <w:rPr>
          <w:rFonts w:ascii="Segoe UI Symbol" w:hAnsi="Segoe UI Symbol" w:cs="Segoe UI Symbol"/>
          <w:b/>
          <w:bCs/>
        </w:rPr>
        <w:t>⃣</w:t>
      </w:r>
      <w:r w:rsidRPr="00B50870">
        <w:rPr>
          <w:b/>
          <w:bCs/>
        </w:rPr>
        <w:t xml:space="preserve"> Dataset Overview</w:t>
      </w:r>
    </w:p>
    <w:p w14:paraId="4758DDC3" w14:textId="77777777" w:rsidR="00B50870" w:rsidRPr="00B50870" w:rsidRDefault="00B50870" w:rsidP="00B50870">
      <w:r w:rsidRPr="00B50870">
        <w:t>The dataset used for this analysis is the IBM HR Employee Attrition dataset, containing detailed employee-level information.</w:t>
      </w:r>
    </w:p>
    <w:p w14:paraId="374065F2" w14:textId="77777777" w:rsidR="00B50870" w:rsidRPr="00B50870" w:rsidRDefault="00B50870" w:rsidP="00B50870">
      <w:pPr>
        <w:rPr>
          <w:b/>
          <w:bCs/>
        </w:rPr>
      </w:pPr>
      <w:r w:rsidRPr="00B50870">
        <w:rPr>
          <w:b/>
          <w:bCs/>
        </w:rPr>
        <w:t>Dataset Summary:</w:t>
      </w:r>
    </w:p>
    <w:p w14:paraId="3C93C22A" w14:textId="77777777" w:rsidR="00B50870" w:rsidRPr="00B50870" w:rsidRDefault="00B50870" w:rsidP="00B50870">
      <w:pPr>
        <w:numPr>
          <w:ilvl w:val="0"/>
          <w:numId w:val="1"/>
        </w:numPr>
      </w:pPr>
      <w:r w:rsidRPr="00B50870">
        <w:t>Total Employees: 1470</w:t>
      </w:r>
    </w:p>
    <w:p w14:paraId="0B8CA984" w14:textId="77777777" w:rsidR="00B50870" w:rsidRPr="00B50870" w:rsidRDefault="00B50870" w:rsidP="00B50870">
      <w:pPr>
        <w:numPr>
          <w:ilvl w:val="0"/>
          <w:numId w:val="1"/>
        </w:numPr>
      </w:pPr>
      <w:r w:rsidRPr="00B50870">
        <w:t>Number of Features: 35</w:t>
      </w:r>
    </w:p>
    <w:p w14:paraId="2E4FE1C7" w14:textId="77777777" w:rsidR="00B50870" w:rsidRPr="00B50870" w:rsidRDefault="00B50870" w:rsidP="00B50870">
      <w:pPr>
        <w:numPr>
          <w:ilvl w:val="0"/>
          <w:numId w:val="1"/>
        </w:numPr>
      </w:pPr>
      <w:r w:rsidRPr="00B50870">
        <w:t>Target Variable: Attrition (Yes/No)</w:t>
      </w:r>
    </w:p>
    <w:p w14:paraId="49956B4E" w14:textId="77777777" w:rsidR="00B50870" w:rsidRPr="00B50870" w:rsidRDefault="00B50870" w:rsidP="00B50870">
      <w:pPr>
        <w:rPr>
          <w:b/>
          <w:bCs/>
        </w:rPr>
      </w:pPr>
      <w:r w:rsidRPr="00B50870">
        <w:rPr>
          <w:b/>
          <w:bCs/>
        </w:rPr>
        <w:t>Key Variables Used:</w:t>
      </w:r>
    </w:p>
    <w:p w14:paraId="04426B47" w14:textId="77777777" w:rsidR="00B50870" w:rsidRPr="00B50870" w:rsidRDefault="00B50870" w:rsidP="00B50870">
      <w:pPr>
        <w:numPr>
          <w:ilvl w:val="0"/>
          <w:numId w:val="2"/>
        </w:numPr>
      </w:pPr>
      <w:r w:rsidRPr="00B50870">
        <w:t>Attrition</w:t>
      </w:r>
    </w:p>
    <w:p w14:paraId="031A3167" w14:textId="77777777" w:rsidR="00B50870" w:rsidRPr="00B50870" w:rsidRDefault="00B50870" w:rsidP="00B50870">
      <w:pPr>
        <w:numPr>
          <w:ilvl w:val="0"/>
          <w:numId w:val="2"/>
        </w:numPr>
      </w:pPr>
      <w:r w:rsidRPr="00B50870">
        <w:t>Department</w:t>
      </w:r>
    </w:p>
    <w:p w14:paraId="1EE5EF26" w14:textId="77777777" w:rsidR="00B50870" w:rsidRPr="00B50870" w:rsidRDefault="00B50870" w:rsidP="00B50870">
      <w:pPr>
        <w:numPr>
          <w:ilvl w:val="0"/>
          <w:numId w:val="2"/>
        </w:numPr>
      </w:pPr>
      <w:proofErr w:type="spellStart"/>
      <w:r w:rsidRPr="00B50870">
        <w:t>JobRole</w:t>
      </w:r>
      <w:proofErr w:type="spellEnd"/>
    </w:p>
    <w:p w14:paraId="76143728" w14:textId="77777777" w:rsidR="00B50870" w:rsidRPr="00B50870" w:rsidRDefault="00B50870" w:rsidP="00B50870">
      <w:pPr>
        <w:numPr>
          <w:ilvl w:val="0"/>
          <w:numId w:val="2"/>
        </w:numPr>
      </w:pPr>
      <w:proofErr w:type="spellStart"/>
      <w:r w:rsidRPr="00B50870">
        <w:t>MonthlyIncome</w:t>
      </w:r>
      <w:proofErr w:type="spellEnd"/>
    </w:p>
    <w:p w14:paraId="0094ECC6" w14:textId="77777777" w:rsidR="00B50870" w:rsidRPr="00B50870" w:rsidRDefault="00B50870" w:rsidP="00B50870">
      <w:pPr>
        <w:numPr>
          <w:ilvl w:val="0"/>
          <w:numId w:val="2"/>
        </w:numPr>
      </w:pPr>
      <w:proofErr w:type="spellStart"/>
      <w:r w:rsidRPr="00B50870">
        <w:t>JobSatisfaction</w:t>
      </w:r>
      <w:proofErr w:type="spellEnd"/>
    </w:p>
    <w:p w14:paraId="6C4C297D" w14:textId="77777777" w:rsidR="00B50870" w:rsidRPr="00B50870" w:rsidRDefault="00B50870" w:rsidP="00B50870">
      <w:pPr>
        <w:numPr>
          <w:ilvl w:val="0"/>
          <w:numId w:val="2"/>
        </w:numPr>
      </w:pPr>
      <w:proofErr w:type="spellStart"/>
      <w:r w:rsidRPr="00B50870">
        <w:t>YearsAtCompany</w:t>
      </w:r>
      <w:proofErr w:type="spellEnd"/>
    </w:p>
    <w:p w14:paraId="40E09E24" w14:textId="77777777" w:rsidR="00B50870" w:rsidRPr="00B50870" w:rsidRDefault="00B50870" w:rsidP="00B50870">
      <w:pPr>
        <w:numPr>
          <w:ilvl w:val="0"/>
          <w:numId w:val="2"/>
        </w:numPr>
      </w:pPr>
      <w:proofErr w:type="spellStart"/>
      <w:r w:rsidRPr="00B50870">
        <w:t>OverTime</w:t>
      </w:r>
      <w:proofErr w:type="spellEnd"/>
    </w:p>
    <w:p w14:paraId="041FA885" w14:textId="77777777" w:rsidR="00B50870" w:rsidRPr="00B50870" w:rsidRDefault="00B50870" w:rsidP="00B50870">
      <w:pPr>
        <w:numPr>
          <w:ilvl w:val="0"/>
          <w:numId w:val="2"/>
        </w:numPr>
      </w:pPr>
      <w:r w:rsidRPr="00B50870">
        <w:t>Age</w:t>
      </w:r>
    </w:p>
    <w:p w14:paraId="4D9096D6" w14:textId="77777777" w:rsidR="00B50870" w:rsidRPr="00B50870" w:rsidRDefault="00B50870" w:rsidP="00B50870">
      <w:r w:rsidRPr="00B50870">
        <w:lastRenderedPageBreak/>
        <w:t>The dataset contains demographic, job-related, compensation, and satisfaction metrics that help identify patterns influencing employee turnover.</w:t>
      </w:r>
    </w:p>
    <w:p w14:paraId="3EF76323" w14:textId="77777777" w:rsidR="00B50870" w:rsidRPr="00B50870" w:rsidRDefault="00B50870" w:rsidP="00B50870">
      <w:r w:rsidRPr="00B50870">
        <w:t>There were no major missing values, and the dataset was cleaned and validated in Week 1 before conducting analysis.</w:t>
      </w:r>
    </w:p>
    <w:p w14:paraId="33A315ED" w14:textId="77777777" w:rsidR="00B50870" w:rsidRPr="00B50870" w:rsidRDefault="00000000" w:rsidP="00B50870">
      <w:r>
        <w:pict w14:anchorId="7E1BBF74">
          <v:rect id="_x0000_i1027" style="width:0;height:1.5pt" o:hralign="center" o:hrstd="t" o:hr="t" fillcolor="#a0a0a0" stroked="f"/>
        </w:pict>
      </w:r>
    </w:p>
    <w:p w14:paraId="128CE145" w14:textId="77777777" w:rsidR="00B50870" w:rsidRPr="00B50870" w:rsidRDefault="00B50870" w:rsidP="00B50870">
      <w:pPr>
        <w:rPr>
          <w:b/>
          <w:bCs/>
        </w:rPr>
      </w:pPr>
      <w:r w:rsidRPr="00B50870">
        <w:rPr>
          <w:b/>
          <w:bCs/>
        </w:rPr>
        <w:t>3️</w:t>
      </w:r>
      <w:r w:rsidRPr="00B50870">
        <w:rPr>
          <w:rFonts w:ascii="Segoe UI Symbol" w:hAnsi="Segoe UI Symbol" w:cs="Segoe UI Symbol"/>
          <w:b/>
          <w:bCs/>
        </w:rPr>
        <w:t>⃣</w:t>
      </w:r>
      <w:r w:rsidRPr="00B50870">
        <w:rPr>
          <w:b/>
          <w:bCs/>
        </w:rPr>
        <w:t xml:space="preserve"> Visualization Analysis</w:t>
      </w:r>
    </w:p>
    <w:p w14:paraId="41AAC213" w14:textId="77777777" w:rsidR="00B50870" w:rsidRPr="00B50870" w:rsidRDefault="00B50870" w:rsidP="00B50870">
      <w:r w:rsidRPr="00B50870">
        <w:t>This section explains each visualization used in the dashboard and the insights derived from them.</w:t>
      </w:r>
    </w:p>
    <w:p w14:paraId="4EE41A9C" w14:textId="77777777" w:rsidR="00B50870" w:rsidRPr="00B50870" w:rsidRDefault="00000000" w:rsidP="00B50870">
      <w:r>
        <w:pict w14:anchorId="098CAE1E">
          <v:rect id="_x0000_i1028" style="width:0;height:1.5pt" o:hralign="center" o:hrstd="t" o:hr="t" fillcolor="#a0a0a0" stroked="f"/>
        </w:pict>
      </w:r>
    </w:p>
    <w:p w14:paraId="1FDDA5FF" w14:textId="77777777" w:rsidR="00B50870" w:rsidRPr="00B50870" w:rsidRDefault="00B50870" w:rsidP="00B50870">
      <w:pPr>
        <w:rPr>
          <w:b/>
          <w:bCs/>
        </w:rPr>
      </w:pPr>
      <w:r w:rsidRPr="00B50870">
        <w:rPr>
          <w:rFonts w:ascii="Segoe UI Emoji" w:hAnsi="Segoe UI Emoji" w:cs="Segoe UI Emoji"/>
          <w:b/>
          <w:bCs/>
        </w:rPr>
        <w:t>🔹</w:t>
      </w:r>
      <w:r w:rsidRPr="00B50870">
        <w:rPr>
          <w:b/>
          <w:bCs/>
        </w:rPr>
        <w:t xml:space="preserve"> 3.1 KPI Overview</w:t>
      </w:r>
    </w:p>
    <w:p w14:paraId="1535DA84" w14:textId="77777777" w:rsidR="00B50870" w:rsidRPr="00B50870" w:rsidRDefault="00B50870" w:rsidP="00B50870">
      <w:r w:rsidRPr="00B50870">
        <w:t>Key Performance Indicators calculated:</w:t>
      </w:r>
    </w:p>
    <w:p w14:paraId="4E0CBA3E" w14:textId="77777777" w:rsidR="00B50870" w:rsidRPr="00B50870" w:rsidRDefault="00B50870" w:rsidP="00B50870">
      <w:pPr>
        <w:numPr>
          <w:ilvl w:val="0"/>
          <w:numId w:val="3"/>
        </w:numPr>
      </w:pPr>
      <w:r w:rsidRPr="00B50870">
        <w:t>Total Employees</w:t>
      </w:r>
    </w:p>
    <w:p w14:paraId="5951B084" w14:textId="77777777" w:rsidR="00B50870" w:rsidRPr="00B50870" w:rsidRDefault="00B50870" w:rsidP="00B50870">
      <w:pPr>
        <w:numPr>
          <w:ilvl w:val="0"/>
          <w:numId w:val="3"/>
        </w:numPr>
      </w:pPr>
      <w:r w:rsidRPr="00B50870">
        <w:t>Attrition Rate</w:t>
      </w:r>
    </w:p>
    <w:p w14:paraId="2DEDA98C" w14:textId="77777777" w:rsidR="00B50870" w:rsidRPr="00B50870" w:rsidRDefault="00B50870" w:rsidP="00B50870">
      <w:pPr>
        <w:numPr>
          <w:ilvl w:val="0"/>
          <w:numId w:val="3"/>
        </w:numPr>
      </w:pPr>
      <w:r w:rsidRPr="00B50870">
        <w:t>Average Monthly Income</w:t>
      </w:r>
    </w:p>
    <w:p w14:paraId="118E216D" w14:textId="77777777" w:rsidR="00B50870" w:rsidRPr="00B50870" w:rsidRDefault="00B50870" w:rsidP="00B50870">
      <w:pPr>
        <w:numPr>
          <w:ilvl w:val="0"/>
          <w:numId w:val="3"/>
        </w:numPr>
      </w:pPr>
      <w:r w:rsidRPr="00B50870">
        <w:t>Average Years at Company</w:t>
      </w:r>
    </w:p>
    <w:p w14:paraId="14A5039B" w14:textId="77777777" w:rsidR="00B50870" w:rsidRPr="00B50870" w:rsidRDefault="00B50870" w:rsidP="00B50870">
      <w:pPr>
        <w:rPr>
          <w:b/>
          <w:bCs/>
        </w:rPr>
      </w:pPr>
      <w:r w:rsidRPr="00B50870">
        <w:rPr>
          <w:b/>
          <w:bCs/>
        </w:rPr>
        <w:t>Insight:</w:t>
      </w:r>
    </w:p>
    <w:p w14:paraId="1987FCD8" w14:textId="77777777" w:rsidR="00B50870" w:rsidRPr="00B50870" w:rsidRDefault="00B50870" w:rsidP="00B50870">
      <w:r w:rsidRPr="00B50870">
        <w:t>The attrition rate is approximately 16%, indicating that nearly 1 in 6 employees leave the organization. This is a significant turnover level and requires strategic HR intervention.</w:t>
      </w:r>
    </w:p>
    <w:p w14:paraId="10FBB267" w14:textId="77777777" w:rsidR="00B50870" w:rsidRPr="00B50870" w:rsidRDefault="00B50870" w:rsidP="00B50870">
      <w:r w:rsidRPr="00B50870">
        <w:t>The average years at company suggests moderate employee tenure, meaning retention efforts could focus on mid-level employees.</w:t>
      </w:r>
    </w:p>
    <w:p w14:paraId="22F7DB48" w14:textId="77777777" w:rsidR="00B50870" w:rsidRPr="00B50870" w:rsidRDefault="00000000" w:rsidP="00B50870">
      <w:r>
        <w:pict w14:anchorId="75007ACE">
          <v:rect id="_x0000_i1029" style="width:0;height:1.5pt" o:hralign="center" o:hrstd="t" o:hr="t" fillcolor="#a0a0a0" stroked="f"/>
        </w:pict>
      </w:r>
    </w:p>
    <w:p w14:paraId="19A42609" w14:textId="77777777" w:rsidR="00B50870" w:rsidRPr="00B50870" w:rsidRDefault="00B50870" w:rsidP="00B50870">
      <w:pPr>
        <w:rPr>
          <w:b/>
          <w:bCs/>
        </w:rPr>
      </w:pPr>
      <w:r w:rsidRPr="00B50870">
        <w:rPr>
          <w:rFonts w:ascii="Segoe UI Emoji" w:hAnsi="Segoe UI Emoji" w:cs="Segoe UI Emoji"/>
          <w:b/>
          <w:bCs/>
        </w:rPr>
        <w:t>🔹</w:t>
      </w:r>
      <w:r w:rsidRPr="00B50870">
        <w:rPr>
          <w:b/>
          <w:bCs/>
        </w:rPr>
        <w:t xml:space="preserve"> 3.2 Attrition by Department</w:t>
      </w:r>
    </w:p>
    <w:p w14:paraId="4953E8AF" w14:textId="77777777" w:rsidR="00B50870" w:rsidRPr="00B50870" w:rsidRDefault="00B50870" w:rsidP="00B50870">
      <w:r w:rsidRPr="00B50870">
        <w:t>A bar chart was used to visualize attrition across departments.</w:t>
      </w:r>
    </w:p>
    <w:p w14:paraId="33124B01" w14:textId="77777777" w:rsidR="00B50870" w:rsidRPr="00B50870" w:rsidRDefault="00B50870" w:rsidP="00B50870">
      <w:pPr>
        <w:rPr>
          <w:b/>
          <w:bCs/>
        </w:rPr>
      </w:pPr>
      <w:r w:rsidRPr="00B50870">
        <w:rPr>
          <w:b/>
          <w:bCs/>
        </w:rPr>
        <w:t>Insight:</w:t>
      </w:r>
    </w:p>
    <w:p w14:paraId="5FD43F80" w14:textId="77777777" w:rsidR="00B50870" w:rsidRPr="00B50870" w:rsidRDefault="00B50870" w:rsidP="00B50870">
      <w:r w:rsidRPr="00B50870">
        <w:t>The Sales department shows the highest attrition levels compared to Research &amp; Development and Human Resources.</w:t>
      </w:r>
    </w:p>
    <w:p w14:paraId="6C94FF0B" w14:textId="77777777" w:rsidR="00B50870" w:rsidRPr="00B50870" w:rsidRDefault="00B50870" w:rsidP="00B50870">
      <w:pPr>
        <w:rPr>
          <w:b/>
          <w:bCs/>
        </w:rPr>
      </w:pPr>
      <w:r w:rsidRPr="00B50870">
        <w:rPr>
          <w:b/>
          <w:bCs/>
        </w:rPr>
        <w:t>Business Interpretation:</w:t>
      </w:r>
    </w:p>
    <w:p w14:paraId="2B093844" w14:textId="77777777" w:rsidR="00B50870" w:rsidRPr="00B50870" w:rsidRDefault="00B50870" w:rsidP="00B50870">
      <w:r w:rsidRPr="00B50870">
        <w:t>Sales roles often involve high pressure, performance targets, and extended working hours. HR should investigate workload distribution, incentive structures, and managerial practices within the Sales department.</w:t>
      </w:r>
    </w:p>
    <w:p w14:paraId="1BC05881" w14:textId="77777777" w:rsidR="00B50870" w:rsidRPr="00B50870" w:rsidRDefault="00000000" w:rsidP="00B50870">
      <w:r>
        <w:lastRenderedPageBreak/>
        <w:pict w14:anchorId="2E741CBC">
          <v:rect id="_x0000_i1030" style="width:0;height:1.5pt" o:hralign="center" o:hrstd="t" o:hr="t" fillcolor="#a0a0a0" stroked="f"/>
        </w:pict>
      </w:r>
    </w:p>
    <w:p w14:paraId="3D101180" w14:textId="77777777" w:rsidR="00B50870" w:rsidRPr="00B50870" w:rsidRDefault="00B50870" w:rsidP="00B50870">
      <w:pPr>
        <w:rPr>
          <w:b/>
          <w:bCs/>
        </w:rPr>
      </w:pPr>
      <w:r w:rsidRPr="00B50870">
        <w:rPr>
          <w:rFonts w:ascii="Segoe UI Emoji" w:hAnsi="Segoe UI Emoji" w:cs="Segoe UI Emoji"/>
          <w:b/>
          <w:bCs/>
        </w:rPr>
        <w:t>🔹</w:t>
      </w:r>
      <w:r w:rsidRPr="00B50870">
        <w:rPr>
          <w:b/>
          <w:bCs/>
        </w:rPr>
        <w:t xml:space="preserve"> 3.3 Attrition by Job Role</w:t>
      </w:r>
    </w:p>
    <w:p w14:paraId="2C7C1DAA" w14:textId="77777777" w:rsidR="00B50870" w:rsidRPr="00B50870" w:rsidRDefault="00B50870" w:rsidP="00B50870">
      <w:r w:rsidRPr="00B50870">
        <w:t>The visualization comparing job roles highlights which specific positions experience higher turnover.</w:t>
      </w:r>
    </w:p>
    <w:p w14:paraId="308AC525" w14:textId="77777777" w:rsidR="00B50870" w:rsidRPr="00B50870" w:rsidRDefault="00B50870" w:rsidP="00B50870">
      <w:pPr>
        <w:rPr>
          <w:b/>
          <w:bCs/>
        </w:rPr>
      </w:pPr>
      <w:r w:rsidRPr="00B50870">
        <w:rPr>
          <w:b/>
          <w:bCs/>
        </w:rPr>
        <w:t>Insight:</w:t>
      </w:r>
    </w:p>
    <w:p w14:paraId="56B9F3BB" w14:textId="77777777" w:rsidR="00B50870" w:rsidRPr="00B50870" w:rsidRDefault="00B50870" w:rsidP="00B50870">
      <w:r w:rsidRPr="00B50870">
        <w:t>Sales Executives and Laboratory Technicians show relatively higher attrition counts.</w:t>
      </w:r>
    </w:p>
    <w:p w14:paraId="36C83E3A" w14:textId="77777777" w:rsidR="00B50870" w:rsidRPr="00B50870" w:rsidRDefault="00B50870" w:rsidP="00B50870">
      <w:pPr>
        <w:rPr>
          <w:b/>
          <w:bCs/>
        </w:rPr>
      </w:pPr>
      <w:r w:rsidRPr="00B50870">
        <w:rPr>
          <w:b/>
          <w:bCs/>
        </w:rPr>
        <w:t>Business Interpretation:</w:t>
      </w:r>
    </w:p>
    <w:p w14:paraId="3B080320" w14:textId="77777777" w:rsidR="00B50870" w:rsidRPr="00B50870" w:rsidRDefault="00B50870" w:rsidP="00B50870">
      <w:r w:rsidRPr="00B50870">
        <w:t>Role-specific dissatisfaction or limited growth opportunities may be influencing employees in these roles to leave. Career progression frameworks should be reviewed.</w:t>
      </w:r>
    </w:p>
    <w:p w14:paraId="3D6CA41D" w14:textId="77777777" w:rsidR="00B50870" w:rsidRPr="00B50870" w:rsidRDefault="00000000" w:rsidP="00B50870">
      <w:r>
        <w:pict w14:anchorId="377F215A">
          <v:rect id="_x0000_i1031" style="width:0;height:1.5pt" o:hralign="center" o:hrstd="t" o:hr="t" fillcolor="#a0a0a0" stroked="f"/>
        </w:pict>
      </w:r>
    </w:p>
    <w:p w14:paraId="0BE0BCF0" w14:textId="77777777" w:rsidR="00B50870" w:rsidRPr="00B50870" w:rsidRDefault="00B50870" w:rsidP="00B50870">
      <w:pPr>
        <w:rPr>
          <w:b/>
          <w:bCs/>
        </w:rPr>
      </w:pPr>
      <w:r w:rsidRPr="00B50870">
        <w:rPr>
          <w:rFonts w:ascii="Segoe UI Emoji" w:hAnsi="Segoe UI Emoji" w:cs="Segoe UI Emoji"/>
          <w:b/>
          <w:bCs/>
        </w:rPr>
        <w:t>🔹</w:t>
      </w:r>
      <w:r w:rsidRPr="00B50870">
        <w:rPr>
          <w:b/>
          <w:bCs/>
        </w:rPr>
        <w:t xml:space="preserve"> 3.4 Monthly Income Distribution</w:t>
      </w:r>
    </w:p>
    <w:p w14:paraId="47BCF2D7" w14:textId="77777777" w:rsidR="00B50870" w:rsidRPr="00B50870" w:rsidRDefault="00B50870" w:rsidP="00B50870">
      <w:r w:rsidRPr="00B50870">
        <w:t>A histogram was used to understand salary distribution.</w:t>
      </w:r>
    </w:p>
    <w:p w14:paraId="36BD1007" w14:textId="77777777" w:rsidR="00B50870" w:rsidRPr="00B50870" w:rsidRDefault="00B50870" w:rsidP="00B50870">
      <w:pPr>
        <w:rPr>
          <w:b/>
          <w:bCs/>
        </w:rPr>
      </w:pPr>
      <w:r w:rsidRPr="00B50870">
        <w:rPr>
          <w:b/>
          <w:bCs/>
        </w:rPr>
        <w:t>Insight:</w:t>
      </w:r>
    </w:p>
    <w:p w14:paraId="0E1CA1EE" w14:textId="77777777" w:rsidR="00B50870" w:rsidRPr="00B50870" w:rsidRDefault="00B50870" w:rsidP="00B50870">
      <w:r w:rsidRPr="00B50870">
        <w:t>Most employees fall within the lower to mid-income range, with fewer employees in higher income brackets.</w:t>
      </w:r>
    </w:p>
    <w:p w14:paraId="7B7CE293" w14:textId="77777777" w:rsidR="00B50870" w:rsidRPr="00B50870" w:rsidRDefault="00B50870" w:rsidP="00B50870">
      <w:pPr>
        <w:rPr>
          <w:b/>
          <w:bCs/>
        </w:rPr>
      </w:pPr>
      <w:r w:rsidRPr="00B50870">
        <w:rPr>
          <w:b/>
          <w:bCs/>
        </w:rPr>
        <w:t>Business Interpretation:</w:t>
      </w:r>
    </w:p>
    <w:p w14:paraId="010D2DAC" w14:textId="77777777" w:rsidR="00B50870" w:rsidRPr="00B50870" w:rsidRDefault="00B50870" w:rsidP="00B50870">
      <w:r w:rsidRPr="00B50870">
        <w:t>Compensation imbalance may contribute to attrition, particularly if lower-income employees feel undervalued. A compensation benchmarking analysis is recommended.</w:t>
      </w:r>
    </w:p>
    <w:p w14:paraId="719DD428" w14:textId="77777777" w:rsidR="00B50870" w:rsidRPr="00B50870" w:rsidRDefault="00000000" w:rsidP="00B50870">
      <w:r>
        <w:pict w14:anchorId="232F575C">
          <v:rect id="_x0000_i1032" style="width:0;height:1.5pt" o:hralign="center" o:hrstd="t" o:hr="t" fillcolor="#a0a0a0" stroked="f"/>
        </w:pict>
      </w:r>
    </w:p>
    <w:p w14:paraId="4EE0F6F8" w14:textId="77777777" w:rsidR="00B50870" w:rsidRPr="00B50870" w:rsidRDefault="00B50870" w:rsidP="00B50870">
      <w:pPr>
        <w:rPr>
          <w:b/>
          <w:bCs/>
        </w:rPr>
      </w:pPr>
      <w:r w:rsidRPr="00B50870">
        <w:rPr>
          <w:rFonts w:ascii="Segoe UI Emoji" w:hAnsi="Segoe UI Emoji" w:cs="Segoe UI Emoji"/>
          <w:b/>
          <w:bCs/>
        </w:rPr>
        <w:t>🔹</w:t>
      </w:r>
      <w:r w:rsidRPr="00B50870">
        <w:rPr>
          <w:b/>
          <w:bCs/>
        </w:rPr>
        <w:t xml:space="preserve"> 3.5 Job Satisfaction vs Attrition</w:t>
      </w:r>
    </w:p>
    <w:p w14:paraId="276F77D0" w14:textId="77777777" w:rsidR="00B50870" w:rsidRPr="00B50870" w:rsidRDefault="00B50870" w:rsidP="00B50870">
      <w:r w:rsidRPr="00B50870">
        <w:t>A boxplot was used to compare job satisfaction levels between employees who left and those who stayed.</w:t>
      </w:r>
    </w:p>
    <w:p w14:paraId="7A5439BB" w14:textId="77777777" w:rsidR="00B50870" w:rsidRPr="00B50870" w:rsidRDefault="00B50870" w:rsidP="00B50870">
      <w:pPr>
        <w:rPr>
          <w:b/>
          <w:bCs/>
        </w:rPr>
      </w:pPr>
      <w:r w:rsidRPr="00B50870">
        <w:rPr>
          <w:b/>
          <w:bCs/>
        </w:rPr>
        <w:t>Insight:</w:t>
      </w:r>
    </w:p>
    <w:p w14:paraId="0C37AC9A" w14:textId="77777777" w:rsidR="00B50870" w:rsidRPr="00B50870" w:rsidRDefault="00B50870" w:rsidP="00B50870">
      <w:r w:rsidRPr="00B50870">
        <w:t>Employees who left tend to have lower job satisfaction levels compared to those who stayed.</w:t>
      </w:r>
    </w:p>
    <w:p w14:paraId="4EE5588D" w14:textId="77777777" w:rsidR="00B50870" w:rsidRPr="00B50870" w:rsidRDefault="00B50870" w:rsidP="00B50870">
      <w:pPr>
        <w:rPr>
          <w:b/>
          <w:bCs/>
        </w:rPr>
      </w:pPr>
      <w:r w:rsidRPr="00B50870">
        <w:rPr>
          <w:b/>
          <w:bCs/>
        </w:rPr>
        <w:t>Business Interpretation:</w:t>
      </w:r>
    </w:p>
    <w:p w14:paraId="4F82F370" w14:textId="77777777" w:rsidR="00B50870" w:rsidRPr="00B50870" w:rsidRDefault="00B50870" w:rsidP="00B50870">
      <w:r w:rsidRPr="00B50870">
        <w:t>Job satisfaction is a strong predictor of attrition. Improving engagement initiatives, recognition programs, and managerial communication could help reduce turnover.</w:t>
      </w:r>
    </w:p>
    <w:p w14:paraId="6DC1DDD6" w14:textId="77777777" w:rsidR="00B50870" w:rsidRPr="00B50870" w:rsidRDefault="00000000" w:rsidP="00B50870">
      <w:r>
        <w:pict w14:anchorId="6A3719D8">
          <v:rect id="_x0000_i1033" style="width:0;height:1.5pt" o:hralign="center" o:hrstd="t" o:hr="t" fillcolor="#a0a0a0" stroked="f"/>
        </w:pict>
      </w:r>
    </w:p>
    <w:p w14:paraId="416845E4" w14:textId="77777777" w:rsidR="00B50870" w:rsidRPr="00B50870" w:rsidRDefault="00B50870" w:rsidP="00B50870">
      <w:pPr>
        <w:rPr>
          <w:b/>
          <w:bCs/>
        </w:rPr>
      </w:pPr>
      <w:r w:rsidRPr="00B50870">
        <w:rPr>
          <w:rFonts w:ascii="Segoe UI Emoji" w:hAnsi="Segoe UI Emoji" w:cs="Segoe UI Emoji"/>
          <w:b/>
          <w:bCs/>
        </w:rPr>
        <w:t>🔹</w:t>
      </w:r>
      <w:r w:rsidRPr="00B50870">
        <w:rPr>
          <w:b/>
          <w:bCs/>
        </w:rPr>
        <w:t xml:space="preserve"> 3.6 Overtime vs Attrition</w:t>
      </w:r>
    </w:p>
    <w:p w14:paraId="584E0C13" w14:textId="77777777" w:rsidR="00B50870" w:rsidRPr="00B50870" w:rsidRDefault="00B50870" w:rsidP="00B50870">
      <w:r w:rsidRPr="00B50870">
        <w:lastRenderedPageBreak/>
        <w:t>A count plot was used to examine the relationship between overtime and attrition.</w:t>
      </w:r>
    </w:p>
    <w:p w14:paraId="45322359" w14:textId="77777777" w:rsidR="00B50870" w:rsidRPr="00B50870" w:rsidRDefault="00B50870" w:rsidP="00B50870">
      <w:pPr>
        <w:rPr>
          <w:b/>
          <w:bCs/>
        </w:rPr>
      </w:pPr>
      <w:r w:rsidRPr="00B50870">
        <w:rPr>
          <w:b/>
          <w:bCs/>
        </w:rPr>
        <w:t>Insight:</w:t>
      </w:r>
    </w:p>
    <w:p w14:paraId="2F82DD22" w14:textId="77777777" w:rsidR="00B50870" w:rsidRPr="00B50870" w:rsidRDefault="00B50870" w:rsidP="00B50870">
      <w:r w:rsidRPr="00B50870">
        <w:t>Employees who work overtime show significantly higher attrition rates compared to those who do not.</w:t>
      </w:r>
    </w:p>
    <w:p w14:paraId="4A6A25FC" w14:textId="77777777" w:rsidR="00B50870" w:rsidRPr="00B50870" w:rsidRDefault="00B50870" w:rsidP="00B50870">
      <w:pPr>
        <w:rPr>
          <w:b/>
          <w:bCs/>
        </w:rPr>
      </w:pPr>
      <w:r w:rsidRPr="00B50870">
        <w:rPr>
          <w:b/>
          <w:bCs/>
        </w:rPr>
        <w:t>Business Interpretation:</w:t>
      </w:r>
    </w:p>
    <w:p w14:paraId="65401D12" w14:textId="77777777" w:rsidR="00B50870" w:rsidRPr="00B50870" w:rsidRDefault="00B50870" w:rsidP="00B50870">
      <w:r w:rsidRPr="00B50870">
        <w:t>Work-life imbalance appears to be a major contributor to employee turnover. HR should evaluate workload distribution, overtime policies, and stress management practices.</w:t>
      </w:r>
    </w:p>
    <w:p w14:paraId="67A82449" w14:textId="77777777" w:rsidR="00B50870" w:rsidRPr="00B50870" w:rsidRDefault="00000000" w:rsidP="00B50870">
      <w:r>
        <w:pict w14:anchorId="5EE760DD">
          <v:rect id="_x0000_i1034" style="width:0;height:1.5pt" o:hralign="center" o:hrstd="t" o:hr="t" fillcolor="#a0a0a0" stroked="f"/>
        </w:pict>
      </w:r>
    </w:p>
    <w:p w14:paraId="3885022D" w14:textId="77777777" w:rsidR="00B50870" w:rsidRPr="00B50870" w:rsidRDefault="00B50870" w:rsidP="00B50870">
      <w:pPr>
        <w:rPr>
          <w:b/>
          <w:bCs/>
        </w:rPr>
      </w:pPr>
      <w:r w:rsidRPr="00B50870">
        <w:rPr>
          <w:b/>
          <w:bCs/>
        </w:rPr>
        <w:t>4️</w:t>
      </w:r>
      <w:r w:rsidRPr="00B50870">
        <w:rPr>
          <w:rFonts w:ascii="Segoe UI Symbol" w:hAnsi="Segoe UI Symbol" w:cs="Segoe UI Symbol"/>
          <w:b/>
          <w:bCs/>
        </w:rPr>
        <w:t>⃣</w:t>
      </w:r>
      <w:r w:rsidRPr="00B50870">
        <w:rPr>
          <w:b/>
          <w:bCs/>
        </w:rPr>
        <w:t xml:space="preserve"> Correlation Summary</w:t>
      </w:r>
    </w:p>
    <w:p w14:paraId="61B14346" w14:textId="77777777" w:rsidR="00B50870" w:rsidRPr="00B50870" w:rsidRDefault="00B50870" w:rsidP="00B50870">
      <w:r w:rsidRPr="00B50870">
        <w:t>A correlation heatmap was generated to understand relationships between numerical variables.</w:t>
      </w:r>
    </w:p>
    <w:p w14:paraId="686EC6D8" w14:textId="77777777" w:rsidR="00B50870" w:rsidRPr="00B50870" w:rsidRDefault="00B50870" w:rsidP="00B50870">
      <w:pPr>
        <w:rPr>
          <w:b/>
          <w:bCs/>
        </w:rPr>
      </w:pPr>
      <w:r w:rsidRPr="00B50870">
        <w:rPr>
          <w:b/>
          <w:bCs/>
        </w:rPr>
        <w:t>Key Observations:</w:t>
      </w:r>
    </w:p>
    <w:p w14:paraId="7CCF3451" w14:textId="77777777" w:rsidR="00B50870" w:rsidRPr="00B50870" w:rsidRDefault="00B50870" w:rsidP="00B50870">
      <w:pPr>
        <w:numPr>
          <w:ilvl w:val="0"/>
          <w:numId w:val="4"/>
        </w:numPr>
      </w:pPr>
      <w:r w:rsidRPr="00B50870">
        <w:t>Monthly Income is positively correlated with Years at Company and Job Level.</w:t>
      </w:r>
    </w:p>
    <w:p w14:paraId="3416FE30" w14:textId="77777777" w:rsidR="00B50870" w:rsidRPr="00B50870" w:rsidRDefault="00B50870" w:rsidP="00B50870">
      <w:pPr>
        <w:numPr>
          <w:ilvl w:val="0"/>
          <w:numId w:val="4"/>
        </w:numPr>
      </w:pPr>
      <w:r w:rsidRPr="00B50870">
        <w:t>Age is positively related to Years at Company.</w:t>
      </w:r>
    </w:p>
    <w:p w14:paraId="71224D87" w14:textId="77777777" w:rsidR="00B50870" w:rsidRPr="00B50870" w:rsidRDefault="00B50870" w:rsidP="00B50870">
      <w:pPr>
        <w:numPr>
          <w:ilvl w:val="0"/>
          <w:numId w:val="4"/>
        </w:numPr>
      </w:pPr>
      <w:r w:rsidRPr="00B50870">
        <w:t>There is a weak negative relationship between Job Satisfaction and Attrition (when numerically encoded).</w:t>
      </w:r>
    </w:p>
    <w:p w14:paraId="4C0528EE" w14:textId="77777777" w:rsidR="00B50870" w:rsidRPr="00B50870" w:rsidRDefault="00B50870" w:rsidP="00B50870">
      <w:pPr>
        <w:rPr>
          <w:b/>
          <w:bCs/>
        </w:rPr>
      </w:pPr>
      <w:r w:rsidRPr="00B50870">
        <w:rPr>
          <w:b/>
          <w:bCs/>
        </w:rPr>
        <w:t>Interpretation:</w:t>
      </w:r>
    </w:p>
    <w:p w14:paraId="7D001A15" w14:textId="77777777" w:rsidR="00B50870" w:rsidRPr="00B50870" w:rsidRDefault="00B50870" w:rsidP="00B50870">
      <w:r w:rsidRPr="00B50870">
        <w:t>Employees with longer tenure and higher job levels earn more, which is expected. However, satisfaction and overtime variables appear to influence attrition more strongly than demographic factors.</w:t>
      </w:r>
    </w:p>
    <w:p w14:paraId="07F59FDA" w14:textId="77777777" w:rsidR="00B50870" w:rsidRPr="00B50870" w:rsidRDefault="00B50870" w:rsidP="00B50870">
      <w:r w:rsidRPr="00B50870">
        <w:t xml:space="preserve">This indicates that </w:t>
      </w:r>
      <w:proofErr w:type="spellStart"/>
      <w:r w:rsidRPr="00B50870">
        <w:t>behavioral</w:t>
      </w:r>
      <w:proofErr w:type="spellEnd"/>
      <w:r w:rsidRPr="00B50870">
        <w:t xml:space="preserve"> and workplace environment factors may be stronger attrition drivers than age or income alone.</w:t>
      </w:r>
    </w:p>
    <w:p w14:paraId="75022A5C" w14:textId="77777777" w:rsidR="00B50870" w:rsidRPr="00B50870" w:rsidRDefault="00000000" w:rsidP="00B50870">
      <w:r>
        <w:pict w14:anchorId="6D7BDF9D">
          <v:rect id="_x0000_i1035" style="width:0;height:1.5pt" o:hralign="center" o:hrstd="t" o:hr="t" fillcolor="#a0a0a0" stroked="f"/>
        </w:pict>
      </w:r>
    </w:p>
    <w:p w14:paraId="6F200627" w14:textId="77777777" w:rsidR="00B50870" w:rsidRPr="00B50870" w:rsidRDefault="00B50870" w:rsidP="00B50870">
      <w:pPr>
        <w:rPr>
          <w:b/>
          <w:bCs/>
        </w:rPr>
      </w:pPr>
      <w:r w:rsidRPr="00B50870">
        <w:rPr>
          <w:b/>
          <w:bCs/>
        </w:rPr>
        <w:t>5️</w:t>
      </w:r>
      <w:r w:rsidRPr="00B50870">
        <w:rPr>
          <w:rFonts w:ascii="Segoe UI Symbol" w:hAnsi="Segoe UI Symbol" w:cs="Segoe UI Symbol"/>
          <w:b/>
          <w:bCs/>
        </w:rPr>
        <w:t>⃣</w:t>
      </w:r>
      <w:r w:rsidRPr="00B50870">
        <w:rPr>
          <w:b/>
          <w:bCs/>
        </w:rPr>
        <w:t xml:space="preserve"> HR Insights &amp; Recommendations</w:t>
      </w:r>
    </w:p>
    <w:p w14:paraId="3A98F463" w14:textId="77777777" w:rsidR="00B50870" w:rsidRPr="00B50870" w:rsidRDefault="00B50870" w:rsidP="00B50870">
      <w:r w:rsidRPr="00B50870">
        <w:t>Based on the visual and statistical analysis, the following recommendations are proposed:</w:t>
      </w:r>
    </w:p>
    <w:p w14:paraId="18E45B4D" w14:textId="77777777" w:rsidR="00B50870" w:rsidRPr="00B50870" w:rsidRDefault="00B50870" w:rsidP="00B50870">
      <w:pPr>
        <w:rPr>
          <w:b/>
          <w:bCs/>
        </w:rPr>
      </w:pPr>
      <w:r w:rsidRPr="00B50870">
        <w:rPr>
          <w:b/>
          <w:bCs/>
        </w:rPr>
        <w:t>1️</w:t>
      </w:r>
      <w:r w:rsidRPr="00B50870">
        <w:rPr>
          <w:rFonts w:ascii="Segoe UI Symbol" w:hAnsi="Segoe UI Symbol" w:cs="Segoe UI Symbol"/>
          <w:b/>
          <w:bCs/>
        </w:rPr>
        <w:t>⃣</w:t>
      </w:r>
      <w:r w:rsidRPr="00B50870">
        <w:rPr>
          <w:b/>
          <w:bCs/>
        </w:rPr>
        <w:t xml:space="preserve"> Reduce Overtime Burden</w:t>
      </w:r>
    </w:p>
    <w:p w14:paraId="0B8F4A94" w14:textId="77777777" w:rsidR="00B50870" w:rsidRPr="00B50870" w:rsidRDefault="00B50870" w:rsidP="00B50870">
      <w:r w:rsidRPr="00B50870">
        <w:t>Implement workload balancing strategies and monitor overtime hours. Introduce flexible scheduling or additional staffing in high-pressure departments.</w:t>
      </w:r>
    </w:p>
    <w:p w14:paraId="132CCCAF" w14:textId="77777777" w:rsidR="00B50870" w:rsidRPr="00B50870" w:rsidRDefault="00B50870" w:rsidP="00B50870">
      <w:pPr>
        <w:rPr>
          <w:b/>
          <w:bCs/>
        </w:rPr>
      </w:pPr>
      <w:r w:rsidRPr="00B50870">
        <w:rPr>
          <w:b/>
          <w:bCs/>
        </w:rPr>
        <w:t>2️</w:t>
      </w:r>
      <w:r w:rsidRPr="00B50870">
        <w:rPr>
          <w:rFonts w:ascii="Segoe UI Symbol" w:hAnsi="Segoe UI Symbol" w:cs="Segoe UI Symbol"/>
          <w:b/>
          <w:bCs/>
        </w:rPr>
        <w:t>⃣</w:t>
      </w:r>
      <w:r w:rsidRPr="00B50870">
        <w:rPr>
          <w:b/>
          <w:bCs/>
        </w:rPr>
        <w:t xml:space="preserve"> Improve Job Satisfaction Programs</w:t>
      </w:r>
    </w:p>
    <w:p w14:paraId="38B522E7" w14:textId="77777777" w:rsidR="00B50870" w:rsidRPr="00B50870" w:rsidRDefault="00B50870" w:rsidP="00B50870">
      <w:r w:rsidRPr="00B50870">
        <w:lastRenderedPageBreak/>
        <w:t>Conduct regular engagement surveys and introduce recognition programs to increase employee morale.</w:t>
      </w:r>
    </w:p>
    <w:p w14:paraId="1808BCC8" w14:textId="77777777" w:rsidR="00B50870" w:rsidRPr="00B50870" w:rsidRDefault="00B50870" w:rsidP="00B50870">
      <w:pPr>
        <w:rPr>
          <w:b/>
          <w:bCs/>
        </w:rPr>
      </w:pPr>
      <w:r w:rsidRPr="00B50870">
        <w:rPr>
          <w:b/>
          <w:bCs/>
        </w:rPr>
        <w:t>3️</w:t>
      </w:r>
      <w:r w:rsidRPr="00B50870">
        <w:rPr>
          <w:rFonts w:ascii="Segoe UI Symbol" w:hAnsi="Segoe UI Symbol" w:cs="Segoe UI Symbol"/>
          <w:b/>
          <w:bCs/>
        </w:rPr>
        <w:t>⃣</w:t>
      </w:r>
      <w:r w:rsidRPr="00B50870">
        <w:rPr>
          <w:b/>
          <w:bCs/>
        </w:rPr>
        <w:t xml:space="preserve"> Focus on Sales Department Retention</w:t>
      </w:r>
    </w:p>
    <w:p w14:paraId="223EF55D" w14:textId="77777777" w:rsidR="00B50870" w:rsidRPr="00B50870" w:rsidRDefault="00B50870" w:rsidP="00B50870">
      <w:r w:rsidRPr="00B50870">
        <w:t>Develop targeted retention strategies for Sales teams, such as performance incentives, mentorship programs, and stress management initiatives.</w:t>
      </w:r>
    </w:p>
    <w:p w14:paraId="6457A6CE" w14:textId="77777777" w:rsidR="00B50870" w:rsidRPr="00B50870" w:rsidRDefault="00B50870" w:rsidP="00B50870">
      <w:pPr>
        <w:rPr>
          <w:b/>
          <w:bCs/>
        </w:rPr>
      </w:pPr>
      <w:r w:rsidRPr="00B50870">
        <w:rPr>
          <w:b/>
          <w:bCs/>
        </w:rPr>
        <w:t>4️</w:t>
      </w:r>
      <w:r w:rsidRPr="00B50870">
        <w:rPr>
          <w:rFonts w:ascii="Segoe UI Symbol" w:hAnsi="Segoe UI Symbol" w:cs="Segoe UI Symbol"/>
          <w:b/>
          <w:bCs/>
        </w:rPr>
        <w:t>⃣</w:t>
      </w:r>
      <w:r w:rsidRPr="00B50870">
        <w:rPr>
          <w:b/>
          <w:bCs/>
        </w:rPr>
        <w:t xml:space="preserve"> Compensation Benchmarking</w:t>
      </w:r>
    </w:p>
    <w:p w14:paraId="11A72B9E" w14:textId="77777777" w:rsidR="00B50870" w:rsidRPr="00B50870" w:rsidRDefault="00B50870" w:rsidP="00B50870">
      <w:r w:rsidRPr="00B50870">
        <w:t>Review salary structures for lower-income brackets to ensure market competitiveness.</w:t>
      </w:r>
    </w:p>
    <w:p w14:paraId="55410CC3" w14:textId="77777777" w:rsidR="00B50870" w:rsidRPr="00B50870" w:rsidRDefault="00B50870" w:rsidP="00B50870">
      <w:pPr>
        <w:rPr>
          <w:b/>
          <w:bCs/>
        </w:rPr>
      </w:pPr>
      <w:r w:rsidRPr="00B50870">
        <w:rPr>
          <w:b/>
          <w:bCs/>
        </w:rPr>
        <w:t>5️</w:t>
      </w:r>
      <w:r w:rsidRPr="00B50870">
        <w:rPr>
          <w:rFonts w:ascii="Segoe UI Symbol" w:hAnsi="Segoe UI Symbol" w:cs="Segoe UI Symbol"/>
          <w:b/>
          <w:bCs/>
        </w:rPr>
        <w:t>⃣</w:t>
      </w:r>
      <w:r w:rsidRPr="00B50870">
        <w:rPr>
          <w:b/>
          <w:bCs/>
        </w:rPr>
        <w:t xml:space="preserve"> Career Development Initiatives</w:t>
      </w:r>
    </w:p>
    <w:p w14:paraId="3B936FCE" w14:textId="77777777" w:rsidR="00B50870" w:rsidRPr="00B50870" w:rsidRDefault="00B50870" w:rsidP="00B50870">
      <w:r w:rsidRPr="00B50870">
        <w:t>Establish clear promotion pathways and skill development programs to reduce turnover among mid-level employees.</w:t>
      </w:r>
    </w:p>
    <w:p w14:paraId="2234F8F2" w14:textId="77777777" w:rsidR="00B50870" w:rsidRPr="00B50870" w:rsidRDefault="00000000" w:rsidP="00B50870">
      <w:r>
        <w:pict w14:anchorId="443E885D">
          <v:rect id="_x0000_i1036" style="width:0;height:1.5pt" o:hralign="center" o:hrstd="t" o:hr="t" fillcolor="#a0a0a0" stroked="f"/>
        </w:pict>
      </w:r>
    </w:p>
    <w:p w14:paraId="653F1DD9" w14:textId="77777777" w:rsidR="00B50870" w:rsidRPr="00B50870" w:rsidRDefault="00B50870" w:rsidP="00B50870">
      <w:pPr>
        <w:rPr>
          <w:b/>
          <w:bCs/>
        </w:rPr>
      </w:pPr>
      <w:r w:rsidRPr="00B50870">
        <w:rPr>
          <w:b/>
          <w:bCs/>
        </w:rPr>
        <w:t>6️</w:t>
      </w:r>
      <w:r w:rsidRPr="00B50870">
        <w:rPr>
          <w:rFonts w:ascii="Segoe UI Symbol" w:hAnsi="Segoe UI Symbol" w:cs="Segoe UI Symbol"/>
          <w:b/>
          <w:bCs/>
        </w:rPr>
        <w:t>⃣</w:t>
      </w:r>
      <w:r w:rsidRPr="00B50870">
        <w:rPr>
          <w:b/>
          <w:bCs/>
        </w:rPr>
        <w:t xml:space="preserve"> Conclusion</w:t>
      </w:r>
    </w:p>
    <w:p w14:paraId="4169080A" w14:textId="77777777" w:rsidR="00B50870" w:rsidRPr="00B50870" w:rsidRDefault="00B50870" w:rsidP="00B50870">
      <w:r w:rsidRPr="00B50870">
        <w:t>This HR analytics study demonstrates how data visualization can transform raw employee data into actionable business insights.</w:t>
      </w:r>
    </w:p>
    <w:p w14:paraId="75664B49" w14:textId="77777777" w:rsidR="00B50870" w:rsidRPr="00B50870" w:rsidRDefault="00B50870" w:rsidP="00B50870">
      <w:r w:rsidRPr="00B50870">
        <w:t>The analysis reveals that attrition is influenced primarily by overtime workload, job satisfaction levels, and departmental pressure, particularly within Sales roles. While compensation and tenure play supporting roles, employee engagement and work-life balance appear to be stronger determinants of turnover.</w:t>
      </w:r>
    </w:p>
    <w:p w14:paraId="70631FAF" w14:textId="77777777" w:rsidR="00B50870" w:rsidRPr="00B50870" w:rsidRDefault="00B50870" w:rsidP="00B50870">
      <w:r w:rsidRPr="00B50870">
        <w:t>By implementing targeted retention strategies based on these findings, the organization can reduce attrition, improve employee satisfaction, and enhance long-term workforce stability.</w:t>
      </w:r>
    </w:p>
    <w:p w14:paraId="25C379A2" w14:textId="77777777" w:rsidR="00B50870" w:rsidRDefault="00B50870" w:rsidP="00B50870">
      <w:r w:rsidRPr="00B50870">
        <w:t>This project highlights the importance of data-driven HR decision-making and the value of combining analytical techniques with clear visual storytelling.</w:t>
      </w:r>
    </w:p>
    <w:p w14:paraId="3B3EB87B" w14:textId="77777777" w:rsidR="005A1730" w:rsidRDefault="005A1730" w:rsidP="00B50870"/>
    <w:p w14:paraId="32EB95DF" w14:textId="77777777" w:rsidR="005A1730" w:rsidRDefault="005A1730" w:rsidP="00B50870"/>
    <w:p w14:paraId="6B60B5A0" w14:textId="77777777" w:rsidR="005A1730" w:rsidRDefault="005A1730" w:rsidP="00B50870"/>
    <w:p w14:paraId="30F1BCC5" w14:textId="12DE0F72" w:rsidR="005A1730" w:rsidRPr="00B50870" w:rsidRDefault="005A1730" w:rsidP="00B50870">
      <w:r>
        <w:rPr>
          <w:noProof/>
        </w:rPr>
        <w:lastRenderedPageBreak/>
        <w:drawing>
          <wp:inline distT="0" distB="0" distL="0" distR="0" wp14:anchorId="1B7A29B5" wp14:editId="756E36D4">
            <wp:extent cx="5731510" cy="3466465"/>
            <wp:effectExtent l="0" t="0" r="2540" b="635"/>
            <wp:docPr id="32221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8349" name="Picture 322218349"/>
                    <pic:cNvPicPr/>
                  </pic:nvPicPr>
                  <pic:blipFill>
                    <a:blip r:embed="rId5">
                      <a:extLst>
                        <a:ext uri="{28A0092B-C50C-407E-A947-70E740481C1C}">
                          <a14:useLocalDpi xmlns:a14="http://schemas.microsoft.com/office/drawing/2010/main" val="0"/>
                        </a:ext>
                      </a:extLst>
                    </a:blip>
                    <a:stretch>
                      <a:fillRect/>
                    </a:stretch>
                  </pic:blipFill>
                  <pic:spPr>
                    <a:xfrm>
                      <a:off x="0" y="0"/>
                      <a:ext cx="5731510" cy="3466465"/>
                    </a:xfrm>
                    <a:prstGeom prst="rect">
                      <a:avLst/>
                    </a:prstGeom>
                  </pic:spPr>
                </pic:pic>
              </a:graphicData>
            </a:graphic>
          </wp:inline>
        </w:drawing>
      </w:r>
      <w:r>
        <w:rPr>
          <w:noProof/>
        </w:rPr>
        <w:drawing>
          <wp:inline distT="0" distB="0" distL="0" distR="0" wp14:anchorId="14A7F7A0" wp14:editId="7A39B5E2">
            <wp:extent cx="5731510" cy="4159885"/>
            <wp:effectExtent l="0" t="0" r="2540" b="0"/>
            <wp:docPr id="559799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99733" name="Picture 559799733"/>
                    <pic:cNvPicPr/>
                  </pic:nvPicPr>
                  <pic:blipFill>
                    <a:blip r:embed="rId6">
                      <a:extLst>
                        <a:ext uri="{28A0092B-C50C-407E-A947-70E740481C1C}">
                          <a14:useLocalDpi xmlns:a14="http://schemas.microsoft.com/office/drawing/2010/main" val="0"/>
                        </a:ext>
                      </a:extLst>
                    </a:blip>
                    <a:stretch>
                      <a:fillRect/>
                    </a:stretch>
                  </pic:blipFill>
                  <pic:spPr>
                    <a:xfrm>
                      <a:off x="0" y="0"/>
                      <a:ext cx="5731510" cy="4159885"/>
                    </a:xfrm>
                    <a:prstGeom prst="rect">
                      <a:avLst/>
                    </a:prstGeom>
                  </pic:spPr>
                </pic:pic>
              </a:graphicData>
            </a:graphic>
          </wp:inline>
        </w:drawing>
      </w:r>
      <w:r>
        <w:rPr>
          <w:noProof/>
        </w:rPr>
        <w:lastRenderedPageBreak/>
        <w:drawing>
          <wp:inline distT="0" distB="0" distL="0" distR="0" wp14:anchorId="04DD2DC6" wp14:editId="1940C294">
            <wp:extent cx="5731510" cy="2058035"/>
            <wp:effectExtent l="0" t="0" r="2540" b="0"/>
            <wp:docPr id="21132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935" name="Picture 211329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58035"/>
                    </a:xfrm>
                    <a:prstGeom prst="rect">
                      <a:avLst/>
                    </a:prstGeom>
                  </pic:spPr>
                </pic:pic>
              </a:graphicData>
            </a:graphic>
          </wp:inline>
        </w:drawing>
      </w:r>
      <w:r>
        <w:rPr>
          <w:noProof/>
        </w:rPr>
        <w:drawing>
          <wp:inline distT="0" distB="0" distL="0" distR="0" wp14:anchorId="3167CF68" wp14:editId="7183B244">
            <wp:extent cx="5496692" cy="1905266"/>
            <wp:effectExtent l="0" t="0" r="8890" b="0"/>
            <wp:docPr id="680110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0903" name="Picture 680110903"/>
                    <pic:cNvPicPr/>
                  </pic:nvPicPr>
                  <pic:blipFill>
                    <a:blip r:embed="rId8">
                      <a:extLst>
                        <a:ext uri="{28A0092B-C50C-407E-A947-70E740481C1C}">
                          <a14:useLocalDpi xmlns:a14="http://schemas.microsoft.com/office/drawing/2010/main" val="0"/>
                        </a:ext>
                      </a:extLst>
                    </a:blip>
                    <a:stretch>
                      <a:fillRect/>
                    </a:stretch>
                  </pic:blipFill>
                  <pic:spPr>
                    <a:xfrm>
                      <a:off x="0" y="0"/>
                      <a:ext cx="5496692" cy="1905266"/>
                    </a:xfrm>
                    <a:prstGeom prst="rect">
                      <a:avLst/>
                    </a:prstGeom>
                  </pic:spPr>
                </pic:pic>
              </a:graphicData>
            </a:graphic>
          </wp:inline>
        </w:drawing>
      </w:r>
      <w:r>
        <w:rPr>
          <w:noProof/>
        </w:rPr>
        <w:lastRenderedPageBreak/>
        <w:drawing>
          <wp:inline distT="0" distB="0" distL="0" distR="0" wp14:anchorId="1C945FED" wp14:editId="0BB8119A">
            <wp:extent cx="5731510" cy="5132705"/>
            <wp:effectExtent l="0" t="0" r="2540" b="0"/>
            <wp:docPr id="1645992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92183" name="Picture 1645992183"/>
                    <pic:cNvPicPr/>
                  </pic:nvPicPr>
                  <pic:blipFill>
                    <a:blip r:embed="rId9">
                      <a:extLst>
                        <a:ext uri="{28A0092B-C50C-407E-A947-70E740481C1C}">
                          <a14:useLocalDpi xmlns:a14="http://schemas.microsoft.com/office/drawing/2010/main" val="0"/>
                        </a:ext>
                      </a:extLst>
                    </a:blip>
                    <a:stretch>
                      <a:fillRect/>
                    </a:stretch>
                  </pic:blipFill>
                  <pic:spPr>
                    <a:xfrm>
                      <a:off x="0" y="0"/>
                      <a:ext cx="5731510" cy="5132705"/>
                    </a:xfrm>
                    <a:prstGeom prst="rect">
                      <a:avLst/>
                    </a:prstGeom>
                  </pic:spPr>
                </pic:pic>
              </a:graphicData>
            </a:graphic>
          </wp:inline>
        </w:drawing>
      </w:r>
      <w:r>
        <w:rPr>
          <w:noProof/>
        </w:rPr>
        <w:lastRenderedPageBreak/>
        <w:drawing>
          <wp:inline distT="0" distB="0" distL="0" distR="0" wp14:anchorId="6E8E925B" wp14:editId="0E67FD05">
            <wp:extent cx="5731510" cy="4470400"/>
            <wp:effectExtent l="0" t="0" r="2540" b="6350"/>
            <wp:docPr id="713692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92009" name="Picture 713692009"/>
                    <pic:cNvPicPr/>
                  </pic:nvPicPr>
                  <pic:blipFill>
                    <a:blip r:embed="rId10">
                      <a:extLst>
                        <a:ext uri="{28A0092B-C50C-407E-A947-70E740481C1C}">
                          <a14:useLocalDpi xmlns:a14="http://schemas.microsoft.com/office/drawing/2010/main" val="0"/>
                        </a:ext>
                      </a:extLst>
                    </a:blip>
                    <a:stretch>
                      <a:fillRect/>
                    </a:stretch>
                  </pic:blipFill>
                  <pic:spPr>
                    <a:xfrm>
                      <a:off x="0" y="0"/>
                      <a:ext cx="5731510" cy="4470400"/>
                    </a:xfrm>
                    <a:prstGeom prst="rect">
                      <a:avLst/>
                    </a:prstGeom>
                  </pic:spPr>
                </pic:pic>
              </a:graphicData>
            </a:graphic>
          </wp:inline>
        </w:drawing>
      </w:r>
      <w:r>
        <w:rPr>
          <w:noProof/>
        </w:rPr>
        <w:lastRenderedPageBreak/>
        <w:drawing>
          <wp:inline distT="0" distB="0" distL="0" distR="0" wp14:anchorId="2A40E8B5" wp14:editId="48FC7E14">
            <wp:extent cx="5731510" cy="4495165"/>
            <wp:effectExtent l="0" t="0" r="2540" b="635"/>
            <wp:docPr id="202377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7466" name="Picture 202377466"/>
                    <pic:cNvPicPr/>
                  </pic:nvPicPr>
                  <pic:blipFill>
                    <a:blip r:embed="rId11">
                      <a:extLst>
                        <a:ext uri="{28A0092B-C50C-407E-A947-70E740481C1C}">
                          <a14:useLocalDpi xmlns:a14="http://schemas.microsoft.com/office/drawing/2010/main" val="0"/>
                        </a:ext>
                      </a:extLst>
                    </a:blip>
                    <a:stretch>
                      <a:fillRect/>
                    </a:stretch>
                  </pic:blipFill>
                  <pic:spPr>
                    <a:xfrm>
                      <a:off x="0" y="0"/>
                      <a:ext cx="5731510" cy="4495165"/>
                    </a:xfrm>
                    <a:prstGeom prst="rect">
                      <a:avLst/>
                    </a:prstGeom>
                  </pic:spPr>
                </pic:pic>
              </a:graphicData>
            </a:graphic>
          </wp:inline>
        </w:drawing>
      </w:r>
      <w:r>
        <w:rPr>
          <w:noProof/>
        </w:rPr>
        <w:drawing>
          <wp:inline distT="0" distB="0" distL="0" distR="0" wp14:anchorId="6C0333DF" wp14:editId="26BF7037">
            <wp:extent cx="5731510" cy="3027680"/>
            <wp:effectExtent l="0" t="0" r="2540" b="1270"/>
            <wp:docPr id="1226615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15154" name="Picture 12266151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27680"/>
                    </a:xfrm>
                    <a:prstGeom prst="rect">
                      <a:avLst/>
                    </a:prstGeom>
                  </pic:spPr>
                </pic:pic>
              </a:graphicData>
            </a:graphic>
          </wp:inline>
        </w:drawing>
      </w:r>
    </w:p>
    <w:p w14:paraId="12712265" w14:textId="77777777" w:rsidR="00B50870" w:rsidRDefault="00B50870"/>
    <w:sectPr w:rsidR="00B508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431F9"/>
    <w:multiLevelType w:val="multilevel"/>
    <w:tmpl w:val="BD8C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73A2E"/>
    <w:multiLevelType w:val="multilevel"/>
    <w:tmpl w:val="721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42AC2"/>
    <w:multiLevelType w:val="multilevel"/>
    <w:tmpl w:val="3F04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623BE"/>
    <w:multiLevelType w:val="multilevel"/>
    <w:tmpl w:val="E786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842609">
    <w:abstractNumId w:val="3"/>
  </w:num>
  <w:num w:numId="2" w16cid:durableId="1538617518">
    <w:abstractNumId w:val="0"/>
  </w:num>
  <w:num w:numId="3" w16cid:durableId="969744897">
    <w:abstractNumId w:val="1"/>
  </w:num>
  <w:num w:numId="4" w16cid:durableId="321348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870"/>
    <w:rsid w:val="005A1730"/>
    <w:rsid w:val="005E0CBC"/>
    <w:rsid w:val="00B50870"/>
    <w:rsid w:val="00D47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69584"/>
  <w15:chartTrackingRefBased/>
  <w15:docId w15:val="{741057A7-9581-4113-BF41-114CD54E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8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8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8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8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870"/>
    <w:rPr>
      <w:rFonts w:eastAsiaTheme="majorEastAsia" w:cstheme="majorBidi"/>
      <w:color w:val="272727" w:themeColor="text1" w:themeTint="D8"/>
    </w:rPr>
  </w:style>
  <w:style w:type="paragraph" w:styleId="Title">
    <w:name w:val="Title"/>
    <w:basedOn w:val="Normal"/>
    <w:next w:val="Normal"/>
    <w:link w:val="TitleChar"/>
    <w:uiPriority w:val="10"/>
    <w:qFormat/>
    <w:rsid w:val="00B50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870"/>
    <w:pPr>
      <w:spacing w:before="160"/>
      <w:jc w:val="center"/>
    </w:pPr>
    <w:rPr>
      <w:i/>
      <w:iCs/>
      <w:color w:val="404040" w:themeColor="text1" w:themeTint="BF"/>
    </w:rPr>
  </w:style>
  <w:style w:type="character" w:customStyle="1" w:styleId="QuoteChar">
    <w:name w:val="Quote Char"/>
    <w:basedOn w:val="DefaultParagraphFont"/>
    <w:link w:val="Quote"/>
    <w:uiPriority w:val="29"/>
    <w:rsid w:val="00B50870"/>
    <w:rPr>
      <w:i/>
      <w:iCs/>
      <w:color w:val="404040" w:themeColor="text1" w:themeTint="BF"/>
    </w:rPr>
  </w:style>
  <w:style w:type="paragraph" w:styleId="ListParagraph">
    <w:name w:val="List Paragraph"/>
    <w:basedOn w:val="Normal"/>
    <w:uiPriority w:val="34"/>
    <w:qFormat/>
    <w:rsid w:val="00B50870"/>
    <w:pPr>
      <w:ind w:left="720"/>
      <w:contextualSpacing/>
    </w:pPr>
  </w:style>
  <w:style w:type="character" w:styleId="IntenseEmphasis">
    <w:name w:val="Intense Emphasis"/>
    <w:basedOn w:val="DefaultParagraphFont"/>
    <w:uiPriority w:val="21"/>
    <w:qFormat/>
    <w:rsid w:val="00B50870"/>
    <w:rPr>
      <w:i/>
      <w:iCs/>
      <w:color w:val="2F5496" w:themeColor="accent1" w:themeShade="BF"/>
    </w:rPr>
  </w:style>
  <w:style w:type="paragraph" w:styleId="IntenseQuote">
    <w:name w:val="Intense Quote"/>
    <w:basedOn w:val="Normal"/>
    <w:next w:val="Normal"/>
    <w:link w:val="IntenseQuoteChar"/>
    <w:uiPriority w:val="30"/>
    <w:qFormat/>
    <w:rsid w:val="00B50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870"/>
    <w:rPr>
      <w:i/>
      <w:iCs/>
      <w:color w:val="2F5496" w:themeColor="accent1" w:themeShade="BF"/>
    </w:rPr>
  </w:style>
  <w:style w:type="character" w:styleId="IntenseReference">
    <w:name w:val="Intense Reference"/>
    <w:basedOn w:val="DefaultParagraphFont"/>
    <w:uiPriority w:val="32"/>
    <w:qFormat/>
    <w:rsid w:val="00B508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977</Words>
  <Characters>5572</Characters>
  <Application>Microsoft Office Word</Application>
  <DocSecurity>0</DocSecurity>
  <Lines>46</Lines>
  <Paragraphs>13</Paragraphs>
  <ScaleCrop>false</ScaleCrop>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Dasari Arundhati</dc:creator>
  <cp:keywords/>
  <dc:description/>
  <cp:lastModifiedBy>Dasari Arundhati</cp:lastModifiedBy>
  <cp:revision>2</cp:revision>
  <dcterms:created xsi:type="dcterms:W3CDTF">2026-03-05T13:55:00Z</dcterms:created>
  <dcterms:modified xsi:type="dcterms:W3CDTF">2026-03-05T14:03:00Z</dcterms:modified>
</cp:coreProperties>
</file>