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jc w:val="center"/>
      </w:pPr>
      <w:r>
        <w:rPr>
          <w:b/>
          <w:bCs/>
          <w:color w:val="1F3A68"/>
          <w:sz w:val="48"/>
          <w:szCs w:val="48"/>
        </w:rPr>
        <w:t xml:space="preserve">PROYECTO FINAL DE ESPECIALIDAD</w:t>
      </w:r>
    </w:p>
    <w:p>
      <w:pPr>
        <w:spacing w:after="120" w:before="240"/>
        <w:jc w:val="center"/>
      </w:pPr>
      <w:r>
        <w:rPr>
          <w:i/>
          <w:iCs/>
          <w:sz w:val="32"/>
          <w:szCs w:val="32"/>
        </w:rPr>
        <w:t xml:space="preserve">Big Data e Inteligencia Artificial</w:t>
      </w:r>
    </w:p>
    <w:p>
      <w:pPr>
        <w:pBdr>
          <w:bottom w:val="single" w:color="1F3A68" w:sz="12"/>
        </w:pBdr>
        <w:spacing w:before="720"/>
        <w:jc w:val="center"/>
      </w:pPr>
      <w:r>
        <w:rPr>
          <w:b/>
          <w:bCs/>
          <w:sz w:val="36"/>
          <w:szCs w:val="36"/>
        </w:rPr>
        <w:t xml:space="preserve">Predictor de Ocupación para Apartamentos Turísticos en Barcelona</w:t>
      </w:r>
    </w:p>
    <w:p>
      <w:pPr>
        <w:spacing w:before="240"/>
        <w:jc w:val="center"/>
      </w:pPr>
      <w:r>
        <w:rPr>
          <w:i/>
          <w:iCs/>
          <w:color w:val="555555"/>
          <w:sz w:val="28"/>
          <w:szCs w:val="28"/>
        </w:rPr>
        <w:t xml:space="preserve">1r Corte</w:t>
      </w:r>
    </w:p>
    <w:p>
      <w:pPr>
        <w:spacing w:before="3600"/>
        <w:jc w:val="center"/>
      </w:pPr>
      <w:r>
        <w:rPr>
          <w:sz w:val="22"/>
          <w:szCs w:val="22"/>
        </w:rPr>
        <w:t xml:space="preserve">IFP — Innovación en Formación Profesional</w:t>
      </w:r>
    </w:p>
    <w:p>
      <w:r>
        <w:br w:type="page"/>
      </w:r>
    </w:p>
    <w:p>
      <w:pPr>
        <w:pStyle w:val="Heading1"/>
        <w:spacing w:after="200" w:before="360"/>
      </w:pPr>
      <w:r>
        <w:rPr>
          <w:b/>
          <w:bCs/>
          <w:sz w:val="32"/>
          <w:szCs w:val="32"/>
        </w:rPr>
        <w:t xml:space="preserve">1. Explicación y Detalles de los Datos</w:t>
      </w:r>
    </w:p>
    <w:p>
      <w:pPr>
        <w:pStyle w:val="Heading2"/>
        <w:spacing w:after="160" w:before="280"/>
      </w:pPr>
      <w:r>
        <w:rPr>
          <w:b/>
          <w:bCs/>
          <w:sz w:val="26"/>
          <w:szCs w:val="26"/>
        </w:rPr>
        <w:t xml:space="preserve">1.1 Introducción al Proyecto</w:t>
      </w:r>
    </w:p>
    <w:p>
      <w:pPr>
        <w:spacing w:after="120" w:before="60" w:line="300"/>
        <w:jc w:val="both"/>
      </w:pPr>
      <w:r>
        <w:rPr>
          <w:b w:val="false"/>
          <w:bCs w:val="false"/>
          <w:i w:val="false"/>
          <w:iCs w:val="false"/>
          <w:sz w:val="22"/>
          <w:szCs w:val="22"/>
        </w:rPr>
        <w:t xml:space="preserve">El presente proyecto tiene como finalidad desarrollar un sistema de predicción de la ocupación de apartamentos turísticos en la ciudad de Barcelona, apoyado en técnicas de Big Data e Inteligencia Artificial. El modelo resultante deberá ser capaz de predecir, para un alojamiento y una fecha concretos, la probabilidad de que el apartamento esté reservado (ocupado), cruzando características del alojamiento con variables contextuales como el clima local y la celebración de eventos en la ciudad.</w:t>
      </w:r>
    </w:p>
    <w:p>
      <w:pPr>
        <w:spacing w:after="120" w:before="60" w:line="300"/>
        <w:jc w:val="both"/>
      </w:pPr>
      <w:r>
        <w:rPr>
          <w:b w:val="false"/>
          <w:bCs w:val="false"/>
          <w:i w:val="false"/>
          <w:iCs w:val="false"/>
          <w:sz w:val="22"/>
          <w:szCs w:val="22"/>
        </w:rPr>
        <w:t xml:space="preserve">La motivación de este enfoque reside en que la ocupación de un apartamento turístico no depende únicamente de sus características físicas (superficie, número de habitaciones, barrio), sino que está fuertemente influenciada por el contexto temporal y el entorno: una semana con un gran festival, un episodio climático adverso o la estación del año pueden alterar significativamente la demanda de alojamiento. El objetivo final es proporcionar una herramienta de apoyo a la decisión para que los propietarios de apartamentos puedan anticipar los niveles de demanda y ajustar su estrategia.</w:t>
      </w:r>
    </w:p>
    <w:p>
      <w:pPr>
        <w:spacing w:after="120" w:before="60" w:line="300"/>
        <w:jc w:val="both"/>
      </w:pPr>
      <w:r>
        <w:rPr>
          <w:b w:val="false"/>
          <w:bCs w:val="false"/>
          <w:i/>
          <w:iCs/>
          <w:sz w:val="22"/>
          <w:szCs w:val="22"/>
        </w:rPr>
        <w:t xml:space="preserve">Nota técnica relevante: en los scrapes más recientes de Inside Airbnb la variable price aparece vacía debido a cambios en las políticas de publicación de datos por parte de la plataforma. Por este motivo, el presente proyecto adopta como variable objetivo la disponibilidad diaria del alojamiento (available), que sí se publica correctamente, en lugar del precio diario. Esta decisión se toma tras la fase de Data Understanding y se alinea con la naturaleza cíclica de la metodología CRISP-DM, que contempla la revisión del planteamiento del problema a la vista de los datos realmente disponibles.</w:t>
      </w:r>
    </w:p>
    <w:p>
      <w:pPr>
        <w:pStyle w:val="Heading2"/>
        <w:spacing w:after="160" w:before="280"/>
      </w:pPr>
      <w:r>
        <w:rPr>
          <w:b/>
          <w:bCs/>
          <w:sz w:val="26"/>
          <w:szCs w:val="26"/>
        </w:rPr>
        <w:t xml:space="preserve">1.2 Fuentes de Datos</w:t>
      </w:r>
    </w:p>
    <w:p>
      <w:pPr>
        <w:pStyle w:val="Heading3"/>
        <w:spacing w:after="140" w:before="220"/>
      </w:pPr>
      <w:r>
        <w:rPr>
          <w:b/>
          <w:bCs/>
          <w:sz w:val="24"/>
          <w:szCs w:val="24"/>
        </w:rPr>
        <w:t xml:space="preserve">1.2.1 Inside Airbnb — Listings y Calendar de Barcelona</w:t>
      </w:r>
    </w:p>
    <w:p>
      <w:pPr>
        <w:spacing w:after="120" w:before="60" w:line="300"/>
        <w:jc w:val="both"/>
      </w:pPr>
      <w:r>
        <w:rPr>
          <w:b w:val="false"/>
          <w:bCs w:val="false"/>
          <w:i w:val="false"/>
          <w:iCs w:val="false"/>
          <w:sz w:val="22"/>
          <w:szCs w:val="22"/>
        </w:rPr>
        <w:t xml:space="preserve">Inside Airbnb (http://insideairbnb.com) es un proyecto independiente que recopila y publica datos extraídos de la plataforma Airbnb con el objetivo de facilitar el análisis del impacto del alquiler turístico en las ciudades. Los datos se publican bajo la licencia Open Database License (ODbL), que permite su uso, distribución y modificación libre siempre que se mantenga la misma licencia en los trabajos derivados. El uso de estos datos con fines académicos es plenamente compatible con dicha licencia.</w:t>
      </w:r>
    </w:p>
    <w:p>
      <w:pPr>
        <w:spacing w:after="120" w:before="60" w:line="300"/>
        <w:jc w:val="both"/>
      </w:pPr>
      <w:r>
        <w:rPr>
          <w:b w:val="false"/>
          <w:bCs w:val="false"/>
          <w:i w:val="false"/>
          <w:iCs w:val="false"/>
          <w:sz w:val="22"/>
          <w:szCs w:val="22"/>
        </w:rPr>
        <w:t xml:space="preserve">Se utilizan dos ficheros principales procedentes del scrape de 14 de diciembre de 2025:</w:t>
      </w:r>
    </w:p>
    <w:p>
      <w:pPr>
        <w:spacing w:after="120" w:before="60" w:line="300"/>
        <w:jc w:val="both"/>
      </w:pPr>
      <w:r>
        <w:rPr>
          <w:b/>
          <w:bCs/>
          <w:i w:val="false"/>
          <w:iCs w:val="false"/>
          <w:sz w:val="22"/>
          <w:szCs w:val="22"/>
        </w:rPr>
        <w:t xml:space="preserve">listings.csv — contiene información descriptiva de cada anuncio activo en Barcelona. Cada fila representa un apartamento o habitación publicado en Airbnb. Las columnas más relevantes para el proyecto 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999999" w:sz="4"/>
              <w:left w:val="single" w:color="999999" w:sz="4"/>
              <w:bottom w:val="single" w:color="999999" w:sz="4"/>
              <w:right w:val="single" w:color="999999" w:sz="4"/>
            </w:tcBorders>
            <w:shd w:fill="1F3A68" w:val="clear"/>
            <w:tcMar>
              <w:top w:type="dxa" w:w="80"/>
              <w:left w:type="dxa" w:w="120"/>
              <w:bottom w:type="dxa" w:w="80"/>
              <w:right w:type="dxa" w:w="120"/>
            </w:tcMar>
          </w:tcPr>
          <w:p>
            <w:pPr>
              <w:spacing w:after="30" w:before="30"/>
            </w:pPr>
            <w:r>
              <w:rPr>
                <w:b/>
                <w:bCs/>
                <w:color w:val="FFFFFF"/>
                <w:sz w:val="20"/>
                <w:szCs w:val="20"/>
              </w:rPr>
              <w:t xml:space="preserve">Campo</w:t>
            </w:r>
          </w:p>
        </w:tc>
        <w:tc>
          <w:tcPr>
            <w:tcW w:type="dxa" w:w="1400"/>
            <w:tcBorders>
              <w:top w:val="single" w:color="999999" w:sz="4"/>
              <w:left w:val="single" w:color="999999" w:sz="4"/>
              <w:bottom w:val="single" w:color="999999" w:sz="4"/>
              <w:right w:val="single" w:color="999999" w:sz="4"/>
            </w:tcBorders>
            <w:shd w:fill="1F3A68" w:val="clear"/>
            <w:tcMar>
              <w:top w:type="dxa" w:w="80"/>
              <w:left w:type="dxa" w:w="120"/>
              <w:bottom w:type="dxa" w:w="80"/>
              <w:right w:type="dxa" w:w="120"/>
            </w:tcMar>
          </w:tcPr>
          <w:p>
            <w:pPr>
              <w:spacing w:after="30" w:before="30"/>
            </w:pPr>
            <w:r>
              <w:rPr>
                <w:b/>
                <w:bCs/>
                <w:color w:val="FFFFFF"/>
                <w:sz w:val="20"/>
                <w:szCs w:val="20"/>
              </w:rPr>
              <w:t xml:space="preserve">Tipo</w:t>
            </w:r>
          </w:p>
        </w:tc>
        <w:tc>
          <w:tcPr>
            <w:tcW w:type="dxa" w:w="5560"/>
            <w:tcBorders>
              <w:top w:val="single" w:color="999999" w:sz="4"/>
              <w:left w:val="single" w:color="999999" w:sz="4"/>
              <w:bottom w:val="single" w:color="999999" w:sz="4"/>
              <w:right w:val="single" w:color="999999" w:sz="4"/>
            </w:tcBorders>
            <w:shd w:fill="1F3A68" w:val="clear"/>
            <w:tcMar>
              <w:top w:type="dxa" w:w="80"/>
              <w:left w:type="dxa" w:w="120"/>
              <w:bottom w:type="dxa" w:w="80"/>
              <w:right w:type="dxa" w:w="120"/>
            </w:tcMar>
          </w:tcPr>
          <w:p>
            <w:pPr>
              <w:spacing w:after="30" w:before="30"/>
            </w:pPr>
            <w:r>
              <w:rPr>
                <w:b/>
                <w:bCs/>
                <w:color w:val="FFFFFF"/>
                <w:sz w:val="20"/>
                <w:szCs w:val="20"/>
              </w:rPr>
              <w:t xml:space="preserve">Descripción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id</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Numérico</w:t>
            </w:r>
          </w:p>
        </w:tc>
        <w:tc>
          <w:tcPr>
            <w:tcW w:type="dxa" w:w="5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Identificador único del anuncio</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neighbourhood_cleansed</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Categórico</w:t>
            </w:r>
          </w:p>
        </w:tc>
        <w:tc>
          <w:tcPr>
            <w:tcW w:type="dxa" w:w="5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Barrio del alojamiento (estandarizado)</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latitude / longitude</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Numérico</w:t>
            </w:r>
          </w:p>
        </w:tc>
        <w:tc>
          <w:tcPr>
            <w:tcW w:type="dxa" w:w="5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Coordenadas geográficas del alojamiento</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room_type</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Categórico</w:t>
            </w:r>
          </w:p>
        </w:tc>
        <w:tc>
          <w:tcPr>
            <w:tcW w:type="dxa" w:w="5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Entire home, Private room, Shared room, Hotel room</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property_type</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Categórico</w:t>
            </w:r>
          </w:p>
        </w:tc>
        <w:tc>
          <w:tcPr>
            <w:tcW w:type="dxa" w:w="5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Tipología del inmueble (apartment, condo, loft…)</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accommodates</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Numérico</w:t>
            </w:r>
          </w:p>
        </w:tc>
        <w:tc>
          <w:tcPr>
            <w:tcW w:type="dxa" w:w="5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Número máximo de huéspedes</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bedrooms / beds</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Numérico</w:t>
            </w:r>
          </w:p>
        </w:tc>
        <w:tc>
          <w:tcPr>
            <w:tcW w:type="dxa" w:w="5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Número de dormitorios y camas</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bathrooms</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Numérico</w:t>
            </w:r>
          </w:p>
        </w:tc>
        <w:tc>
          <w:tcPr>
            <w:tcW w:type="dxa" w:w="5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Número de baños</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amenities</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Texto (lista)</w:t>
            </w:r>
          </w:p>
        </w:tc>
        <w:tc>
          <w:tcPr>
            <w:tcW w:type="dxa" w:w="5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Servicios incluidos (WiFi, cocina, parking, etc.)</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minimum_nights</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Numérico</w:t>
            </w:r>
          </w:p>
        </w:tc>
        <w:tc>
          <w:tcPr>
            <w:tcW w:type="dxa" w:w="5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Mínimo de noches por reserva</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availability_30/60/90/365</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Numérico</w:t>
            </w:r>
          </w:p>
        </w:tc>
        <w:tc>
          <w:tcPr>
            <w:tcW w:type="dxa" w:w="5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Días disponibles en los próximos 30/60/90/365 días</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estimated_occupancy_l365d</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Numérico</w:t>
            </w:r>
          </w:p>
        </w:tc>
        <w:tc>
          <w:tcPr>
            <w:tcW w:type="dxa" w:w="5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Estimación de días ocupados en el último año (objetivo auxiliar)</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number_of_reviews</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Numérico</w:t>
            </w:r>
          </w:p>
        </w:tc>
        <w:tc>
          <w:tcPr>
            <w:tcW w:type="dxa" w:w="5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Total de reseñas recibidas</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review_scores_rating</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Numérico</w:t>
            </w:r>
          </w:p>
        </w:tc>
        <w:tc>
          <w:tcPr>
            <w:tcW w:type="dxa" w:w="5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Puntuación media de los huéspedes (0-5)</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host_is_superhost</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Booleano</w:t>
            </w:r>
          </w:p>
        </w:tc>
        <w:tc>
          <w:tcPr>
            <w:tcW w:type="dxa" w:w="5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Indica si el anfitrión es Superhost</w:t>
            </w:r>
          </w:p>
        </w:tc>
      </w:tr>
    </w:tbl>
    <w:p>
      <w:pPr>
        <w:spacing w:after="120" w:before="60" w:line="300"/>
        <w:jc w:val="both"/>
      </w:pPr>
      <w:r>
        <w:rPr>
          <w:b w:val="false"/>
          <w:bCs w:val="false"/>
          <w:i w:val="false"/>
          <w:iCs w:val="false"/>
          <w:sz w:val="22"/>
          <w:szCs w:val="22"/>
        </w:rPr>
        <w:t xml:space="preserve"/>
      </w:r>
    </w:p>
    <w:p>
      <w:pPr>
        <w:spacing w:after="120" w:before="60" w:line="300"/>
        <w:jc w:val="both"/>
      </w:pPr>
      <w:r>
        <w:rPr>
          <w:b/>
          <w:bCs/>
          <w:i w:val="false"/>
          <w:iCs w:val="false"/>
          <w:sz w:val="22"/>
          <w:szCs w:val="22"/>
        </w:rPr>
        <w:t xml:space="preserve">calendar.csv — registra la disponibilidad de cada anuncio para cada día del año. Es la fuente principal para el análisis temporal de ocupación. Las columnas clave 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999999" w:sz="4"/>
              <w:left w:val="single" w:color="999999" w:sz="4"/>
              <w:bottom w:val="single" w:color="999999" w:sz="4"/>
              <w:right w:val="single" w:color="999999" w:sz="4"/>
            </w:tcBorders>
            <w:shd w:fill="1F3A68" w:val="clear"/>
            <w:tcMar>
              <w:top w:type="dxa" w:w="80"/>
              <w:left w:type="dxa" w:w="120"/>
              <w:bottom w:type="dxa" w:w="80"/>
              <w:right w:type="dxa" w:w="120"/>
            </w:tcMar>
          </w:tcPr>
          <w:p>
            <w:pPr>
              <w:spacing w:after="30" w:before="30"/>
            </w:pPr>
            <w:r>
              <w:rPr>
                <w:b/>
                <w:bCs/>
                <w:color w:val="FFFFFF"/>
                <w:sz w:val="20"/>
                <w:szCs w:val="20"/>
              </w:rPr>
              <w:t xml:space="preserve">Campo</w:t>
            </w:r>
          </w:p>
        </w:tc>
        <w:tc>
          <w:tcPr>
            <w:tcW w:type="dxa" w:w="1600"/>
            <w:tcBorders>
              <w:top w:val="single" w:color="999999" w:sz="4"/>
              <w:left w:val="single" w:color="999999" w:sz="4"/>
              <w:bottom w:val="single" w:color="999999" w:sz="4"/>
              <w:right w:val="single" w:color="999999" w:sz="4"/>
            </w:tcBorders>
            <w:shd w:fill="1F3A68" w:val="clear"/>
            <w:tcMar>
              <w:top w:type="dxa" w:w="80"/>
              <w:left w:type="dxa" w:w="120"/>
              <w:bottom w:type="dxa" w:w="80"/>
              <w:right w:type="dxa" w:w="120"/>
            </w:tcMar>
          </w:tcPr>
          <w:p>
            <w:pPr>
              <w:spacing w:after="30" w:before="30"/>
            </w:pPr>
            <w:r>
              <w:rPr>
                <w:b/>
                <w:bCs/>
                <w:color w:val="FFFFFF"/>
                <w:sz w:val="20"/>
                <w:szCs w:val="20"/>
              </w:rPr>
              <w:t xml:space="preserve">Tipo</w:t>
            </w:r>
          </w:p>
        </w:tc>
        <w:tc>
          <w:tcPr>
            <w:tcW w:type="dxa" w:w="5360"/>
            <w:tcBorders>
              <w:top w:val="single" w:color="999999" w:sz="4"/>
              <w:left w:val="single" w:color="999999" w:sz="4"/>
              <w:bottom w:val="single" w:color="999999" w:sz="4"/>
              <w:right w:val="single" w:color="999999" w:sz="4"/>
            </w:tcBorders>
            <w:shd w:fill="1F3A68" w:val="clear"/>
            <w:tcMar>
              <w:top w:type="dxa" w:w="80"/>
              <w:left w:type="dxa" w:w="120"/>
              <w:bottom w:type="dxa" w:w="80"/>
              <w:right w:type="dxa" w:w="120"/>
            </w:tcMar>
          </w:tcPr>
          <w:p>
            <w:pPr>
              <w:spacing w:after="30" w:before="30"/>
            </w:pPr>
            <w:r>
              <w:rPr>
                <w:b/>
                <w:bCs/>
                <w:color w:val="FFFFFF"/>
                <w:sz w:val="20"/>
                <w:szCs w:val="20"/>
              </w:rPr>
              <w:t xml:space="preserve">Descripción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listing_id</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Numérico</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Clave foránea que enlaza con listings.csv</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date</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Fecha</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Día concreto al que corresponde el registro</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available</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Booleano (t/f)</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Variable objetivo — indica si el apartamento está disponible (t) u ocupado (f) ese día</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minimum_nights</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Numérico</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Mínimo de noches aplicable para esa fecha concreta</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maximum_nights</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Numérico</w:t>
            </w:r>
          </w:p>
        </w:tc>
        <w:tc>
          <w:tcPr>
            <w:tcW w:type="dxa" w:w="5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Máximo de noches permitido para esa fecha</w:t>
            </w:r>
          </w:p>
        </w:tc>
      </w:tr>
    </w:tbl>
    <w:p>
      <w:pPr>
        <w:spacing w:after="120" w:before="60" w:line="300"/>
        <w:jc w:val="both"/>
      </w:pPr>
      <w:r>
        <w:rPr>
          <w:b w:val="false"/>
          <w:bCs w:val="false"/>
          <w:i w:val="false"/>
          <w:iCs w:val="false"/>
          <w:sz w:val="22"/>
          <w:szCs w:val="22"/>
        </w:rPr>
        <w:t xml:space="preserve"/>
      </w:r>
    </w:p>
    <w:p>
      <w:pPr>
        <w:spacing w:after="120" w:before="60" w:line="300"/>
        <w:jc w:val="both"/>
      </w:pPr>
      <w:r>
        <w:rPr>
          <w:b w:val="false"/>
          <w:bCs w:val="false"/>
          <w:i w:val="false"/>
          <w:iCs w:val="false"/>
          <w:sz w:val="22"/>
          <w:szCs w:val="22"/>
        </w:rPr>
        <w:t xml:space="preserve">El volumen del fichero calendar.csv para Barcelona es de aproximadamente 6,6 millones de registros (18.177 anuncios × 365 días), lo que justifica el uso de herramientas de Big Data para su procesamiento eficiente.</w:t>
      </w:r>
    </w:p>
    <w:p>
      <w:pPr>
        <w:pStyle w:val="Heading3"/>
        <w:spacing w:after="140" w:before="220"/>
      </w:pPr>
      <w:r>
        <w:rPr>
          <w:b/>
          <w:bCs/>
          <w:sz w:val="24"/>
          <w:szCs w:val="24"/>
        </w:rPr>
        <w:t xml:space="preserve">1.2.2 Open-Meteo — Datos Climáticos Históricos</w:t>
      </w:r>
    </w:p>
    <w:p>
      <w:pPr>
        <w:spacing w:after="120" w:before="60" w:line="300"/>
        <w:jc w:val="both"/>
      </w:pPr>
      <w:r>
        <w:rPr>
          <w:b w:val="false"/>
          <w:bCs w:val="false"/>
          <w:i w:val="false"/>
          <w:iCs w:val="false"/>
          <w:sz w:val="22"/>
          <w:szCs w:val="22"/>
        </w:rPr>
        <w:t xml:space="preserve">Open-Meteo (https://open-meteo.com) es un servicio de datos meteorológicos de código abierto que proporciona datos históricos y pronósticos a través de una API REST. Se distribuye bajo licencia CC BY 4.0, lo que permite su uso libre con atribución. La API permite descargar series temporales diarias de variables como temperatura máxima y mínima, precipitación acumulada y velocidad del viento para coordenadas geográficas concretas.</w:t>
      </w:r>
    </w:p>
    <w:p>
      <w:pPr>
        <w:spacing w:after="120" w:before="60" w:line="300"/>
        <w:jc w:val="both"/>
      </w:pPr>
      <w:r>
        <w:rPr>
          <w:b w:val="false"/>
          <w:bCs w:val="false"/>
          <w:i w:val="false"/>
          <w:iCs w:val="false"/>
          <w:sz w:val="22"/>
          <w:szCs w:val="22"/>
        </w:rPr>
        <w:t xml:space="preserve">Para este proyecto se extraen datos climáticos correspondientes a las coordenadas de Barcelona (lat: 41.3828, lon: 2.1769) para el período temporal cubierto por el calendario de Airbnb (diciembre 2025 – diciembre 2026). Las variables seleccionadas 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999999" w:sz="4"/>
              <w:left w:val="single" w:color="999999" w:sz="4"/>
              <w:bottom w:val="single" w:color="999999" w:sz="4"/>
              <w:right w:val="single" w:color="999999" w:sz="4"/>
            </w:tcBorders>
            <w:shd w:fill="1F3A68" w:val="clear"/>
            <w:tcMar>
              <w:top w:type="dxa" w:w="80"/>
              <w:left w:type="dxa" w:w="120"/>
              <w:bottom w:type="dxa" w:w="80"/>
              <w:right w:type="dxa" w:w="120"/>
            </w:tcMar>
          </w:tcPr>
          <w:p>
            <w:pPr>
              <w:spacing w:after="30" w:before="30"/>
            </w:pPr>
            <w:r>
              <w:rPr>
                <w:b/>
                <w:bCs/>
                <w:color w:val="FFFFFF"/>
                <w:sz w:val="20"/>
                <w:szCs w:val="20"/>
              </w:rPr>
              <w:t xml:space="preserve">Variable</w:t>
            </w:r>
          </w:p>
        </w:tc>
        <w:tc>
          <w:tcPr>
            <w:tcW w:type="dxa" w:w="1400"/>
            <w:tcBorders>
              <w:top w:val="single" w:color="999999" w:sz="4"/>
              <w:left w:val="single" w:color="999999" w:sz="4"/>
              <w:bottom w:val="single" w:color="999999" w:sz="4"/>
              <w:right w:val="single" w:color="999999" w:sz="4"/>
            </w:tcBorders>
            <w:shd w:fill="1F3A68" w:val="clear"/>
            <w:tcMar>
              <w:top w:type="dxa" w:w="80"/>
              <w:left w:type="dxa" w:w="120"/>
              <w:bottom w:type="dxa" w:w="80"/>
              <w:right w:type="dxa" w:w="120"/>
            </w:tcMar>
          </w:tcPr>
          <w:p>
            <w:pPr>
              <w:spacing w:after="30" w:before="30"/>
            </w:pPr>
            <w:r>
              <w:rPr>
                <w:b/>
                <w:bCs/>
                <w:color w:val="FFFFFF"/>
                <w:sz w:val="20"/>
                <w:szCs w:val="20"/>
              </w:rPr>
              <w:t xml:space="preserve">Unidad</w:t>
            </w:r>
          </w:p>
        </w:tc>
        <w:tc>
          <w:tcPr>
            <w:tcW w:type="dxa" w:w="5160"/>
            <w:tcBorders>
              <w:top w:val="single" w:color="999999" w:sz="4"/>
              <w:left w:val="single" w:color="999999" w:sz="4"/>
              <w:bottom w:val="single" w:color="999999" w:sz="4"/>
              <w:right w:val="single" w:color="999999" w:sz="4"/>
            </w:tcBorders>
            <w:shd w:fill="1F3A68" w:val="clear"/>
            <w:tcMar>
              <w:top w:type="dxa" w:w="80"/>
              <w:left w:type="dxa" w:w="120"/>
              <w:bottom w:type="dxa" w:w="80"/>
              <w:right w:type="dxa" w:w="120"/>
            </w:tcMar>
          </w:tcPr>
          <w:p>
            <w:pPr>
              <w:spacing w:after="30" w:before="30"/>
            </w:pPr>
            <w:r>
              <w:rPr>
                <w:b/>
                <w:bCs/>
                <w:color w:val="FFFFFF"/>
                <w:sz w:val="20"/>
                <w:szCs w:val="20"/>
              </w:rPr>
              <w:t xml:space="preserve">Relevancia para el modelo</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temperature_2m_max</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°C</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Las altas temperaturas correlacionan con mayor demanda turística estival</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temperature_2m_min</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°C</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Complementa el rango térmico diario</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precipitation_sum</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mm</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La lluvia puede reducir la demanda de alojamiento turístico</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windspeed_10m_max</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km/h</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Vientos fuertes afectan a actividades al aire libre y playas</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weathercode</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Código WMO</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Clasificación general del tiempo (soleado, nublado, lluvia, tormenta)</w:t>
            </w:r>
          </w:p>
        </w:tc>
      </w:tr>
    </w:tbl>
    <w:p>
      <w:pPr>
        <w:spacing w:after="120" w:before="60" w:line="300"/>
        <w:jc w:val="both"/>
      </w:pPr>
      <w:r>
        <w:rPr>
          <w:b w:val="false"/>
          <w:bCs w:val="false"/>
          <w:i w:val="false"/>
          <w:iCs w:val="false"/>
          <w:sz w:val="22"/>
          <w:szCs w:val="22"/>
        </w:rPr>
        <w:t xml:space="preserve"/>
      </w:r>
    </w:p>
    <w:p>
      <w:pPr>
        <w:pStyle w:val="Heading3"/>
        <w:spacing w:after="140" w:before="220"/>
      </w:pPr>
      <w:r>
        <w:rPr>
          <w:b/>
          <w:bCs/>
          <w:sz w:val="24"/>
          <w:szCs w:val="24"/>
        </w:rPr>
        <w:t xml:space="preserve">1.2.3 Ticketmaster API — Eventos en Barcelona</w:t>
      </w:r>
    </w:p>
    <w:p>
      <w:pPr>
        <w:spacing w:after="120" w:before="60" w:line="300"/>
        <w:jc w:val="both"/>
      </w:pPr>
      <w:r>
        <w:rPr>
          <w:b w:val="false"/>
          <w:bCs w:val="false"/>
          <w:i w:val="false"/>
          <w:iCs w:val="false"/>
          <w:sz w:val="22"/>
          <w:szCs w:val="22"/>
        </w:rPr>
        <w:t xml:space="preserve">Ticketmaster dispone de una API pública (https://developer.ticketmaster.com) de acceso gratuito previo registro como desarrollador. Permite consultar eventos de música, deportes, teatro y otros espectáculos por ciudad y rango de fechas. El uso de la API con fines académicos y no comerciales es compatible con los términos de servicio de la plataforma.</w:t>
      </w:r>
    </w:p>
    <w:p>
      <w:pPr>
        <w:spacing w:after="120" w:before="60" w:line="300"/>
        <w:jc w:val="both"/>
      </w:pPr>
      <w:r>
        <w:rPr>
          <w:b w:val="false"/>
          <w:bCs w:val="false"/>
          <w:i w:val="false"/>
          <w:iCs w:val="false"/>
          <w:sz w:val="22"/>
          <w:szCs w:val="22"/>
        </w:rPr>
        <w:t xml:space="preserve">La incorporación de esta fuente responde a la hipótesis de que la celebración de grandes eventos en Barcelona (conciertos multitudinarios, partidos del FC Barcelona, ferias, festivales como el Sónar o el Primavera Sound) provoca picos de demanda de alojamiento que se reflejan en un incremento de la ocupación. Los campos de interés 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999999" w:sz="4"/>
              <w:left w:val="single" w:color="999999" w:sz="4"/>
              <w:bottom w:val="single" w:color="999999" w:sz="4"/>
              <w:right w:val="single" w:color="999999" w:sz="4"/>
            </w:tcBorders>
            <w:shd w:fill="1F3A68" w:val="clear"/>
            <w:tcMar>
              <w:top w:type="dxa" w:w="80"/>
              <w:left w:type="dxa" w:w="120"/>
              <w:bottom w:type="dxa" w:w="80"/>
              <w:right w:type="dxa" w:w="120"/>
            </w:tcMar>
          </w:tcPr>
          <w:p>
            <w:pPr>
              <w:spacing w:after="30" w:before="30"/>
            </w:pPr>
            <w:r>
              <w:rPr>
                <w:b/>
                <w:bCs/>
                <w:color w:val="FFFFFF"/>
                <w:sz w:val="20"/>
                <w:szCs w:val="20"/>
              </w:rPr>
              <w:t xml:space="preserve">Campo</w:t>
            </w:r>
          </w:p>
        </w:tc>
        <w:tc>
          <w:tcPr>
            <w:tcW w:type="dxa" w:w="1600"/>
            <w:tcBorders>
              <w:top w:val="single" w:color="999999" w:sz="4"/>
              <w:left w:val="single" w:color="999999" w:sz="4"/>
              <w:bottom w:val="single" w:color="999999" w:sz="4"/>
              <w:right w:val="single" w:color="999999" w:sz="4"/>
            </w:tcBorders>
            <w:shd w:fill="1F3A68" w:val="clear"/>
            <w:tcMar>
              <w:top w:type="dxa" w:w="80"/>
              <w:left w:type="dxa" w:w="120"/>
              <w:bottom w:type="dxa" w:w="80"/>
              <w:right w:type="dxa" w:w="120"/>
            </w:tcMar>
          </w:tcPr>
          <w:p>
            <w:pPr>
              <w:spacing w:after="30" w:before="30"/>
            </w:pPr>
            <w:r>
              <w:rPr>
                <w:b/>
                <w:bCs/>
                <w:color w:val="FFFFFF"/>
                <w:sz w:val="20"/>
                <w:szCs w:val="20"/>
              </w:rPr>
              <w:t xml:space="preserve">Tipo</w:t>
            </w:r>
          </w:p>
        </w:tc>
        <w:tc>
          <w:tcPr>
            <w:tcW w:type="dxa" w:w="4560"/>
            <w:tcBorders>
              <w:top w:val="single" w:color="999999" w:sz="4"/>
              <w:left w:val="single" w:color="999999" w:sz="4"/>
              <w:bottom w:val="single" w:color="999999" w:sz="4"/>
              <w:right w:val="single" w:color="999999" w:sz="4"/>
            </w:tcBorders>
            <w:shd w:fill="1F3A68" w:val="clear"/>
            <w:tcMar>
              <w:top w:type="dxa" w:w="80"/>
              <w:left w:type="dxa" w:w="120"/>
              <w:bottom w:type="dxa" w:w="80"/>
              <w:right w:type="dxa" w:w="120"/>
            </w:tcMar>
          </w:tcPr>
          <w:p>
            <w:pPr>
              <w:spacing w:after="30" w:before="30"/>
            </w:pPr>
            <w:r>
              <w:rPr>
                <w:b/>
                <w:bCs/>
                <w:color w:val="FFFFFF"/>
                <w:sz w:val="20"/>
                <w:szCs w:val="20"/>
              </w:rPr>
              <w:t xml:space="preserve">Descripción</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name</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Texto</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Nombre del evento</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dates.start.localDate</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Fecha</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Fecha de inicio del evento</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classifications.segment.name</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Categórico</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Categoría: Music, Sports, Arts, etc.</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_embedded.venues.city.name</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Texto</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Ciudad del evento (filtrado por Barcelona)</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priceRanges.min / max</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Numérico</w:t>
            </w:r>
          </w:p>
        </w:tc>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Rango de precios de las entradas (indicador de magnitud del evento)</w:t>
            </w:r>
          </w:p>
        </w:tc>
      </w:tr>
    </w:tbl>
    <w:p>
      <w:pPr>
        <w:spacing w:after="120" w:before="60" w:line="300"/>
        <w:jc w:val="both"/>
      </w:pPr>
      <w:r>
        <w:rPr>
          <w:b w:val="false"/>
          <w:bCs w:val="false"/>
          <w:i w:val="false"/>
          <w:iCs w:val="false"/>
          <w:sz w:val="22"/>
          <w:szCs w:val="22"/>
        </w:rPr>
        <w:t xml:space="preserve"/>
      </w:r>
    </w:p>
    <w:p>
      <w:r>
        <w:br w:type="page"/>
      </w:r>
    </w:p>
    <w:p>
      <w:pPr>
        <w:pStyle w:val="Heading1"/>
        <w:spacing w:after="200" w:before="360"/>
      </w:pPr>
      <w:r>
        <w:rPr>
          <w:b/>
          <w:bCs/>
          <w:sz w:val="32"/>
          <w:szCs w:val="32"/>
        </w:rPr>
        <w:t xml:space="preserve">2. Selección e Integración de Datasets</w:t>
      </w:r>
    </w:p>
    <w:p>
      <w:pPr>
        <w:pStyle w:val="Heading2"/>
        <w:spacing w:after="160" w:before="280"/>
      </w:pPr>
      <w:r>
        <w:rPr>
          <w:b/>
          <w:bCs/>
          <w:sz w:val="26"/>
          <w:szCs w:val="26"/>
        </w:rPr>
        <w:t xml:space="preserve">2.1 Tipología de Variables</w:t>
      </w:r>
    </w:p>
    <w:p>
      <w:pPr>
        <w:spacing w:after="120" w:before="60" w:line="300"/>
        <w:jc w:val="both"/>
      </w:pPr>
      <w:r>
        <w:rPr>
          <w:b w:val="false"/>
          <w:bCs w:val="false"/>
          <w:i w:val="false"/>
          <w:iCs w:val="false"/>
          <w:sz w:val="22"/>
          <w:szCs w:val="22"/>
        </w:rPr>
        <w:t xml:space="preserve">Para estructurar correctamente el análisis estadístico, es necesario clasificar las variables de los datasets según su naturaleza. A continuación se presenta la clasificación de las variables principales que intervendrán en el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2680"/>
        <w:gridCol w:w="2080"/>
      </w:tblGrid>
      <w:tr>
        <w:tc>
          <w:tcPr>
            <w:tcW w:type="dxa" w:w="3000"/>
            <w:tcBorders>
              <w:top w:val="single" w:color="999999" w:sz="4"/>
              <w:left w:val="single" w:color="999999" w:sz="4"/>
              <w:bottom w:val="single" w:color="999999" w:sz="4"/>
              <w:right w:val="single" w:color="999999" w:sz="4"/>
            </w:tcBorders>
            <w:shd w:fill="1F3A68" w:val="clear"/>
            <w:tcMar>
              <w:top w:type="dxa" w:w="80"/>
              <w:left w:type="dxa" w:w="120"/>
              <w:bottom w:type="dxa" w:w="80"/>
              <w:right w:type="dxa" w:w="120"/>
            </w:tcMar>
          </w:tcPr>
          <w:p>
            <w:pPr>
              <w:spacing w:after="30" w:before="30"/>
            </w:pPr>
            <w:r>
              <w:rPr>
                <w:b/>
                <w:bCs/>
                <w:color w:val="FFFFFF"/>
                <w:sz w:val="20"/>
                <w:szCs w:val="20"/>
              </w:rPr>
              <w:t xml:space="preserve">Variable</w:t>
            </w:r>
          </w:p>
        </w:tc>
        <w:tc>
          <w:tcPr>
            <w:tcW w:type="dxa" w:w="1600"/>
            <w:tcBorders>
              <w:top w:val="single" w:color="999999" w:sz="4"/>
              <w:left w:val="single" w:color="999999" w:sz="4"/>
              <w:bottom w:val="single" w:color="999999" w:sz="4"/>
              <w:right w:val="single" w:color="999999" w:sz="4"/>
            </w:tcBorders>
            <w:shd w:fill="1F3A68" w:val="clear"/>
            <w:tcMar>
              <w:top w:type="dxa" w:w="80"/>
              <w:left w:type="dxa" w:w="120"/>
              <w:bottom w:type="dxa" w:w="80"/>
              <w:right w:type="dxa" w:w="120"/>
            </w:tcMar>
          </w:tcPr>
          <w:p>
            <w:pPr>
              <w:spacing w:after="30" w:before="30"/>
            </w:pPr>
            <w:r>
              <w:rPr>
                <w:b/>
                <w:bCs/>
                <w:color w:val="FFFFFF"/>
                <w:sz w:val="20"/>
                <w:szCs w:val="20"/>
              </w:rPr>
              <w:t xml:space="preserve">Dataset</w:t>
            </w:r>
          </w:p>
        </w:tc>
        <w:tc>
          <w:tcPr>
            <w:tcW w:type="dxa" w:w="2680"/>
            <w:tcBorders>
              <w:top w:val="single" w:color="999999" w:sz="4"/>
              <w:left w:val="single" w:color="999999" w:sz="4"/>
              <w:bottom w:val="single" w:color="999999" w:sz="4"/>
              <w:right w:val="single" w:color="999999" w:sz="4"/>
            </w:tcBorders>
            <w:shd w:fill="1F3A68" w:val="clear"/>
            <w:tcMar>
              <w:top w:type="dxa" w:w="80"/>
              <w:left w:type="dxa" w:w="120"/>
              <w:bottom w:type="dxa" w:w="80"/>
              <w:right w:type="dxa" w:w="120"/>
            </w:tcMar>
          </w:tcPr>
          <w:p>
            <w:pPr>
              <w:spacing w:after="30" w:before="30"/>
            </w:pPr>
            <w:r>
              <w:rPr>
                <w:b/>
                <w:bCs/>
                <w:color w:val="FFFFFF"/>
                <w:sz w:val="20"/>
                <w:szCs w:val="20"/>
              </w:rPr>
              <w:t xml:space="preserve">Tipo</w:t>
            </w:r>
          </w:p>
        </w:tc>
        <w:tc>
          <w:tcPr>
            <w:tcW w:type="dxa" w:w="2080"/>
            <w:tcBorders>
              <w:top w:val="single" w:color="999999" w:sz="4"/>
              <w:left w:val="single" w:color="999999" w:sz="4"/>
              <w:bottom w:val="single" w:color="999999" w:sz="4"/>
              <w:right w:val="single" w:color="999999" w:sz="4"/>
            </w:tcBorders>
            <w:shd w:fill="1F3A68" w:val="clear"/>
            <w:tcMar>
              <w:top w:type="dxa" w:w="80"/>
              <w:left w:type="dxa" w:w="120"/>
              <w:bottom w:type="dxa" w:w="80"/>
              <w:right w:type="dxa" w:w="120"/>
            </w:tcMar>
          </w:tcPr>
          <w:p>
            <w:pPr>
              <w:spacing w:after="30" w:before="30"/>
            </w:pPr>
            <w:r>
              <w:rPr>
                <w:b/>
                <w:bCs/>
                <w:color w:val="FFFFFF"/>
                <w:sz w:val="20"/>
                <w:szCs w:val="20"/>
              </w:rPr>
              <w:t xml:space="preserve">Escala</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available (objetivo)</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calendar.csv</w:t>
            </w:r>
          </w:p>
        </w:tc>
        <w:tc>
          <w:tcPr>
            <w:tcW w:type="dxa" w:w="2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Cualitativa dicotómica</w:t>
            </w:r>
          </w:p>
        </w:tc>
        <w:tc>
          <w:tcPr>
            <w:tcW w:type="dxa" w:w="20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Nominal</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estimated_occupancy_l365d (obj. auxiliar)</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listings.csv</w:t>
            </w:r>
          </w:p>
        </w:tc>
        <w:tc>
          <w:tcPr>
            <w:tcW w:type="dxa" w:w="2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Cuantitativa discreta</w:t>
            </w:r>
          </w:p>
        </w:tc>
        <w:tc>
          <w:tcPr>
            <w:tcW w:type="dxa" w:w="20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Ratio</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room_type</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listings.csv</w:t>
            </w:r>
          </w:p>
        </w:tc>
        <w:tc>
          <w:tcPr>
            <w:tcW w:type="dxa" w:w="2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Cualitativa nominal</w:t>
            </w:r>
          </w:p>
        </w:tc>
        <w:tc>
          <w:tcPr>
            <w:tcW w:type="dxa" w:w="20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Nominal</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neighbourhood_cleansed</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listings.csv</w:t>
            </w:r>
          </w:p>
        </w:tc>
        <w:tc>
          <w:tcPr>
            <w:tcW w:type="dxa" w:w="2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Cualitativa nominal</w:t>
            </w:r>
          </w:p>
        </w:tc>
        <w:tc>
          <w:tcPr>
            <w:tcW w:type="dxa" w:w="20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Nominal</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accommodates</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listings.csv</w:t>
            </w:r>
          </w:p>
        </w:tc>
        <w:tc>
          <w:tcPr>
            <w:tcW w:type="dxa" w:w="2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Cuantitativa discreta</w:t>
            </w:r>
          </w:p>
        </w:tc>
        <w:tc>
          <w:tcPr>
            <w:tcW w:type="dxa" w:w="20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Ratio</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bedrooms / beds</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listings.csv</w:t>
            </w:r>
          </w:p>
        </w:tc>
        <w:tc>
          <w:tcPr>
            <w:tcW w:type="dxa" w:w="2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Cuantitativa discreta</w:t>
            </w:r>
          </w:p>
        </w:tc>
        <w:tc>
          <w:tcPr>
            <w:tcW w:type="dxa" w:w="20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Ratio</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review_scores_rating</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listings.csv</w:t>
            </w:r>
          </w:p>
        </w:tc>
        <w:tc>
          <w:tcPr>
            <w:tcW w:type="dxa" w:w="2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Cuantitativa continua</w:t>
            </w:r>
          </w:p>
        </w:tc>
        <w:tc>
          <w:tcPr>
            <w:tcW w:type="dxa" w:w="20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Intervalo</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number_of_reviews</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listings.csv</w:t>
            </w:r>
          </w:p>
        </w:tc>
        <w:tc>
          <w:tcPr>
            <w:tcW w:type="dxa" w:w="2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Cuantitativa discreta</w:t>
            </w:r>
          </w:p>
        </w:tc>
        <w:tc>
          <w:tcPr>
            <w:tcW w:type="dxa" w:w="20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Ratio</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availability_365</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listings.csv</w:t>
            </w:r>
          </w:p>
        </w:tc>
        <w:tc>
          <w:tcPr>
            <w:tcW w:type="dxa" w:w="2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Cuantitativa discreta</w:t>
            </w:r>
          </w:p>
        </w:tc>
        <w:tc>
          <w:tcPr>
            <w:tcW w:type="dxa" w:w="20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Ratio</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temperature_2m_max</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Open-Meteo</w:t>
            </w:r>
          </w:p>
        </w:tc>
        <w:tc>
          <w:tcPr>
            <w:tcW w:type="dxa" w:w="2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Cuantitativa continua</w:t>
            </w:r>
          </w:p>
        </w:tc>
        <w:tc>
          <w:tcPr>
            <w:tcW w:type="dxa" w:w="20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Intervalo</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precipitation_sum</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Open-Meteo</w:t>
            </w:r>
          </w:p>
        </w:tc>
        <w:tc>
          <w:tcPr>
            <w:tcW w:type="dxa" w:w="2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Cuantitativa continua</w:t>
            </w:r>
          </w:p>
        </w:tc>
        <w:tc>
          <w:tcPr>
            <w:tcW w:type="dxa" w:w="20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Ratio</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weathercode</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Open-Meteo</w:t>
            </w:r>
          </w:p>
        </w:tc>
        <w:tc>
          <w:tcPr>
            <w:tcW w:type="dxa" w:w="2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Cualitativa ordinal</w:t>
            </w:r>
          </w:p>
        </w:tc>
        <w:tc>
          <w:tcPr>
            <w:tcW w:type="dxa" w:w="20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Ordinal</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event_category</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Ticketmaster</w:t>
            </w:r>
          </w:p>
        </w:tc>
        <w:tc>
          <w:tcPr>
            <w:tcW w:type="dxa" w:w="2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Cualitativa nominal</w:t>
            </w:r>
          </w:p>
        </w:tc>
        <w:tc>
          <w:tcPr>
            <w:tcW w:type="dxa" w:w="20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Nominal</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event_count_day</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Ticketmaster</w:t>
            </w:r>
          </w:p>
        </w:tc>
        <w:tc>
          <w:tcPr>
            <w:tcW w:type="dxa" w:w="26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Cuantitativa discreta</w:t>
            </w:r>
          </w:p>
        </w:tc>
        <w:tc>
          <w:tcPr>
            <w:tcW w:type="dxa" w:w="20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30" w:before="30"/>
            </w:pPr>
            <w:r>
              <w:rPr>
                <w:b w:val="false"/>
                <w:bCs w:val="false"/>
                <w:color w:val="000000"/>
                <w:sz w:val="20"/>
                <w:szCs w:val="20"/>
              </w:rPr>
              <w:t xml:space="preserve">Ratio</w:t>
            </w:r>
          </w:p>
        </w:tc>
      </w:tr>
    </w:tbl>
    <w:p>
      <w:pPr>
        <w:spacing w:after="120" w:before="60" w:line="300"/>
        <w:jc w:val="both"/>
      </w:pPr>
      <w:r>
        <w:rPr>
          <w:b w:val="false"/>
          <w:bCs w:val="false"/>
          <w:i w:val="false"/>
          <w:iCs w:val="false"/>
          <w:sz w:val="22"/>
          <w:szCs w:val="22"/>
        </w:rPr>
        <w:t xml:space="preserve"/>
      </w:r>
    </w:p>
    <w:p>
      <w:pPr>
        <w:pStyle w:val="Heading2"/>
        <w:spacing w:after="160" w:before="280"/>
      </w:pPr>
      <w:r>
        <w:rPr>
          <w:b/>
          <w:bCs/>
          <w:sz w:val="26"/>
          <w:szCs w:val="26"/>
        </w:rPr>
        <w:t xml:space="preserve">2.2 Modelo Relacional e Integración de Tablas</w:t>
      </w:r>
    </w:p>
    <w:p>
      <w:pPr>
        <w:spacing w:after="120" w:before="60" w:line="300"/>
        <w:jc w:val="both"/>
      </w:pPr>
      <w:r>
        <w:rPr>
          <w:b w:val="false"/>
          <w:bCs w:val="false"/>
          <w:i w:val="false"/>
          <w:iCs w:val="false"/>
          <w:sz w:val="22"/>
          <w:szCs w:val="22"/>
        </w:rPr>
        <w:t xml:space="preserve">La integración de los cuatro datasets se articula en torno a dos ejes de unión: el identificador del anuncio (listing_id) y la fecha (date). El esquema conceptual de relaciones es el siguiente:</w:t>
      </w:r>
    </w:p>
    <w:p>
      <w:pPr>
        <w:shd w:fill="F2F2F2" w:val="clear"/>
        <w:spacing w:after="120" w:before="120"/>
        <w:jc w:val="left"/>
      </w:pPr>
      <w:r>
        <w:rPr>
          <w:rFonts w:ascii="Consolas" w:cs="Consolas" w:eastAsia="Consolas" w:hAnsi="Consolas"/>
          <w:sz w:val="20"/>
          <w:szCs w:val="20"/>
        </w:rPr>
        <w:t xml:space="preserve">listings.csv (id, room_type, neighbourhood, accommodates, …)
    ↓  id = listing_id
calendar.csv (listing_id, date, available, minimum_nights, …)
    ↓  date = date
    +  clima_barcelona.csv (date, temperatura, precipitación, weathercode)
    +  eventos_barcelona.csv (date, n_eventos, categoría dominante)</w:t>
      </w:r>
    </w:p>
    <w:p>
      <w:pPr>
        <w:spacing w:after="120" w:before="60" w:line="300"/>
        <w:jc w:val="both"/>
      </w:pPr>
      <w:r>
        <w:rPr>
          <w:b w:val="false"/>
          <w:bCs w:val="false"/>
          <w:i w:val="false"/>
          <w:iCs w:val="false"/>
          <w:sz w:val="22"/>
          <w:szCs w:val="22"/>
        </w:rPr>
        <w:t xml:space="preserve">El proceso de integración se llevará a cabo en Python (pandas) mediante operaciones de JOIN. Primero se unirá calendar.csv con listings.csv a través de listing_id, obteniendo un dataset enriquecido con las características del alojamiento. A continuación, se incorporarán las variables climáticas y de eventos mediante un LEFT JOIN sobre la columna date, de manera que cada registro diario del calendario quede asociado con las condiciones meteorológicas y el número de eventos celebrados en Barcelona ese día.</w:t>
      </w:r>
    </w:p>
    <w:p>
      <w:pPr>
        <w:spacing w:after="120" w:before="60" w:line="300"/>
        <w:jc w:val="both"/>
      </w:pPr>
      <w:r>
        <w:rPr>
          <w:b w:val="false"/>
          <w:bCs w:val="false"/>
          <w:i w:val="false"/>
          <w:iCs w:val="false"/>
          <w:sz w:val="22"/>
          <w:szCs w:val="22"/>
        </w:rPr>
        <w:t xml:space="preserve">El dataset integrado final tendrá como unidad de análisis la combinación «listado-día», con una variable objetivo dicotómica (available) y un conjunto de variables predictoras de distinta naturaleza (características del alojamiento, temporalidad, clima y eventos).</w:t>
      </w:r>
    </w:p>
    <w:p>
      <w:pPr>
        <w:pStyle w:val="Heading2"/>
        <w:spacing w:after="160" w:before="280"/>
      </w:pPr>
      <w:r>
        <w:rPr>
          <w:b/>
          <w:bCs/>
          <w:sz w:val="26"/>
          <w:szCs w:val="26"/>
        </w:rPr>
        <w:t xml:space="preserve">2.3 Análisis Estadístico Previsto</w:t>
      </w:r>
    </w:p>
    <w:p>
      <w:pPr>
        <w:spacing w:after="120" w:before="60" w:line="300"/>
        <w:jc w:val="both"/>
      </w:pPr>
      <w:r>
        <w:rPr>
          <w:b w:val="false"/>
          <w:bCs w:val="false"/>
          <w:i w:val="false"/>
          <w:iCs w:val="false"/>
          <w:sz w:val="22"/>
          <w:szCs w:val="22"/>
        </w:rPr>
        <w:t xml:space="preserve">Durante la fase de comprensión y preparación de los datos, se aplicarán los siguientes tipos de análisis estadístico:</w:t>
      </w:r>
    </w:p>
    <w:p>
      <w:pPr>
        <w:spacing w:after="120" w:before="60" w:line="300"/>
        <w:jc w:val="both"/>
      </w:pPr>
      <w:r>
        <w:rPr>
          <w:b w:val="false"/>
          <w:bCs w:val="false"/>
          <w:i w:val="false"/>
          <w:iCs w:val="false"/>
          <w:sz w:val="22"/>
          <w:szCs w:val="22"/>
        </w:rPr>
        <w:t xml:space="preserve">Estadística descriptiva: se calcularán frecuencias y proporciones para la variable available (tasas de ocupación globales y por subgrupo), así como medidas de tendencia central (media, mediana) y de dispersión (desviación típica, percentiles) para las variables numéricas (availability_365, estimated_occupancy_l365d), tanto a nivel global como desagregado por barrio, tipo de alojamiento y mes del año. El objetivo es detectar asimetrías, valores atípicos (outliers) y patrones estacionales.</w:t>
      </w:r>
    </w:p>
    <w:p>
      <w:pPr>
        <w:spacing w:after="120" w:before="60" w:line="300"/>
        <w:jc w:val="both"/>
      </w:pPr>
      <w:r>
        <w:rPr>
          <w:b w:val="false"/>
          <w:bCs w:val="false"/>
          <w:i w:val="false"/>
          <w:iCs w:val="false"/>
          <w:sz w:val="22"/>
          <w:szCs w:val="22"/>
        </w:rPr>
        <w:t xml:space="preserve">Análisis de correlación: se utilizará el coeficiente de correlación de Pearson para cuantificar la relación lineal entre la tasa de ocupación diaria y las variables numéricas continuas (temperatura, número de eventos, precipitación). Para variables categóricas se empleará el coeficiente V de Cramér frente a la variable objetivo available.</w:t>
      </w:r>
    </w:p>
    <w:p>
      <w:pPr>
        <w:spacing w:after="120" w:before="60" w:line="300"/>
        <w:jc w:val="both"/>
      </w:pPr>
      <w:r>
        <w:rPr>
          <w:b w:val="false"/>
          <w:bCs w:val="false"/>
          <w:i w:val="false"/>
          <w:iCs w:val="false"/>
          <w:sz w:val="22"/>
          <w:szCs w:val="22"/>
        </w:rPr>
        <w:t xml:space="preserve">Prueba chi-cuadrado (χ²): se utilizará para evaluar la independencia estadística entre la variable objetivo available y las variables categóricas (room_type, neighbourhood_cleansed, weathercode). Sustituye al ANOVA empleado habitualmente con variables objetivo continuas, dado que aquí la variable respuesta es dicotómica.</w:t>
      </w:r>
    </w:p>
    <w:p>
      <w:pPr>
        <w:spacing w:after="120" w:before="60" w:line="300"/>
        <w:jc w:val="both"/>
      </w:pPr>
      <w:r>
        <w:rPr>
          <w:b w:val="false"/>
          <w:bCs w:val="false"/>
          <w:i w:val="false"/>
          <w:iCs w:val="false"/>
          <w:sz w:val="22"/>
          <w:szCs w:val="22"/>
        </w:rPr>
        <w:t xml:space="preserve">Análisis de series temporales: se visualizará la evolución de la tasa de ocupación diaria a lo largo del tiempo para identificar tendencias, estacionalidad (mayor ocupación en verano y durante puentes festivos) y picos asociados a eventos concretos.</w:t>
      </w:r>
    </w:p>
    <w:p>
      <w:pPr>
        <w:spacing w:after="120" w:before="60" w:line="300"/>
        <w:jc w:val="both"/>
      </w:pPr>
      <w:r>
        <w:rPr>
          <w:b w:val="false"/>
          <w:bCs w:val="false"/>
          <w:i w:val="false"/>
          <w:iCs w:val="false"/>
          <w:sz w:val="22"/>
          <w:szCs w:val="22"/>
        </w:rPr>
        <w:t xml:space="preserve">Detección de outliers: se aplicará el método del rango intercuartílico (IQR) para identificar anuncios con patrones anómalos de disponibilidad (ejemplo: apartamentos bloqueados todo el año, que distorsionarían el modelo). Los listings con una tasa de disponibilidad extrema serán marcados y, cuando proceda, excluidos del conjunto de entrenamiento.</w:t>
      </w:r>
    </w:p>
    <w:p>
      <w:r>
        <w:br w:type="page"/>
      </w:r>
    </w:p>
    <w:p>
      <w:pPr>
        <w:pStyle w:val="Heading1"/>
        <w:spacing w:after="200" w:before="360"/>
      </w:pPr>
      <w:r>
        <w:rPr>
          <w:b/>
          <w:bCs/>
          <w:sz w:val="32"/>
          <w:szCs w:val="32"/>
        </w:rPr>
        <w:t xml:space="preserve">3. Metodología de Minería de Datos</w:t>
      </w:r>
    </w:p>
    <w:p>
      <w:pPr>
        <w:pStyle w:val="Heading2"/>
        <w:spacing w:after="160" w:before="280"/>
      </w:pPr>
      <w:r>
        <w:rPr>
          <w:b/>
          <w:bCs/>
          <w:sz w:val="26"/>
          <w:szCs w:val="26"/>
        </w:rPr>
        <w:t xml:space="preserve">3.1 Justificación de la Metodología Seleccionada</w:t>
      </w:r>
    </w:p>
    <w:p>
      <w:pPr>
        <w:spacing w:after="120" w:before="60" w:line="300"/>
        <w:jc w:val="both"/>
      </w:pPr>
      <w:r>
        <w:rPr>
          <w:b w:val="false"/>
          <w:bCs w:val="false"/>
          <w:i w:val="false"/>
          <w:iCs w:val="false"/>
          <w:sz w:val="22"/>
          <w:szCs w:val="22"/>
        </w:rPr>
        <w:t xml:space="preserve">Para estructurar el proceso de análisis y modelado del presente proyecto se ha adoptado la metodología CRISP-DM (Cross-Industry Standard Process for Data Mining). Esta elección se justifica por varios motivos. En primer lugar, CRISP-DM es el estándar más extendido en la industria para proyectos de minería de datos y aprendizaje automático, con una trayectoria consolidada desde su publicación en 1999. En segundo lugar, su carácter cíclico e iterativo se adapta perfectamente a un proyecto en el que el entendimiento de los datos y el refinamiento del modelo se producen de forma progresiva a lo largo del curso; de hecho, el pivot desde la predicción de precios hacia la predicción de ocupación, realizado tras detectar la ausencia de la variable price en el scrape más reciente de Inside Airbnb, es un ejemplo concreto del valor de esta iteración.</w:t>
      </w:r>
    </w:p>
    <w:p>
      <w:pPr>
        <w:spacing w:after="120" w:before="60" w:line="300"/>
        <w:jc w:val="both"/>
      </w:pPr>
      <w:r>
        <w:rPr>
          <w:b w:val="false"/>
          <w:bCs w:val="false"/>
          <w:i w:val="false"/>
          <w:iCs w:val="false"/>
          <w:sz w:val="22"/>
          <w:szCs w:val="22"/>
        </w:rPr>
        <w:t xml:space="preserve">Frente a alternativas como SEMMA (Sample, Explore, Modify, Model, Assess) o KDD (Knowledge Discovery in Databases), CRISP-DM ofrece una fase de «Comprensión del Negocio» explícita que resulta especialmente valiosa en este proyecto, dado que el problema de predicción de demanda requiere entender las dinámicas del mercado de alquiler turístico antes de proceder al análisis técnico.</w:t>
      </w:r>
    </w:p>
    <w:p>
      <w:pPr>
        <w:pStyle w:val="Heading2"/>
        <w:spacing w:after="160" w:before="280"/>
      </w:pPr>
      <w:r>
        <w:rPr>
          <w:b/>
          <w:bCs/>
          <w:sz w:val="26"/>
          <w:szCs w:val="26"/>
        </w:rPr>
        <w:t xml:space="preserve">3.2 Fases del Proceso CRISP-DM Aplicadas al Proyecto</w:t>
      </w:r>
    </w:p>
    <w:p>
      <w:pPr>
        <w:pStyle w:val="Heading3"/>
        <w:spacing w:after="140" w:before="220"/>
      </w:pPr>
      <w:r>
        <w:rPr>
          <w:b/>
          <w:bCs/>
          <w:sz w:val="24"/>
          <w:szCs w:val="24"/>
        </w:rPr>
        <w:t xml:space="preserve">Fase 1: Comprensión del Negocio</w:t>
      </w:r>
    </w:p>
    <w:p>
      <w:pPr>
        <w:spacing w:after="120" w:before="60" w:line="300"/>
        <w:jc w:val="both"/>
      </w:pPr>
      <w:r>
        <w:rPr>
          <w:b w:val="false"/>
          <w:bCs w:val="false"/>
          <w:i w:val="false"/>
          <w:iCs w:val="false"/>
          <w:sz w:val="22"/>
          <w:szCs w:val="22"/>
        </w:rPr>
        <w:t xml:space="preserve">El objetivo de negocio es predecir la probabilidad de ocupación de un apartamento turístico en Barcelona para una fecha concreta, en función de sus características y del contexto temporal. Las preguntas clave que guían el proyecto son:</w:t>
      </w:r>
    </w:p>
    <w:p>
      <w:pPr>
        <w:pStyle w:val="ListParagraph"/>
        <w:numPr>
          <w:ilvl w:val="0"/>
          <w:numId w:val="2"/>
        </w:numPr>
        <w:spacing w:after="40" w:before="40" w:line="280"/>
      </w:pPr>
      <w:r>
        <w:rPr>
          <w:sz w:val="22"/>
          <w:szCs w:val="22"/>
        </w:rPr>
        <w:t xml:space="preserve">¿Qué variables tienen mayor influencia sobre la ocupación de un apartamento turístico en Barcelona?</w:t>
      </w:r>
    </w:p>
    <w:p>
      <w:pPr>
        <w:pStyle w:val="ListParagraph"/>
        <w:numPr>
          <w:ilvl w:val="0"/>
          <w:numId w:val="2"/>
        </w:numPr>
        <w:spacing w:after="40" w:before="40" w:line="280"/>
      </w:pPr>
      <w:r>
        <w:rPr>
          <w:sz w:val="22"/>
          <w:szCs w:val="22"/>
        </w:rPr>
        <w:t xml:space="preserve">¿Existe una correlación significativa entre la celebración de eventos y el incremento de la ocupación?</w:t>
      </w:r>
    </w:p>
    <w:p>
      <w:pPr>
        <w:pStyle w:val="ListParagraph"/>
        <w:numPr>
          <w:ilvl w:val="0"/>
          <w:numId w:val="2"/>
        </w:numPr>
        <w:spacing w:after="40" w:before="40" w:line="280"/>
      </w:pPr>
      <w:r>
        <w:rPr>
          <w:sz w:val="22"/>
          <w:szCs w:val="22"/>
        </w:rPr>
        <w:t xml:space="preserve">¿Cuál es el impacto de las condiciones climáticas sobre la demanda de alojamiento?</w:t>
      </w:r>
    </w:p>
    <w:p>
      <w:pPr>
        <w:pStyle w:val="ListParagraph"/>
        <w:numPr>
          <w:ilvl w:val="0"/>
          <w:numId w:val="2"/>
        </w:numPr>
        <w:spacing w:after="40" w:before="40" w:line="280"/>
      </w:pPr>
      <w:r>
        <w:rPr>
          <w:sz w:val="22"/>
          <w:szCs w:val="22"/>
        </w:rPr>
        <w:t xml:space="preserve">¿Qué barrios de Barcelona presentan mayor estacionalidad de ocupación a lo largo del año?</w:t>
      </w:r>
    </w:p>
    <w:p>
      <w:pPr>
        <w:spacing w:after="120" w:before="60" w:line="300"/>
        <w:jc w:val="both"/>
      </w:pPr>
      <w:r>
        <w:rPr>
          <w:b w:val="false"/>
          <w:bCs w:val="false"/>
          <w:i w:val="false"/>
          <w:iCs w:val="false"/>
          <w:sz w:val="22"/>
          <w:szCs w:val="22"/>
        </w:rPr>
        <w:t xml:space="preserve">El criterio de éxito del modelo se define como la capacidad de clasificar correctamente el estado de ocupación de un alojamiento-día con una métrica F1 superior a 0,75 y un área bajo la curva ROC (AUC) superior a 0,80 sobre el conjunto de validación.</w:t>
      </w:r>
    </w:p>
    <w:p>
      <w:pPr>
        <w:pStyle w:val="Heading3"/>
        <w:spacing w:after="140" w:before="220"/>
      </w:pPr>
      <w:r>
        <w:rPr>
          <w:b/>
          <w:bCs/>
          <w:sz w:val="24"/>
          <w:szCs w:val="24"/>
        </w:rPr>
        <w:t xml:space="preserve">Fase 2: Comprensión de los Datos</w:t>
      </w:r>
    </w:p>
    <w:p>
      <w:pPr>
        <w:spacing w:after="120" w:before="60" w:line="300"/>
        <w:jc w:val="both"/>
      </w:pPr>
      <w:r>
        <w:rPr>
          <w:b w:val="false"/>
          <w:bCs w:val="false"/>
          <w:i w:val="false"/>
          <w:iCs w:val="false"/>
          <w:sz w:val="22"/>
          <w:szCs w:val="22"/>
        </w:rPr>
        <w:t xml:space="preserve">Esta fase comprende la descarga, inspección y exploración inicial de los cuatro datasets descritos en la sección 1. Las actividades principales son: análisis de la estructura de cada fichero (número de filas, columnas y tipos de datos), identificación de valores nulos y duplicados, cálculo de estadísticos descriptivos básicos, y generación de visualizaciones exploratorias (distribución de la variable available, mapas de calor de ocupación por barrio, series temporales de disponibilidad).</w:t>
      </w:r>
    </w:p>
    <w:p>
      <w:pPr>
        <w:spacing w:after="120" w:before="60" w:line="300"/>
        <w:jc w:val="both"/>
      </w:pPr>
      <w:r>
        <w:rPr>
          <w:b w:val="false"/>
          <w:bCs w:val="false"/>
          <w:i w:val="false"/>
          <w:iCs w:val="false"/>
          <w:sz w:val="22"/>
          <w:szCs w:val="22"/>
        </w:rPr>
        <w:t xml:space="preserve">Esta fase se lleva a cabo principalmente con Python (pandas, matplotlib y seaborn) a través de notebooks de Jupyter. Un hallazgo relevante durante esta fase fue la confirmación de que la columna price ya no viene poblada en Inside Airbnb, lo que motivó la redefinición de la variable objetivo del proyecto.</w:t>
      </w:r>
    </w:p>
    <w:p>
      <w:pPr>
        <w:pStyle w:val="Heading3"/>
        <w:spacing w:after="140" w:before="220"/>
      </w:pPr>
      <w:r>
        <w:rPr>
          <w:b/>
          <w:bCs/>
          <w:sz w:val="24"/>
          <w:szCs w:val="24"/>
        </w:rPr>
        <w:t xml:space="preserve">Fase 3: Preparación de los Datos</w:t>
      </w:r>
    </w:p>
    <w:p>
      <w:pPr>
        <w:spacing w:after="120" w:before="60" w:line="300"/>
        <w:jc w:val="both"/>
      </w:pPr>
      <w:r>
        <w:rPr>
          <w:b w:val="false"/>
          <w:bCs w:val="false"/>
          <w:i w:val="false"/>
          <w:iCs w:val="false"/>
          <w:sz w:val="22"/>
          <w:szCs w:val="22"/>
        </w:rPr>
        <w:t xml:space="preserve">La preparación de los datos engloba todas las transformaciones necesarias para que el dataset integrado sea apto para el modelado. Las tareas previstas son:</w:t>
      </w:r>
    </w:p>
    <w:p>
      <w:pPr>
        <w:pStyle w:val="ListParagraph"/>
        <w:numPr>
          <w:ilvl w:val="0"/>
          <w:numId w:val="3"/>
        </w:numPr>
        <w:spacing w:after="40" w:before="40" w:line="280"/>
      </w:pPr>
      <w:r>
        <w:rPr>
          <w:sz w:val="22"/>
          <w:szCs w:val="22"/>
        </w:rPr>
        <w:t xml:space="preserve">Conversión de la variable available a formato binario (0 = disponible, 1 = ocupado), estableciendo así la variable objetivo de la clasificación.</w:t>
      </w:r>
    </w:p>
    <w:p>
      <w:pPr>
        <w:pStyle w:val="ListParagraph"/>
        <w:numPr>
          <w:ilvl w:val="0"/>
          <w:numId w:val="3"/>
        </w:numPr>
        <w:spacing w:after="40" w:before="40" w:line="280"/>
      </w:pPr>
      <w:r>
        <w:rPr>
          <w:sz w:val="22"/>
          <w:szCs w:val="22"/>
        </w:rPr>
        <w:t xml:space="preserve">Tratamiento de valores nulos: imputación por la mediana para variables numéricas y por la moda para variables categóricas.</w:t>
      </w:r>
    </w:p>
    <w:p>
      <w:pPr>
        <w:pStyle w:val="ListParagraph"/>
        <w:numPr>
          <w:ilvl w:val="0"/>
          <w:numId w:val="3"/>
        </w:numPr>
        <w:spacing w:after="40" w:before="40" w:line="280"/>
      </w:pPr>
      <w:r>
        <w:rPr>
          <w:sz w:val="22"/>
          <w:szCs w:val="22"/>
        </w:rPr>
        <w:t xml:space="preserve">Detección y tratamiento de outliers en las variables numéricas (availability_365, number_of_reviews) mediante el método IQR.</w:t>
      </w:r>
    </w:p>
    <w:p>
      <w:pPr>
        <w:pStyle w:val="ListParagraph"/>
        <w:numPr>
          <w:ilvl w:val="0"/>
          <w:numId w:val="3"/>
        </w:numPr>
        <w:spacing w:after="40" w:before="40" w:line="280"/>
      </w:pPr>
      <w:r>
        <w:rPr>
          <w:sz w:val="22"/>
          <w:szCs w:val="22"/>
        </w:rPr>
        <w:t xml:space="preserve">Codificación de variables categóricas: one-hot encoding para room_type y label encoding para neighbourhood_cleansed.</w:t>
      </w:r>
    </w:p>
    <w:p>
      <w:pPr>
        <w:pStyle w:val="ListParagraph"/>
        <w:numPr>
          <w:ilvl w:val="0"/>
          <w:numId w:val="3"/>
        </w:numPr>
        <w:spacing w:after="40" w:before="40" w:line="280"/>
      </w:pPr>
      <w:r>
        <w:rPr>
          <w:sz w:val="22"/>
          <w:szCs w:val="22"/>
        </w:rPr>
        <w:t xml:space="preserve">Extracción de características temporales a partir de la columna date: mes, día de la semana, si es fin de semana, si es temporada alta.</w:t>
      </w:r>
    </w:p>
    <w:p>
      <w:pPr>
        <w:pStyle w:val="ListParagraph"/>
        <w:numPr>
          <w:ilvl w:val="0"/>
          <w:numId w:val="3"/>
        </w:numPr>
        <w:spacing w:after="40" w:before="40" w:line="280"/>
      </w:pPr>
      <w:r>
        <w:rPr>
          <w:sz w:val="22"/>
          <w:szCs w:val="22"/>
        </w:rPr>
        <w:t xml:space="preserve">Agrupación de weathercode en categorías agregadas (soleado, nublado, lluvia, extremo) para reducir la dimensionalidad.</w:t>
      </w:r>
    </w:p>
    <w:p>
      <w:pPr>
        <w:pStyle w:val="ListParagraph"/>
        <w:numPr>
          <w:ilvl w:val="0"/>
          <w:numId w:val="3"/>
        </w:numPr>
        <w:spacing w:after="40" w:before="40" w:line="280"/>
      </w:pPr>
      <w:r>
        <w:rPr>
          <w:sz w:val="22"/>
          <w:szCs w:val="22"/>
        </w:rPr>
        <w:t xml:space="preserve">Agregación de la tabla de eventos por fecha (n_eventos_por_dia) para posibilitar el JOIN con el calendario.</w:t>
      </w:r>
    </w:p>
    <w:p>
      <w:pPr>
        <w:pStyle w:val="ListParagraph"/>
        <w:numPr>
          <w:ilvl w:val="0"/>
          <w:numId w:val="3"/>
        </w:numPr>
        <w:spacing w:after="40" w:before="40" w:line="280"/>
      </w:pPr>
      <w:r>
        <w:rPr>
          <w:sz w:val="22"/>
          <w:szCs w:val="22"/>
        </w:rPr>
        <w:t xml:space="preserve">Integración de los datasets mediante JOIN en Python y posterior carga en BigQuery para el análisis a escala.</w:t>
      </w:r>
    </w:p>
    <w:p>
      <w:pPr>
        <w:pStyle w:val="Heading3"/>
        <w:spacing w:after="140" w:before="220"/>
      </w:pPr>
      <w:r>
        <w:rPr>
          <w:b/>
          <w:bCs/>
          <w:sz w:val="24"/>
          <w:szCs w:val="24"/>
        </w:rPr>
        <w:t xml:space="preserve">Fase 4: Modelado</w:t>
      </w:r>
    </w:p>
    <w:p>
      <w:pPr>
        <w:spacing w:after="120" w:before="60" w:line="300"/>
        <w:jc w:val="both"/>
      </w:pPr>
      <w:r>
        <w:rPr>
          <w:b w:val="false"/>
          <w:bCs w:val="false"/>
          <w:i w:val="false"/>
          <w:iCs w:val="false"/>
          <w:sz w:val="22"/>
          <w:szCs w:val="22"/>
        </w:rPr>
        <w:t xml:space="preserve">El modelado se realizará íntegramente en Orange Data Mining, aprovechando su interfaz gráfica para construir y comparar distintos algoritmos de clasificación. Los modelos que se evaluarán son: Regresión Logística (como línea base), Árbol de Decisión, Random Forest, Gradient Boosting y Naive Bayes. La variable objetivo es el estado de ocupación diario del anuncio (available) y las variables predictoras son el conjunto de características del alojamiento, temporales, climáticas y de eventos definidas en la sección 2.</w:t>
      </w:r>
    </w:p>
    <w:p>
      <w:pPr>
        <w:spacing w:after="120" w:before="60" w:line="300"/>
        <w:jc w:val="both"/>
      </w:pPr>
      <w:r>
        <w:rPr>
          <w:b w:val="false"/>
          <w:bCs w:val="false"/>
          <w:i w:val="false"/>
          <w:iCs w:val="false"/>
          <w:sz w:val="22"/>
          <w:szCs w:val="22"/>
        </w:rPr>
        <w:t xml:space="preserve">De forma complementaria, se entrenará un modelo de regresión con la variable estimated_occupancy_l365d como objetivo a nivel anuncio, con la finalidad de identificar los apartamentos con mayor y menor demanda agregada.</w:t>
      </w:r>
    </w:p>
    <w:p>
      <w:pPr>
        <w:pStyle w:val="Heading3"/>
        <w:spacing w:after="140" w:before="220"/>
      </w:pPr>
      <w:r>
        <w:rPr>
          <w:b/>
          <w:bCs/>
          <w:sz w:val="24"/>
          <w:szCs w:val="24"/>
        </w:rPr>
        <w:t xml:space="preserve">Fase 5: Evaluación</w:t>
      </w:r>
    </w:p>
    <w:p>
      <w:pPr>
        <w:spacing w:after="120" w:before="60" w:line="300"/>
        <w:jc w:val="both"/>
      </w:pPr>
      <w:r>
        <w:rPr>
          <w:b w:val="false"/>
          <w:bCs w:val="false"/>
          <w:i w:val="false"/>
          <w:iCs w:val="false"/>
          <w:sz w:val="22"/>
          <w:szCs w:val="22"/>
        </w:rPr>
        <w:t xml:space="preserve">Los modelos de clasificación se evaluarán mediante validación cruzada de 10 pliegues (10-fold cross-validation) para garantizar la robustez de los resultados. Las métricas empleadas serán Accuracy, Precision, Recall, F1-score y el área bajo la curva ROC (AUC). Se seleccionará el modelo con mayor F1-score como modelo final, siempre que su complejidad sea interpretable. Se analizará adicionalmente la matriz de confusión para entender los errores del modelo (falsos positivos frente a falsos negativos).</w:t>
      </w:r>
    </w:p>
    <w:p>
      <w:pPr>
        <w:pStyle w:val="Heading3"/>
        <w:spacing w:after="140" w:before="220"/>
      </w:pPr>
      <w:r>
        <w:rPr>
          <w:b/>
          <w:bCs/>
          <w:sz w:val="24"/>
          <w:szCs w:val="24"/>
        </w:rPr>
        <w:t xml:space="preserve">Fase 6: Despliegue</w:t>
      </w:r>
    </w:p>
    <w:p>
      <w:pPr>
        <w:spacing w:after="120" w:before="60" w:line="300"/>
        <w:jc w:val="both"/>
      </w:pPr>
      <w:r>
        <w:rPr>
          <w:b w:val="false"/>
          <w:bCs w:val="false"/>
          <w:i w:val="false"/>
          <w:iCs w:val="false"/>
          <w:sz w:val="22"/>
          <w:szCs w:val="22"/>
        </w:rPr>
        <w:t xml:space="preserve">Los resultados del modelo se presentarán mediante un dashboard interactivo en Power BI que permitirá visualizar las predicciones de ocupación por barrio, tipo de alojamiento y período temporal. El informe final, el código fuente y la documentación del proyecto se publicarán en un repositorio de GitHub estructurado según las indicaciones del proyecto.</w:t>
      </w:r>
    </w:p>
    <w:p>
      <w:pPr>
        <w:pStyle w:val="Heading2"/>
        <w:spacing w:after="160" w:before="280"/>
      </w:pPr>
      <w:r>
        <w:rPr>
          <w:b/>
          <w:bCs/>
          <w:sz w:val="26"/>
          <w:szCs w:val="26"/>
        </w:rPr>
        <w:t xml:space="preserve">3.3 Stack Tecnológico Seleccionado</w:t>
      </w:r>
    </w:p>
    <w:p>
      <w:pPr>
        <w:spacing w:after="120" w:before="60" w:line="300"/>
        <w:jc w:val="both"/>
      </w:pPr>
      <w:r>
        <w:rPr>
          <w:b w:val="false"/>
          <w:bCs w:val="false"/>
          <w:i w:val="false"/>
          <w:iCs w:val="false"/>
          <w:sz w:val="22"/>
          <w:szCs w:val="22"/>
        </w:rPr>
        <w:t xml:space="preserve">En coherencia con la metodología descrita y con los requisitos del proyecto, se han seleccionado las siguientes herramientas y tecnologías:</w:t>
      </w:r>
    </w:p>
    <w:p>
      <w:pPr>
        <w:spacing w:after="120" w:before="60" w:line="300"/>
        <w:jc w:val="both"/>
      </w:pPr>
      <w:r>
        <w:rPr>
          <w:b w:val="false"/>
          <w:bCs w:val="false"/>
          <w:i w:val="false"/>
          <w:iCs w:val="false"/>
          <w:sz w:val="22"/>
          <w:szCs w:val="22"/>
        </w:rPr>
        <w:t xml:space="preserve">Python (pandas, matplotlib, seaborn): se utiliza para las fases de comprensión y preparación de los datos. Pandas ofrece estructuras de datos óptimas para la manipulación de ficheros CSV de gran tamaño (el calendar.csv supera los 6 millones de registros), mientras que matplotlib y seaborn proporcionan las visualizaciones exploratorias necesarias.</w:t>
      </w:r>
    </w:p>
    <w:p>
      <w:pPr>
        <w:spacing w:after="120" w:before="60" w:line="300"/>
        <w:jc w:val="both"/>
      </w:pPr>
      <w:r>
        <w:rPr>
          <w:b w:val="false"/>
          <w:bCs w:val="false"/>
          <w:i w:val="false"/>
          <w:iCs w:val="false"/>
          <w:sz w:val="22"/>
          <w:szCs w:val="22"/>
        </w:rPr>
        <w:t xml:space="preserve">BigQuery (SQL): se emplea como repositorio central del dataset integrado y como motor de consultas SQL para los análisis de agregación a escala (tasas de ocupación por barrio y mes, ocupación media por room_type, etc.). Su capacidad para procesar grandes volúmenes de datos sin infraestructura local lo convierte en la opción idónea para la capa de almacenamiento y consulta del proyecto.</w:t>
      </w:r>
    </w:p>
    <w:p>
      <w:pPr>
        <w:spacing w:after="120" w:before="60" w:line="300"/>
        <w:jc w:val="both"/>
      </w:pPr>
      <w:r>
        <w:rPr>
          <w:b w:val="false"/>
          <w:bCs w:val="false"/>
          <w:i w:val="false"/>
          <w:iCs w:val="false"/>
          <w:sz w:val="22"/>
          <w:szCs w:val="22"/>
        </w:rPr>
        <w:t xml:space="preserve">Orange Data Mining: se utiliza para la construcción visual del pipeline de aprendizaje automático. Su interfaz basada en flujos de trabajo permite comparar múltiples algoritmos de clasificación de forma intuitiva y reproducible, y generar las curvas de evaluación (ROC, Lift, matriz de confusión) necesarias para la selección del modelo final.</w:t>
      </w:r>
    </w:p>
    <w:p>
      <w:pPr>
        <w:spacing w:after="120" w:before="60" w:line="300"/>
        <w:jc w:val="both"/>
      </w:pPr>
      <w:r>
        <w:rPr>
          <w:b w:val="false"/>
          <w:bCs w:val="false"/>
          <w:i w:val="false"/>
          <w:iCs w:val="false"/>
          <w:sz w:val="22"/>
          <w:szCs w:val="22"/>
        </w:rPr>
        <w:t xml:space="preserve">Power BI: es la herramienta de visualización y presentación de resultados. Se creará un dashboard interactivo que permitirá filtrar las predicciones de ocupación por barrio, tipo de alojamiento y rango de fechas, facilitando la toma de decisiones a los propietarios.</w:t>
      </w:r>
    </w:p>
    <w:p>
      <w:r>
        <w:br w:type="page"/>
      </w:r>
    </w:p>
    <w:p>
      <w:pPr>
        <w:pStyle w:val="Heading1"/>
        <w:spacing w:after="200" w:before="360"/>
      </w:pPr>
      <w:r>
        <w:rPr>
          <w:b/>
          <w:bCs/>
          <w:sz w:val="32"/>
          <w:szCs w:val="32"/>
        </w:rPr>
        <w:t xml:space="preserve">Bibliografía y Fuentes de Datos</w:t>
      </w:r>
    </w:p>
    <w:p>
      <w:pPr>
        <w:spacing w:after="120" w:before="60" w:line="300"/>
        <w:jc w:val="both"/>
      </w:pPr>
      <w:r>
        <w:rPr>
          <w:b w:val="false"/>
          <w:bCs w:val="false"/>
          <w:i w:val="false"/>
          <w:iCs w:val="false"/>
          <w:sz w:val="22"/>
          <w:szCs w:val="22"/>
        </w:rPr>
        <w:t xml:space="preserve">Inside Airbnb. (2025). Barcelona Listings &amp; Calendar Dataset — scrape del 14 de diciembre de 2025. Recuperado de http://insideairbnb.com/barcelona [Licencia: ODbL]</w:t>
      </w:r>
    </w:p>
    <w:p>
      <w:pPr>
        <w:spacing w:after="120" w:before="60" w:line="300"/>
        <w:jc w:val="both"/>
      </w:pPr>
      <w:r>
        <w:rPr>
          <w:b w:val="false"/>
          <w:bCs w:val="false"/>
          <w:i w:val="false"/>
          <w:iCs w:val="false"/>
          <w:sz w:val="22"/>
          <w:szCs w:val="22"/>
        </w:rPr>
        <w:t xml:space="preserve">Open-Meteo. (2025). Historical Weather API Documentation. Recuperado de https://open-meteo.com/en/docs/historical-weather-api [Licencia: CC BY 4.0]</w:t>
      </w:r>
    </w:p>
    <w:p>
      <w:pPr>
        <w:spacing w:after="120" w:before="60" w:line="300"/>
        <w:jc w:val="both"/>
      </w:pPr>
      <w:r>
        <w:rPr>
          <w:b w:val="false"/>
          <w:bCs w:val="false"/>
          <w:i w:val="false"/>
          <w:iCs w:val="false"/>
          <w:sz w:val="22"/>
          <w:szCs w:val="22"/>
        </w:rPr>
        <w:t xml:space="preserve">Ticketmaster. (2025). Developer API — Discovery API v2. Recuperado de https://developer.ticketmaster.com/products-and-docs/apis/discovery-api/v2/</w:t>
      </w:r>
    </w:p>
    <w:p>
      <w:pPr>
        <w:spacing w:after="120" w:before="60" w:line="300"/>
        <w:jc w:val="both"/>
      </w:pPr>
      <w:r>
        <w:rPr>
          <w:b w:val="false"/>
          <w:bCs w:val="false"/>
          <w:i w:val="false"/>
          <w:iCs w:val="false"/>
          <w:sz w:val="22"/>
          <w:szCs w:val="22"/>
        </w:rPr>
        <w:t xml:space="preserve">Wirth, R., &amp; Hipp, J. (2000). CRISP-DM: Towards a standard process model for data mining. Proceedings of the 4th International Conference on the Practical Applications of Knowledge Discovery and Data Mining, 1, 29-39.</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Página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68" w:sz="6" w:space="6"/>
      </w:pBdr>
      <w:jc w:val="right"/>
    </w:pPr>
    <w:r>
      <w:rPr>
        <w:i/>
        <w:iCs/>
        <w:color w:val="555555"/>
        <w:sz w:val="20"/>
        <w:szCs w:val="20"/>
      </w:rPr>
      <w:t xml:space="preserve">Proyecto Final Big Data e IA | IFP España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A68"/>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3A68"/>
      <w:sz w:val="26"/>
      <w:szCs w:val="26"/>
    </w:rPr>
  </w:style>
  <w:style w:type="paragraph" w:styleId="Heading3">
    <w:name w:val="Heading 3"/>
    <w:basedOn w:val="Normal"/>
    <w:next w:val="Normal"/>
    <w:qFormat/>
    <w:pPr>
      <w:spacing w:after="140" w:before="2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Predictor de Ocupación para Apartamentos Turísticos en Barcelona</dc:title>
  <dc:creator>Dasbits</dc:creator>
  <cp:lastModifiedBy>Un-named</cp:lastModifiedBy>
  <cp:revision>1</cp:revision>
  <dcterms:created xsi:type="dcterms:W3CDTF">2026-04-21T21:48:07.796Z</dcterms:created>
  <dcterms:modified xsi:type="dcterms:W3CDTF">2026-04-21T21:48:07.799Z</dcterms:modified>
</cp:coreProperties>
</file>

<file path=docProps/custom.xml><?xml version="1.0" encoding="utf-8"?>
<Properties xmlns="http://schemas.openxmlformats.org/officeDocument/2006/custom-properties" xmlns:vt="http://schemas.openxmlformats.org/officeDocument/2006/docPropsVTypes"/>
</file>