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66A" w:rsidRPr="0056166A" w:rsidRDefault="000C59C0" w:rsidP="006428A5">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ВЪЗМОЖНОСТИ ЗА ПОВИШАВАНЕ НА ЕФЕКТИВНОСТТА НА ТРАНСГРАНИЧНОТО СЪТРУДНИЧЕСТВО В СРЕДИЗЕМНОМОРСКИЯ РЕГИОН В КОНТЕКСТА НА ПРЕРАЗГЛЕДАНАТА ЕВРОПЕЙСКА ПОЛИТИКА НА СЪСЕДСТВО</w:t>
      </w:r>
    </w:p>
    <w:p w:rsidR="006428A5" w:rsidRDefault="006428A5" w:rsidP="006428A5">
      <w:pPr>
        <w:spacing w:after="0" w:line="276" w:lineRule="auto"/>
        <w:jc w:val="center"/>
        <w:rPr>
          <w:rFonts w:ascii="Times New Roman" w:hAnsi="Times New Roman" w:cs="Times New Roman"/>
          <w:b/>
          <w:sz w:val="24"/>
          <w:szCs w:val="24"/>
        </w:rPr>
      </w:pPr>
    </w:p>
    <w:p w:rsidR="00992726" w:rsidRPr="006428A5" w:rsidRDefault="00283EEE" w:rsidP="006428A5">
      <w:pPr>
        <w:spacing w:after="0" w:line="276" w:lineRule="auto"/>
        <w:jc w:val="right"/>
        <w:rPr>
          <w:rFonts w:ascii="Times New Roman" w:hAnsi="Times New Roman" w:cs="Times New Roman"/>
          <w:sz w:val="24"/>
          <w:szCs w:val="24"/>
        </w:rPr>
      </w:pPr>
      <w:r w:rsidRPr="006428A5">
        <w:rPr>
          <w:rFonts w:ascii="Times New Roman" w:hAnsi="Times New Roman" w:cs="Times New Roman"/>
          <w:sz w:val="24"/>
          <w:szCs w:val="24"/>
        </w:rPr>
        <w:t xml:space="preserve">Докторант </w:t>
      </w:r>
      <w:r w:rsidR="005A6CB3" w:rsidRPr="006428A5">
        <w:rPr>
          <w:rFonts w:ascii="Times New Roman" w:hAnsi="Times New Roman" w:cs="Times New Roman"/>
          <w:sz w:val="24"/>
          <w:szCs w:val="24"/>
        </w:rPr>
        <w:t xml:space="preserve">Дафинка </w:t>
      </w:r>
      <w:r w:rsidR="00D54E6D">
        <w:rPr>
          <w:rFonts w:ascii="Times New Roman" w:hAnsi="Times New Roman" w:cs="Times New Roman"/>
          <w:sz w:val="24"/>
          <w:szCs w:val="24"/>
        </w:rPr>
        <w:t>СИДОВА,</w:t>
      </w:r>
      <w:r w:rsidR="005A6CB3" w:rsidRPr="006428A5">
        <w:rPr>
          <w:rFonts w:ascii="Times New Roman" w:hAnsi="Times New Roman" w:cs="Times New Roman"/>
          <w:sz w:val="24"/>
          <w:szCs w:val="24"/>
        </w:rPr>
        <w:t xml:space="preserve"> </w:t>
      </w:r>
    </w:p>
    <w:p w:rsidR="005A6CB3" w:rsidRPr="006428A5" w:rsidRDefault="005A6CB3" w:rsidP="006428A5">
      <w:pPr>
        <w:spacing w:after="0" w:line="276" w:lineRule="auto"/>
        <w:jc w:val="right"/>
        <w:rPr>
          <w:rFonts w:ascii="Times New Roman" w:hAnsi="Times New Roman" w:cs="Times New Roman"/>
          <w:sz w:val="24"/>
          <w:szCs w:val="24"/>
        </w:rPr>
      </w:pPr>
      <w:r w:rsidRPr="006428A5">
        <w:rPr>
          <w:rFonts w:ascii="Times New Roman" w:hAnsi="Times New Roman" w:cs="Times New Roman"/>
          <w:sz w:val="24"/>
          <w:szCs w:val="24"/>
        </w:rPr>
        <w:t>Нов български университет</w:t>
      </w:r>
    </w:p>
    <w:p w:rsidR="005A6CB3" w:rsidRDefault="005A6CB3" w:rsidP="006428A5">
      <w:pPr>
        <w:spacing w:after="0" w:line="276" w:lineRule="auto"/>
        <w:ind w:firstLine="706"/>
        <w:jc w:val="both"/>
        <w:rPr>
          <w:rFonts w:ascii="Times New Roman" w:hAnsi="Times New Roman" w:cs="Times New Roman"/>
          <w:b/>
          <w:sz w:val="24"/>
          <w:szCs w:val="24"/>
        </w:rPr>
      </w:pPr>
    </w:p>
    <w:p w:rsidR="00FA0368" w:rsidRPr="00FF3019" w:rsidRDefault="004B76A1" w:rsidP="006428A5">
      <w:pPr>
        <w:spacing w:after="0" w:line="276" w:lineRule="auto"/>
        <w:ind w:firstLine="706"/>
        <w:jc w:val="both"/>
        <w:rPr>
          <w:rFonts w:ascii="Times New Roman" w:hAnsi="Times New Roman" w:cs="Times New Roman"/>
          <w:sz w:val="24"/>
          <w:szCs w:val="24"/>
        </w:rPr>
      </w:pPr>
      <w:r w:rsidRPr="00FF3019">
        <w:rPr>
          <w:rFonts w:ascii="Times New Roman" w:hAnsi="Times New Roman" w:cs="Times New Roman"/>
          <w:b/>
          <w:i/>
          <w:sz w:val="24"/>
          <w:szCs w:val="24"/>
        </w:rPr>
        <w:t>Резюме</w:t>
      </w:r>
      <w:r w:rsidR="005A6CB3" w:rsidRPr="00FF3019">
        <w:rPr>
          <w:rFonts w:ascii="Times New Roman" w:hAnsi="Times New Roman" w:cs="Times New Roman"/>
          <w:b/>
          <w:i/>
          <w:sz w:val="24"/>
          <w:szCs w:val="24"/>
        </w:rPr>
        <w:t>:</w:t>
      </w:r>
      <w:r w:rsidR="005A6CB3" w:rsidRPr="00FF3019">
        <w:rPr>
          <w:rFonts w:ascii="Times New Roman" w:hAnsi="Times New Roman" w:cs="Times New Roman"/>
          <w:b/>
          <w:sz w:val="24"/>
          <w:szCs w:val="24"/>
          <w:lang w:val="en-US"/>
        </w:rPr>
        <w:t xml:space="preserve"> </w:t>
      </w:r>
      <w:r w:rsidR="00E33015" w:rsidRPr="00FF3019">
        <w:rPr>
          <w:rFonts w:ascii="Times New Roman" w:hAnsi="Times New Roman" w:cs="Times New Roman"/>
          <w:sz w:val="24"/>
          <w:szCs w:val="24"/>
        </w:rPr>
        <w:t>Изследването притежава два основни акцента. Първият е сравнителният анализ на трансграничното сътрудничество в Средиземноморския регион за програмните периоди 2000-2006 г. и 2007-2013 г., по зададени критерии за ефективност</w:t>
      </w:r>
      <w:r w:rsidR="00175DC1" w:rsidRPr="00FF3019">
        <w:rPr>
          <w:rFonts w:ascii="Times New Roman" w:hAnsi="Times New Roman" w:cs="Times New Roman"/>
          <w:sz w:val="24"/>
          <w:szCs w:val="24"/>
        </w:rPr>
        <w:t xml:space="preserve"> – брой на реализираните трансгранични проекти и усвоените средства, съотнесени към политическата, икономическата, социалната, екологичната и културната сигурност</w:t>
      </w:r>
      <w:r w:rsidR="00E33015" w:rsidRPr="00FF3019">
        <w:rPr>
          <w:rFonts w:ascii="Times New Roman" w:hAnsi="Times New Roman" w:cs="Times New Roman"/>
          <w:sz w:val="24"/>
          <w:szCs w:val="24"/>
        </w:rPr>
        <w:t xml:space="preserve">. Вторият е извеждането на възможности за повишаване на ефективността на ТГС по отношение на аспектите на „широката“ сигурност </w:t>
      </w:r>
      <w:r w:rsidR="00175DC1" w:rsidRPr="00FF3019">
        <w:rPr>
          <w:rFonts w:ascii="Times New Roman" w:hAnsi="Times New Roman" w:cs="Times New Roman"/>
          <w:sz w:val="24"/>
          <w:szCs w:val="24"/>
        </w:rPr>
        <w:t xml:space="preserve">в контекста на преразгледаната Европейска политика на съседство, </w:t>
      </w:r>
      <w:r w:rsidR="00E33015" w:rsidRPr="00FF3019">
        <w:rPr>
          <w:rFonts w:ascii="Times New Roman" w:hAnsi="Times New Roman" w:cs="Times New Roman"/>
          <w:sz w:val="24"/>
          <w:szCs w:val="24"/>
        </w:rPr>
        <w:t>чрез прила</w:t>
      </w:r>
      <w:r w:rsidR="00175DC1" w:rsidRPr="00FF3019">
        <w:rPr>
          <w:rFonts w:ascii="Times New Roman" w:hAnsi="Times New Roman" w:cs="Times New Roman"/>
          <w:sz w:val="24"/>
          <w:szCs w:val="24"/>
        </w:rPr>
        <w:t>гане на статистически методи.</w:t>
      </w:r>
    </w:p>
    <w:p w:rsidR="005A6CB3" w:rsidRPr="00FF3019" w:rsidRDefault="005A6CB3" w:rsidP="006428A5">
      <w:pPr>
        <w:spacing w:after="0" w:line="276" w:lineRule="auto"/>
        <w:ind w:firstLine="706"/>
        <w:jc w:val="both"/>
        <w:rPr>
          <w:rFonts w:ascii="Times New Roman" w:hAnsi="Times New Roman" w:cs="Times New Roman"/>
          <w:sz w:val="24"/>
          <w:szCs w:val="24"/>
          <w:lang w:val="en-US"/>
        </w:rPr>
      </w:pPr>
      <w:r w:rsidRPr="00FF3019">
        <w:rPr>
          <w:rFonts w:ascii="Times New Roman" w:hAnsi="Times New Roman" w:cs="Times New Roman"/>
          <w:b/>
          <w:i/>
          <w:sz w:val="24"/>
          <w:szCs w:val="24"/>
        </w:rPr>
        <w:t>Ключови думи:</w:t>
      </w:r>
      <w:r w:rsidRPr="00FF3019">
        <w:rPr>
          <w:rFonts w:ascii="Times New Roman" w:hAnsi="Times New Roman" w:cs="Times New Roman"/>
          <w:b/>
          <w:sz w:val="24"/>
          <w:szCs w:val="24"/>
        </w:rPr>
        <w:t xml:space="preserve"> </w:t>
      </w:r>
      <w:r w:rsidR="007839EF" w:rsidRPr="00FF3019">
        <w:rPr>
          <w:rFonts w:ascii="Times New Roman" w:hAnsi="Times New Roman" w:cs="Times New Roman"/>
          <w:sz w:val="24"/>
          <w:szCs w:val="24"/>
        </w:rPr>
        <w:t xml:space="preserve">трансгранично сътрудничество, </w:t>
      </w:r>
      <w:r w:rsidR="00E33015" w:rsidRPr="00FF3019">
        <w:rPr>
          <w:rFonts w:ascii="Times New Roman" w:hAnsi="Times New Roman" w:cs="Times New Roman"/>
          <w:sz w:val="24"/>
          <w:szCs w:val="24"/>
        </w:rPr>
        <w:t xml:space="preserve">„широка“ </w:t>
      </w:r>
      <w:r w:rsidR="007839EF" w:rsidRPr="00FF3019">
        <w:rPr>
          <w:rFonts w:ascii="Times New Roman" w:hAnsi="Times New Roman" w:cs="Times New Roman"/>
          <w:sz w:val="24"/>
          <w:szCs w:val="24"/>
        </w:rPr>
        <w:t>сигурност, ефективност</w:t>
      </w:r>
      <w:r w:rsidR="00E33015" w:rsidRPr="00FF3019">
        <w:rPr>
          <w:rFonts w:ascii="Times New Roman" w:hAnsi="Times New Roman" w:cs="Times New Roman"/>
          <w:sz w:val="24"/>
          <w:szCs w:val="24"/>
        </w:rPr>
        <w:t>, Европейска политика на съседство</w:t>
      </w:r>
      <w:r w:rsidR="00175DC1" w:rsidRPr="00FF3019">
        <w:rPr>
          <w:rFonts w:ascii="Times New Roman" w:hAnsi="Times New Roman" w:cs="Times New Roman"/>
          <w:sz w:val="24"/>
          <w:szCs w:val="24"/>
        </w:rPr>
        <w:t xml:space="preserve">, </w:t>
      </w:r>
      <w:proofErr w:type="spellStart"/>
      <w:r w:rsidR="00175DC1" w:rsidRPr="00FF3019">
        <w:rPr>
          <w:rFonts w:ascii="Times New Roman" w:hAnsi="Times New Roman" w:cs="Times New Roman"/>
          <w:sz w:val="24"/>
          <w:szCs w:val="24"/>
        </w:rPr>
        <w:t>корелационна</w:t>
      </w:r>
      <w:proofErr w:type="spellEnd"/>
      <w:r w:rsidR="00175DC1" w:rsidRPr="00FF3019">
        <w:rPr>
          <w:rFonts w:ascii="Times New Roman" w:hAnsi="Times New Roman" w:cs="Times New Roman"/>
          <w:sz w:val="24"/>
          <w:szCs w:val="24"/>
        </w:rPr>
        <w:t xml:space="preserve"> връзка</w:t>
      </w:r>
      <w:r w:rsidR="00FE2B9F" w:rsidRPr="00FF3019">
        <w:rPr>
          <w:rFonts w:ascii="Times New Roman" w:hAnsi="Times New Roman" w:cs="Times New Roman"/>
          <w:sz w:val="24"/>
          <w:szCs w:val="24"/>
          <w:lang w:val="en-US"/>
        </w:rPr>
        <w:t>;</w:t>
      </w:r>
    </w:p>
    <w:p w:rsidR="005A6CB3" w:rsidRPr="00FF3019" w:rsidRDefault="005A6CB3" w:rsidP="006428A5">
      <w:pPr>
        <w:spacing w:after="0" w:line="276" w:lineRule="auto"/>
        <w:ind w:firstLine="706"/>
        <w:jc w:val="both"/>
        <w:rPr>
          <w:rFonts w:ascii="Times New Roman" w:hAnsi="Times New Roman" w:cs="Times New Roman"/>
          <w:b/>
          <w:sz w:val="24"/>
          <w:szCs w:val="24"/>
        </w:rPr>
      </w:pPr>
    </w:p>
    <w:p w:rsidR="005A6CB3" w:rsidRPr="00805CFF" w:rsidRDefault="00805CFF" w:rsidP="006428A5">
      <w:pPr>
        <w:pStyle w:val="ae"/>
        <w:numPr>
          <w:ilvl w:val="0"/>
          <w:numId w:val="6"/>
        </w:numPr>
        <w:spacing w:after="0" w:line="276" w:lineRule="auto"/>
        <w:jc w:val="both"/>
        <w:rPr>
          <w:rFonts w:ascii="Times New Roman" w:hAnsi="Times New Roman" w:cs="Times New Roman"/>
          <w:b/>
          <w:sz w:val="24"/>
          <w:szCs w:val="24"/>
          <w:lang w:val="en-US"/>
        </w:rPr>
      </w:pPr>
      <w:r w:rsidRPr="00805CFF">
        <w:rPr>
          <w:rFonts w:ascii="Times New Roman" w:hAnsi="Times New Roman" w:cs="Times New Roman"/>
          <w:b/>
          <w:sz w:val="24"/>
          <w:szCs w:val="24"/>
        </w:rPr>
        <w:t>Основни аспекти на изследването</w:t>
      </w:r>
    </w:p>
    <w:p w:rsidR="00463029" w:rsidRPr="002D3E91" w:rsidRDefault="003C59F3" w:rsidP="006428A5">
      <w:pPr>
        <w:spacing w:after="0" w:line="276"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Актуалността на темата на доклада се обуславя от два факта. Първият е свързан приоритетното място и ключовата роля, която заема </w:t>
      </w:r>
      <w:r w:rsidRPr="003C59F3">
        <w:rPr>
          <w:rFonts w:ascii="Times New Roman" w:hAnsi="Times New Roman" w:cs="Times New Roman"/>
          <w:sz w:val="24"/>
          <w:szCs w:val="24"/>
        </w:rPr>
        <w:t>трансграничното сътрудничество (ТГС)</w:t>
      </w:r>
      <w:r w:rsidR="001D5463">
        <w:rPr>
          <w:rFonts w:ascii="Times New Roman" w:hAnsi="Times New Roman" w:cs="Times New Roman"/>
          <w:sz w:val="24"/>
          <w:szCs w:val="24"/>
        </w:rPr>
        <w:t xml:space="preserve">. </w:t>
      </w:r>
      <w:r w:rsidR="002D3E91">
        <w:rPr>
          <w:rFonts w:ascii="Times New Roman" w:hAnsi="Times New Roman" w:cs="Times New Roman"/>
          <w:sz w:val="24"/>
          <w:szCs w:val="24"/>
        </w:rPr>
        <w:t>Като</w:t>
      </w:r>
      <w:r w:rsidRPr="002D3E91">
        <w:rPr>
          <w:rFonts w:ascii="Times New Roman" w:hAnsi="Times New Roman" w:cs="Times New Roman"/>
          <w:sz w:val="24"/>
          <w:szCs w:val="24"/>
        </w:rPr>
        <w:t xml:space="preserve"> инструмент на Европейския съюз (ЕС) </w:t>
      </w:r>
      <w:r w:rsidR="001D5463" w:rsidRPr="002D3E91">
        <w:rPr>
          <w:rFonts w:ascii="Times New Roman" w:hAnsi="Times New Roman" w:cs="Times New Roman"/>
          <w:sz w:val="24"/>
          <w:szCs w:val="24"/>
        </w:rPr>
        <w:t>за икономическо, социално и териториално сбли</w:t>
      </w:r>
      <w:r w:rsidR="007F29AA" w:rsidRPr="002D3E91">
        <w:rPr>
          <w:rFonts w:ascii="Times New Roman" w:hAnsi="Times New Roman" w:cs="Times New Roman"/>
          <w:sz w:val="24"/>
          <w:szCs w:val="24"/>
        </w:rPr>
        <w:t xml:space="preserve">жаване </w:t>
      </w:r>
      <w:r w:rsidR="002D3E91" w:rsidRPr="002D3E91">
        <w:rPr>
          <w:rFonts w:ascii="Times New Roman" w:hAnsi="Times New Roman" w:cs="Times New Roman"/>
          <w:sz w:val="24"/>
          <w:szCs w:val="24"/>
        </w:rPr>
        <w:t xml:space="preserve">ТГС е доказало своята ефективност и добавена стойност. </w:t>
      </w:r>
      <w:r w:rsidRPr="002D3E91">
        <w:rPr>
          <w:rFonts w:ascii="Times New Roman" w:hAnsi="Times New Roman" w:cs="Times New Roman"/>
          <w:sz w:val="24"/>
          <w:szCs w:val="24"/>
        </w:rPr>
        <w:t>Втората причина за избора на конкретната тема е преразглеждането на Европейската политика на съседство (ЕПС) на 18 ноември 2015 г.</w:t>
      </w:r>
      <w:r w:rsidR="0099188F">
        <w:rPr>
          <w:rFonts w:ascii="Times New Roman" w:hAnsi="Times New Roman" w:cs="Times New Roman"/>
          <w:sz w:val="24"/>
          <w:szCs w:val="24"/>
        </w:rPr>
        <w:t>, чийто фокус е насочен към сътрудничество със съседните на ЕС държави като средство, допринасящо за стабилност и сигурност.</w:t>
      </w:r>
    </w:p>
    <w:p w:rsidR="00EE65CF" w:rsidRDefault="00EE65CF" w:rsidP="006428A5">
      <w:pPr>
        <w:spacing w:after="0" w:line="276" w:lineRule="auto"/>
        <w:ind w:firstLine="706"/>
        <w:jc w:val="both"/>
        <w:rPr>
          <w:rFonts w:ascii="Times New Roman" w:hAnsi="Times New Roman" w:cs="Times New Roman"/>
          <w:sz w:val="24"/>
          <w:szCs w:val="24"/>
        </w:rPr>
      </w:pPr>
      <w:r>
        <w:rPr>
          <w:rFonts w:ascii="Times New Roman" w:hAnsi="Times New Roman" w:cs="Times New Roman"/>
          <w:i/>
          <w:sz w:val="24"/>
          <w:szCs w:val="24"/>
        </w:rPr>
        <w:t xml:space="preserve">Тезата, </w:t>
      </w:r>
      <w:r>
        <w:rPr>
          <w:rFonts w:ascii="Times New Roman" w:hAnsi="Times New Roman" w:cs="Times New Roman"/>
          <w:sz w:val="24"/>
          <w:szCs w:val="24"/>
        </w:rPr>
        <w:t>която се защитава е, че преразгледаната ЕПС предлага широк кръг от възможности за реализиране на ТГС</w:t>
      </w:r>
      <w:r w:rsidR="008B609D">
        <w:rPr>
          <w:rFonts w:ascii="Times New Roman" w:hAnsi="Times New Roman" w:cs="Times New Roman"/>
          <w:sz w:val="24"/>
          <w:szCs w:val="24"/>
        </w:rPr>
        <w:t>, което е ефективен инструмент за повишаване на „широката“ сигурност. В процеса на доказване на тезата се взима предвид един от основните принципи на ЕПС – принципът на диференциация</w:t>
      </w:r>
      <w:r w:rsidR="00E22237">
        <w:rPr>
          <w:rStyle w:val="a7"/>
          <w:rFonts w:ascii="Times New Roman" w:hAnsi="Times New Roman" w:cs="Times New Roman"/>
          <w:sz w:val="24"/>
          <w:szCs w:val="24"/>
        </w:rPr>
        <w:footnoteReference w:id="1"/>
      </w:r>
      <w:r w:rsidR="008B609D">
        <w:rPr>
          <w:rFonts w:ascii="Times New Roman" w:hAnsi="Times New Roman" w:cs="Times New Roman"/>
          <w:sz w:val="24"/>
          <w:szCs w:val="24"/>
        </w:rPr>
        <w:t xml:space="preserve">. </w:t>
      </w:r>
      <w:r w:rsidR="00D719A1" w:rsidRPr="00681558">
        <w:rPr>
          <w:rFonts w:ascii="Times New Roman" w:hAnsi="Times New Roman" w:cs="Times New Roman"/>
          <w:i/>
          <w:sz w:val="24"/>
          <w:szCs w:val="24"/>
        </w:rPr>
        <w:t xml:space="preserve">Обект на изследването </w:t>
      </w:r>
      <w:r w:rsidR="00F165D6">
        <w:rPr>
          <w:rFonts w:ascii="Times New Roman" w:hAnsi="Times New Roman" w:cs="Times New Roman"/>
          <w:sz w:val="24"/>
          <w:szCs w:val="24"/>
        </w:rPr>
        <w:t xml:space="preserve">е ТГС между </w:t>
      </w:r>
      <w:r w:rsidR="003C59F3">
        <w:rPr>
          <w:rFonts w:ascii="Times New Roman" w:hAnsi="Times New Roman" w:cs="Times New Roman"/>
          <w:sz w:val="24"/>
          <w:szCs w:val="24"/>
        </w:rPr>
        <w:t xml:space="preserve">ЕС </w:t>
      </w:r>
      <w:r w:rsidR="00F165D6">
        <w:rPr>
          <w:rFonts w:ascii="Times New Roman" w:hAnsi="Times New Roman" w:cs="Times New Roman"/>
          <w:sz w:val="24"/>
          <w:szCs w:val="24"/>
        </w:rPr>
        <w:t>и съседите му от Близкия изток и Северна Африка</w:t>
      </w:r>
      <w:r w:rsidR="00D719A1">
        <w:rPr>
          <w:rFonts w:ascii="Times New Roman" w:hAnsi="Times New Roman" w:cs="Times New Roman"/>
          <w:sz w:val="24"/>
          <w:szCs w:val="24"/>
        </w:rPr>
        <w:t xml:space="preserve">, </w:t>
      </w:r>
      <w:r w:rsidR="009F67E5">
        <w:rPr>
          <w:rFonts w:ascii="Times New Roman" w:hAnsi="Times New Roman" w:cs="Times New Roman"/>
          <w:sz w:val="24"/>
          <w:szCs w:val="24"/>
        </w:rPr>
        <w:t xml:space="preserve">а </w:t>
      </w:r>
      <w:r w:rsidR="009F67E5" w:rsidRPr="00681558">
        <w:rPr>
          <w:rFonts w:ascii="Times New Roman" w:hAnsi="Times New Roman" w:cs="Times New Roman"/>
          <w:i/>
          <w:sz w:val="24"/>
          <w:szCs w:val="24"/>
        </w:rPr>
        <w:t xml:space="preserve">предмет </w:t>
      </w:r>
      <w:r w:rsidR="00103A41" w:rsidRPr="00681558">
        <w:rPr>
          <w:rFonts w:ascii="Times New Roman" w:hAnsi="Times New Roman" w:cs="Times New Roman"/>
          <w:i/>
          <w:sz w:val="24"/>
          <w:szCs w:val="24"/>
        </w:rPr>
        <w:t>на изследване</w:t>
      </w:r>
      <w:r w:rsidR="00103A41">
        <w:rPr>
          <w:rFonts w:ascii="Times New Roman" w:hAnsi="Times New Roman" w:cs="Times New Roman"/>
          <w:sz w:val="24"/>
          <w:szCs w:val="24"/>
        </w:rPr>
        <w:t xml:space="preserve"> </w:t>
      </w:r>
      <w:r w:rsidR="00D719A1">
        <w:rPr>
          <w:rFonts w:ascii="Times New Roman" w:hAnsi="Times New Roman" w:cs="Times New Roman"/>
          <w:sz w:val="24"/>
          <w:szCs w:val="24"/>
        </w:rPr>
        <w:t xml:space="preserve">е </w:t>
      </w:r>
      <w:r w:rsidR="009F67E5">
        <w:rPr>
          <w:rFonts w:ascii="Times New Roman" w:hAnsi="Times New Roman" w:cs="Times New Roman"/>
          <w:sz w:val="24"/>
          <w:szCs w:val="24"/>
        </w:rPr>
        <w:t>ефективността</w:t>
      </w:r>
      <w:r w:rsidR="00D719A1">
        <w:rPr>
          <w:rFonts w:ascii="Times New Roman" w:hAnsi="Times New Roman" w:cs="Times New Roman"/>
          <w:sz w:val="24"/>
          <w:szCs w:val="24"/>
        </w:rPr>
        <w:t xml:space="preserve"> му, която е предпоставка за повишаване на </w:t>
      </w:r>
      <w:r w:rsidR="003C59F3">
        <w:rPr>
          <w:rFonts w:ascii="Times New Roman" w:hAnsi="Times New Roman" w:cs="Times New Roman"/>
          <w:sz w:val="24"/>
          <w:szCs w:val="24"/>
        </w:rPr>
        <w:t xml:space="preserve">„широката“ сигурност в нейните аспекти </w:t>
      </w:r>
      <w:r w:rsidR="006E6CE1">
        <w:rPr>
          <w:rFonts w:ascii="Times New Roman" w:hAnsi="Times New Roman" w:cs="Times New Roman"/>
          <w:sz w:val="24"/>
          <w:szCs w:val="24"/>
        </w:rPr>
        <w:t>-</w:t>
      </w:r>
      <w:r w:rsidR="008B609D">
        <w:rPr>
          <w:rFonts w:ascii="Times New Roman" w:hAnsi="Times New Roman" w:cs="Times New Roman"/>
          <w:sz w:val="24"/>
          <w:szCs w:val="24"/>
        </w:rPr>
        <w:t xml:space="preserve"> </w:t>
      </w:r>
      <w:r w:rsidR="00D719A1">
        <w:rPr>
          <w:rFonts w:ascii="Times New Roman" w:hAnsi="Times New Roman" w:cs="Times New Roman"/>
          <w:sz w:val="24"/>
          <w:szCs w:val="24"/>
        </w:rPr>
        <w:t>политическа, икономическа, социална, екологична и културна</w:t>
      </w:r>
      <w:r w:rsidR="009F67E5">
        <w:rPr>
          <w:rFonts w:ascii="Times New Roman" w:hAnsi="Times New Roman" w:cs="Times New Roman"/>
          <w:sz w:val="24"/>
          <w:szCs w:val="24"/>
        </w:rPr>
        <w:t xml:space="preserve">. </w:t>
      </w:r>
    </w:p>
    <w:p w:rsidR="00681558" w:rsidRDefault="00EE65CF" w:rsidP="006428A5">
      <w:pPr>
        <w:spacing w:after="0" w:line="276" w:lineRule="auto"/>
        <w:ind w:firstLine="706"/>
        <w:jc w:val="both"/>
        <w:rPr>
          <w:rFonts w:ascii="Times New Roman" w:hAnsi="Times New Roman" w:cs="Times New Roman"/>
          <w:sz w:val="24"/>
          <w:szCs w:val="24"/>
        </w:rPr>
      </w:pPr>
      <w:r w:rsidRPr="000C59C0">
        <w:rPr>
          <w:rFonts w:ascii="Times New Roman" w:hAnsi="Times New Roman" w:cs="Times New Roman"/>
          <w:sz w:val="24"/>
          <w:szCs w:val="24"/>
        </w:rPr>
        <w:t>Настоящата</w:t>
      </w:r>
      <w:r>
        <w:rPr>
          <w:rFonts w:ascii="Times New Roman" w:hAnsi="Times New Roman" w:cs="Times New Roman"/>
          <w:sz w:val="24"/>
          <w:szCs w:val="24"/>
        </w:rPr>
        <w:t xml:space="preserve"> разработка има за </w:t>
      </w:r>
      <w:r w:rsidRPr="00681558">
        <w:rPr>
          <w:rFonts w:ascii="Times New Roman" w:hAnsi="Times New Roman" w:cs="Times New Roman"/>
          <w:i/>
          <w:sz w:val="24"/>
          <w:szCs w:val="24"/>
        </w:rPr>
        <w:t xml:space="preserve">цел </w:t>
      </w:r>
      <w:r>
        <w:rPr>
          <w:rFonts w:ascii="Times New Roman" w:hAnsi="Times New Roman" w:cs="Times New Roman"/>
          <w:sz w:val="24"/>
          <w:szCs w:val="24"/>
        </w:rPr>
        <w:t xml:space="preserve">да изведе възможности за повишаване на ефективността на ТГС по отношение на „широката“ сигурност, които да притежават степен на достоверност. </w:t>
      </w:r>
      <w:r w:rsidR="00681558" w:rsidRPr="00121BE3">
        <w:rPr>
          <w:rFonts w:ascii="Times New Roman" w:hAnsi="Times New Roman" w:cs="Times New Roman"/>
          <w:i/>
          <w:sz w:val="24"/>
          <w:szCs w:val="24"/>
        </w:rPr>
        <w:t>Задачите</w:t>
      </w:r>
      <w:r w:rsidR="00681558">
        <w:rPr>
          <w:rFonts w:ascii="Times New Roman" w:hAnsi="Times New Roman" w:cs="Times New Roman"/>
          <w:sz w:val="24"/>
          <w:szCs w:val="24"/>
        </w:rPr>
        <w:t>, които следва да бъдат изпълнени са:</w:t>
      </w:r>
    </w:p>
    <w:p w:rsidR="00681558" w:rsidRDefault="00681558" w:rsidP="006428A5">
      <w:pPr>
        <w:pStyle w:val="ae"/>
        <w:numPr>
          <w:ilvl w:val="0"/>
          <w:numId w:val="5"/>
        </w:numPr>
        <w:spacing w:after="0" w:line="276" w:lineRule="auto"/>
        <w:ind w:left="0" w:firstLine="1066"/>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22237">
        <w:rPr>
          <w:rFonts w:ascii="Times New Roman" w:hAnsi="Times New Roman" w:cs="Times New Roman"/>
          <w:sz w:val="24"/>
          <w:szCs w:val="24"/>
        </w:rPr>
        <w:t>и</w:t>
      </w:r>
      <w:r w:rsidR="00E22237" w:rsidRPr="00E22237">
        <w:rPr>
          <w:rFonts w:ascii="Times New Roman" w:hAnsi="Times New Roman" w:cs="Times New Roman"/>
          <w:sz w:val="24"/>
          <w:szCs w:val="24"/>
        </w:rPr>
        <w:t xml:space="preserve">зготвяне на </w:t>
      </w:r>
      <w:r w:rsidR="004D70A9">
        <w:rPr>
          <w:rFonts w:ascii="Times New Roman" w:hAnsi="Times New Roman" w:cs="Times New Roman"/>
          <w:sz w:val="24"/>
          <w:szCs w:val="24"/>
        </w:rPr>
        <w:t xml:space="preserve">кратък </w:t>
      </w:r>
      <w:r w:rsidR="00E22237" w:rsidRPr="00E22237">
        <w:rPr>
          <w:rFonts w:ascii="Times New Roman" w:hAnsi="Times New Roman" w:cs="Times New Roman"/>
          <w:sz w:val="24"/>
          <w:szCs w:val="24"/>
        </w:rPr>
        <w:t>сравнителен анализ на ТГС</w:t>
      </w:r>
      <w:r w:rsidR="00E22237">
        <w:rPr>
          <w:rFonts w:ascii="Times New Roman" w:hAnsi="Times New Roman" w:cs="Times New Roman"/>
          <w:sz w:val="24"/>
          <w:szCs w:val="24"/>
        </w:rPr>
        <w:t xml:space="preserve">, </w:t>
      </w:r>
      <w:r>
        <w:rPr>
          <w:rFonts w:ascii="Times New Roman" w:hAnsi="Times New Roman" w:cs="Times New Roman"/>
          <w:sz w:val="24"/>
          <w:szCs w:val="24"/>
        </w:rPr>
        <w:t xml:space="preserve">реализирано през последните два завършени програмни периода – 2000-2006 г. </w:t>
      </w:r>
      <w:r w:rsidR="00FE4419">
        <w:rPr>
          <w:rFonts w:ascii="Times New Roman" w:hAnsi="Times New Roman" w:cs="Times New Roman"/>
          <w:sz w:val="24"/>
          <w:szCs w:val="24"/>
        </w:rPr>
        <w:t>и 2007-2013</w:t>
      </w:r>
      <w:r>
        <w:rPr>
          <w:rFonts w:ascii="Times New Roman" w:hAnsi="Times New Roman" w:cs="Times New Roman"/>
          <w:sz w:val="24"/>
          <w:szCs w:val="24"/>
        </w:rPr>
        <w:t xml:space="preserve"> г.</w:t>
      </w:r>
      <w:r w:rsidRPr="00681558">
        <w:rPr>
          <w:rFonts w:ascii="Times New Roman" w:hAnsi="Times New Roman" w:cs="Times New Roman"/>
          <w:sz w:val="24"/>
          <w:szCs w:val="24"/>
        </w:rPr>
        <w:t xml:space="preserve"> </w:t>
      </w:r>
      <w:r>
        <w:rPr>
          <w:rFonts w:ascii="Times New Roman" w:hAnsi="Times New Roman" w:cs="Times New Roman"/>
          <w:sz w:val="24"/>
          <w:szCs w:val="24"/>
        </w:rPr>
        <w:t xml:space="preserve">по </w:t>
      </w:r>
      <w:r w:rsidR="00155149">
        <w:rPr>
          <w:rFonts w:ascii="Times New Roman" w:hAnsi="Times New Roman" w:cs="Times New Roman"/>
          <w:sz w:val="24"/>
          <w:szCs w:val="24"/>
        </w:rPr>
        <w:t>определени критерии</w:t>
      </w:r>
      <w:r>
        <w:rPr>
          <w:rFonts w:ascii="Times New Roman" w:hAnsi="Times New Roman" w:cs="Times New Roman"/>
          <w:sz w:val="24"/>
          <w:szCs w:val="24"/>
        </w:rPr>
        <w:t xml:space="preserve"> за ефективност;</w:t>
      </w:r>
    </w:p>
    <w:p w:rsidR="00320C60" w:rsidRDefault="00E22237" w:rsidP="006428A5">
      <w:pPr>
        <w:pStyle w:val="ae"/>
        <w:numPr>
          <w:ilvl w:val="0"/>
          <w:numId w:val="5"/>
        </w:numPr>
        <w:spacing w:after="0" w:line="276" w:lineRule="auto"/>
        <w:ind w:left="0" w:firstLine="1066"/>
        <w:jc w:val="both"/>
        <w:rPr>
          <w:rFonts w:ascii="Times New Roman" w:hAnsi="Times New Roman" w:cs="Times New Roman"/>
          <w:sz w:val="24"/>
          <w:szCs w:val="24"/>
        </w:rPr>
      </w:pPr>
      <w:r>
        <w:rPr>
          <w:rFonts w:ascii="Times New Roman" w:hAnsi="Times New Roman" w:cs="Times New Roman"/>
          <w:sz w:val="24"/>
          <w:szCs w:val="24"/>
        </w:rPr>
        <w:t>и</w:t>
      </w:r>
      <w:r w:rsidRPr="00E22237">
        <w:rPr>
          <w:rFonts w:ascii="Times New Roman" w:hAnsi="Times New Roman" w:cs="Times New Roman"/>
          <w:sz w:val="24"/>
          <w:szCs w:val="24"/>
        </w:rPr>
        <w:t>звеждане на възможности за повишаване на ефективността на ТГС чрез прилагане на статистически методи спрямо части от проведено мащабно анкетно проучване от Европейския институт на Средиземноморието (ЕИС)</w:t>
      </w:r>
      <w:r w:rsidR="00AF3C87">
        <w:rPr>
          <w:rStyle w:val="a7"/>
          <w:rFonts w:ascii="Times New Roman" w:hAnsi="Times New Roman" w:cs="Times New Roman"/>
          <w:sz w:val="24"/>
          <w:szCs w:val="24"/>
        </w:rPr>
        <w:footnoteReference w:id="2"/>
      </w:r>
      <w:r w:rsidRPr="00E22237">
        <w:rPr>
          <w:rFonts w:ascii="Times New Roman" w:hAnsi="Times New Roman" w:cs="Times New Roman"/>
          <w:sz w:val="24"/>
          <w:szCs w:val="24"/>
        </w:rPr>
        <w:t xml:space="preserve"> и констатиране на евентуални проблеми</w:t>
      </w:r>
      <w:r w:rsidR="00320C60">
        <w:rPr>
          <w:rFonts w:ascii="Times New Roman" w:hAnsi="Times New Roman" w:cs="Times New Roman"/>
          <w:sz w:val="24"/>
          <w:szCs w:val="24"/>
        </w:rPr>
        <w:t>;</w:t>
      </w:r>
    </w:p>
    <w:p w:rsidR="00320C60" w:rsidRDefault="00121BE3" w:rsidP="006428A5">
      <w:pPr>
        <w:pStyle w:val="ae"/>
        <w:numPr>
          <w:ilvl w:val="0"/>
          <w:numId w:val="5"/>
        </w:numPr>
        <w:spacing w:after="0" w:line="276" w:lineRule="auto"/>
        <w:ind w:left="0" w:firstLine="1134"/>
        <w:jc w:val="both"/>
        <w:rPr>
          <w:rFonts w:ascii="Times New Roman" w:hAnsi="Times New Roman" w:cs="Times New Roman"/>
          <w:sz w:val="24"/>
          <w:szCs w:val="24"/>
        </w:rPr>
      </w:pPr>
      <w:r>
        <w:rPr>
          <w:rFonts w:ascii="Times New Roman" w:hAnsi="Times New Roman" w:cs="Times New Roman"/>
          <w:sz w:val="24"/>
          <w:szCs w:val="24"/>
        </w:rPr>
        <w:t>обобщаване на изводите, формулиране на препоръки за развитие на ТГС в Средиземноморския регион.</w:t>
      </w:r>
    </w:p>
    <w:p w:rsidR="00121BE3" w:rsidRDefault="00121BE3" w:rsidP="006428A5">
      <w:pPr>
        <w:spacing w:after="0" w:line="276" w:lineRule="auto"/>
        <w:ind w:firstLine="709"/>
        <w:jc w:val="both"/>
        <w:rPr>
          <w:rFonts w:ascii="Times New Roman" w:hAnsi="Times New Roman" w:cs="Times New Roman"/>
          <w:sz w:val="24"/>
          <w:szCs w:val="24"/>
        </w:rPr>
      </w:pPr>
      <w:r w:rsidRPr="00121BE3">
        <w:rPr>
          <w:rFonts w:ascii="Times New Roman" w:hAnsi="Times New Roman" w:cs="Times New Roman"/>
          <w:sz w:val="24"/>
          <w:szCs w:val="24"/>
        </w:rPr>
        <w:t>За ползите на разработ</w:t>
      </w:r>
      <w:r>
        <w:rPr>
          <w:rFonts w:ascii="Times New Roman" w:hAnsi="Times New Roman" w:cs="Times New Roman"/>
          <w:sz w:val="24"/>
          <w:szCs w:val="24"/>
        </w:rPr>
        <w:t>ката се налага да бъде поставени няколко ограничения, а именно:</w:t>
      </w:r>
    </w:p>
    <w:p w:rsidR="00121BE3" w:rsidRDefault="00121BE3" w:rsidP="006428A5">
      <w:pPr>
        <w:pStyle w:val="ae"/>
        <w:numPr>
          <w:ilvl w:val="0"/>
          <w:numId w:val="5"/>
        </w:numPr>
        <w:spacing w:after="0" w:line="276" w:lineRule="auto"/>
        <w:ind w:left="0" w:firstLine="1066"/>
        <w:jc w:val="both"/>
        <w:rPr>
          <w:rFonts w:ascii="Times New Roman" w:hAnsi="Times New Roman" w:cs="Times New Roman"/>
          <w:sz w:val="24"/>
          <w:szCs w:val="24"/>
        </w:rPr>
      </w:pPr>
      <w:r w:rsidRPr="00121BE3">
        <w:rPr>
          <w:rFonts w:ascii="Times New Roman" w:hAnsi="Times New Roman" w:cs="Times New Roman"/>
          <w:i/>
          <w:sz w:val="24"/>
          <w:szCs w:val="24"/>
        </w:rPr>
        <w:t xml:space="preserve">по времеви </w:t>
      </w:r>
      <w:r w:rsidR="001A7D62">
        <w:rPr>
          <w:rFonts w:ascii="Times New Roman" w:hAnsi="Times New Roman" w:cs="Times New Roman"/>
          <w:i/>
          <w:sz w:val="24"/>
          <w:szCs w:val="24"/>
        </w:rPr>
        <w:t xml:space="preserve">и програмен </w:t>
      </w:r>
      <w:r w:rsidRPr="00121BE3">
        <w:rPr>
          <w:rFonts w:ascii="Times New Roman" w:hAnsi="Times New Roman" w:cs="Times New Roman"/>
          <w:i/>
          <w:sz w:val="24"/>
          <w:szCs w:val="24"/>
        </w:rPr>
        <w:t>признак</w:t>
      </w:r>
      <w:r w:rsidRPr="00121BE3">
        <w:rPr>
          <w:rFonts w:ascii="Times New Roman" w:hAnsi="Times New Roman" w:cs="Times New Roman"/>
          <w:sz w:val="24"/>
          <w:szCs w:val="24"/>
        </w:rPr>
        <w:t xml:space="preserve"> - програмните периоди на ЕС </w:t>
      </w:r>
      <w:r w:rsidR="001A7D62">
        <w:rPr>
          <w:rFonts w:ascii="Times New Roman" w:hAnsi="Times New Roman" w:cs="Times New Roman"/>
          <w:sz w:val="24"/>
          <w:szCs w:val="24"/>
        </w:rPr>
        <w:t xml:space="preserve">с техните програми, в рамките на които може да бъде реализирано ТГС </w:t>
      </w:r>
      <w:r w:rsidRPr="00121BE3">
        <w:rPr>
          <w:rFonts w:ascii="Times New Roman" w:hAnsi="Times New Roman" w:cs="Times New Roman"/>
          <w:sz w:val="24"/>
          <w:szCs w:val="24"/>
        </w:rPr>
        <w:t xml:space="preserve">- </w:t>
      </w:r>
      <w:r>
        <w:rPr>
          <w:rFonts w:ascii="Times New Roman" w:hAnsi="Times New Roman" w:cs="Times New Roman"/>
          <w:sz w:val="24"/>
          <w:szCs w:val="24"/>
        </w:rPr>
        <w:t xml:space="preserve">2000-2006 г. </w:t>
      </w:r>
      <w:r w:rsidR="001A7D62">
        <w:rPr>
          <w:rFonts w:ascii="Times New Roman" w:hAnsi="Times New Roman" w:cs="Times New Roman"/>
          <w:sz w:val="24"/>
          <w:szCs w:val="24"/>
        </w:rPr>
        <w:t>(</w:t>
      </w:r>
      <w:r w:rsidR="001A7D62">
        <w:rPr>
          <w:rFonts w:ascii="Times New Roman" w:hAnsi="Times New Roman" w:cs="Times New Roman"/>
          <w:sz w:val="24"/>
          <w:szCs w:val="24"/>
          <w:lang w:val="en-US"/>
        </w:rPr>
        <w:t>MEDA</w:t>
      </w:r>
      <w:r w:rsidR="00745C1B">
        <w:rPr>
          <w:rFonts w:ascii="Times New Roman" w:hAnsi="Times New Roman" w:cs="Times New Roman"/>
          <w:sz w:val="24"/>
          <w:szCs w:val="24"/>
        </w:rPr>
        <w:t xml:space="preserve"> </w:t>
      </w:r>
      <w:r w:rsidR="00745C1B">
        <w:rPr>
          <w:rFonts w:ascii="Times New Roman" w:hAnsi="Times New Roman" w:cs="Times New Roman"/>
          <w:sz w:val="24"/>
          <w:szCs w:val="24"/>
          <w:lang w:val="en-US"/>
        </w:rPr>
        <w:t>II</w:t>
      </w:r>
      <w:r w:rsidR="001A7D62">
        <w:rPr>
          <w:rFonts w:ascii="Times New Roman" w:hAnsi="Times New Roman" w:cs="Times New Roman"/>
          <w:sz w:val="24"/>
          <w:szCs w:val="24"/>
          <w:lang w:val="en-US"/>
        </w:rPr>
        <w:t>)</w:t>
      </w:r>
      <w:r w:rsidR="001A7D62" w:rsidRPr="001A7D62">
        <w:rPr>
          <w:rFonts w:ascii="Times New Roman" w:hAnsi="Times New Roman" w:cs="Times New Roman"/>
          <w:sz w:val="24"/>
          <w:szCs w:val="24"/>
        </w:rPr>
        <w:t xml:space="preserve"> </w:t>
      </w:r>
      <w:r>
        <w:rPr>
          <w:rFonts w:ascii="Times New Roman" w:hAnsi="Times New Roman" w:cs="Times New Roman"/>
          <w:sz w:val="24"/>
          <w:szCs w:val="24"/>
        </w:rPr>
        <w:t>и 2007-2013 г.</w:t>
      </w:r>
      <w:r w:rsidR="001A7D62">
        <w:rPr>
          <w:rFonts w:ascii="Times New Roman" w:hAnsi="Times New Roman" w:cs="Times New Roman"/>
          <w:sz w:val="24"/>
          <w:szCs w:val="24"/>
          <w:lang w:val="en-US"/>
        </w:rPr>
        <w:t xml:space="preserve"> (</w:t>
      </w:r>
      <w:r w:rsidR="001A7D62" w:rsidRPr="001A7D62">
        <w:rPr>
          <w:rFonts w:ascii="Times New Roman" w:hAnsi="Times New Roman" w:cs="Times New Roman"/>
          <w:sz w:val="24"/>
          <w:szCs w:val="24"/>
          <w:lang w:val="en-US"/>
        </w:rPr>
        <w:t>Mediterranean Sea Basin ENPI CBC</w:t>
      </w:r>
      <w:r w:rsidR="001A7D62">
        <w:rPr>
          <w:rFonts w:ascii="Times New Roman" w:hAnsi="Times New Roman" w:cs="Times New Roman"/>
          <w:sz w:val="24"/>
          <w:szCs w:val="24"/>
          <w:lang w:val="en-US"/>
        </w:rPr>
        <w:t xml:space="preserve">, </w:t>
      </w:r>
      <w:r w:rsidR="001A7D62" w:rsidRPr="001A7D62">
        <w:rPr>
          <w:rFonts w:ascii="Times New Roman" w:hAnsi="Times New Roman" w:cs="Times New Roman"/>
          <w:sz w:val="24"/>
          <w:szCs w:val="24"/>
          <w:lang w:val="en-US"/>
        </w:rPr>
        <w:t>Italy - Tunisia ENPI CBC</w:t>
      </w:r>
      <w:r w:rsidR="001A7D62">
        <w:rPr>
          <w:rFonts w:ascii="Times New Roman" w:hAnsi="Times New Roman" w:cs="Times New Roman"/>
          <w:sz w:val="24"/>
          <w:szCs w:val="24"/>
          <w:lang w:val="en-US"/>
        </w:rPr>
        <w:t>)</w:t>
      </w:r>
      <w:r>
        <w:rPr>
          <w:rFonts w:ascii="Times New Roman" w:hAnsi="Times New Roman" w:cs="Times New Roman"/>
          <w:sz w:val="24"/>
          <w:szCs w:val="24"/>
        </w:rPr>
        <w:t>;</w:t>
      </w:r>
    </w:p>
    <w:p w:rsidR="00121BE3" w:rsidRDefault="00121BE3" w:rsidP="006428A5">
      <w:pPr>
        <w:pStyle w:val="ae"/>
        <w:numPr>
          <w:ilvl w:val="0"/>
          <w:numId w:val="5"/>
        </w:numPr>
        <w:spacing w:after="0" w:line="276" w:lineRule="auto"/>
        <w:ind w:left="0" w:firstLine="993"/>
        <w:jc w:val="both"/>
        <w:rPr>
          <w:rFonts w:ascii="Times New Roman" w:hAnsi="Times New Roman" w:cs="Times New Roman"/>
          <w:sz w:val="24"/>
          <w:szCs w:val="24"/>
        </w:rPr>
      </w:pPr>
      <w:r w:rsidRPr="009028E3">
        <w:rPr>
          <w:rFonts w:ascii="Times New Roman" w:hAnsi="Times New Roman" w:cs="Times New Roman"/>
          <w:i/>
          <w:sz w:val="24"/>
          <w:szCs w:val="24"/>
        </w:rPr>
        <w:t>по териториален признак</w:t>
      </w:r>
      <w:r w:rsidR="009028E3">
        <w:rPr>
          <w:rFonts w:ascii="Times New Roman" w:hAnsi="Times New Roman" w:cs="Times New Roman"/>
          <w:sz w:val="24"/>
          <w:szCs w:val="24"/>
          <w:lang w:val="en-US"/>
        </w:rPr>
        <w:t xml:space="preserve"> – </w:t>
      </w:r>
      <w:r w:rsidR="002A140C">
        <w:rPr>
          <w:rFonts w:ascii="Times New Roman" w:hAnsi="Times New Roman" w:cs="Times New Roman"/>
          <w:sz w:val="24"/>
          <w:szCs w:val="24"/>
        </w:rPr>
        <w:t>десет</w:t>
      </w:r>
      <w:r w:rsidR="009028E3">
        <w:rPr>
          <w:rFonts w:ascii="Times New Roman" w:hAnsi="Times New Roman" w:cs="Times New Roman"/>
          <w:sz w:val="24"/>
          <w:szCs w:val="24"/>
        </w:rPr>
        <w:t xml:space="preserve"> </w:t>
      </w:r>
      <w:r w:rsidR="005D7EC5">
        <w:rPr>
          <w:rFonts w:ascii="Times New Roman" w:hAnsi="Times New Roman" w:cs="Times New Roman"/>
          <w:sz w:val="24"/>
          <w:szCs w:val="24"/>
        </w:rPr>
        <w:t>страни</w:t>
      </w:r>
      <w:r w:rsidR="009028E3">
        <w:rPr>
          <w:rFonts w:ascii="Times New Roman" w:hAnsi="Times New Roman" w:cs="Times New Roman"/>
          <w:sz w:val="24"/>
          <w:szCs w:val="24"/>
        </w:rPr>
        <w:t xml:space="preserve"> от</w:t>
      </w:r>
      <w:r w:rsidR="002A140C">
        <w:rPr>
          <w:rFonts w:ascii="Times New Roman" w:hAnsi="Times New Roman" w:cs="Times New Roman"/>
          <w:sz w:val="24"/>
          <w:szCs w:val="24"/>
        </w:rPr>
        <w:t xml:space="preserve"> Близкия изток и Северна Африка </w:t>
      </w:r>
      <w:r w:rsidR="009028E3">
        <w:rPr>
          <w:rFonts w:ascii="Times New Roman" w:hAnsi="Times New Roman" w:cs="Times New Roman"/>
          <w:sz w:val="24"/>
          <w:szCs w:val="24"/>
        </w:rPr>
        <w:t xml:space="preserve">– </w:t>
      </w:r>
      <w:r w:rsidR="009028E3" w:rsidRPr="00C834B3">
        <w:rPr>
          <w:rFonts w:ascii="Times New Roman" w:hAnsi="Times New Roman" w:cs="Times New Roman"/>
          <w:color w:val="000000" w:themeColor="text1"/>
          <w:sz w:val="24"/>
          <w:szCs w:val="24"/>
        </w:rPr>
        <w:t>Алжир</w:t>
      </w:r>
      <w:r w:rsidR="008C4CF7" w:rsidRPr="00C834B3">
        <w:rPr>
          <w:rStyle w:val="a7"/>
          <w:rFonts w:ascii="Times New Roman" w:hAnsi="Times New Roman" w:cs="Times New Roman"/>
          <w:color w:val="000000" w:themeColor="text1"/>
          <w:sz w:val="24"/>
          <w:szCs w:val="24"/>
        </w:rPr>
        <w:footnoteReference w:id="3"/>
      </w:r>
      <w:r w:rsidR="009028E3" w:rsidRPr="00C834B3">
        <w:rPr>
          <w:rFonts w:ascii="Times New Roman" w:hAnsi="Times New Roman" w:cs="Times New Roman"/>
          <w:color w:val="000000" w:themeColor="text1"/>
          <w:sz w:val="24"/>
          <w:szCs w:val="24"/>
        </w:rPr>
        <w:t xml:space="preserve">, </w:t>
      </w:r>
      <w:r w:rsidR="009028E3">
        <w:rPr>
          <w:rFonts w:ascii="Times New Roman" w:hAnsi="Times New Roman" w:cs="Times New Roman"/>
          <w:sz w:val="24"/>
          <w:szCs w:val="24"/>
        </w:rPr>
        <w:t>Египет, Израел, Йордания,</w:t>
      </w:r>
      <w:r w:rsidR="005D7EC5">
        <w:rPr>
          <w:rFonts w:ascii="Times New Roman" w:hAnsi="Times New Roman" w:cs="Times New Roman"/>
          <w:sz w:val="24"/>
          <w:szCs w:val="24"/>
        </w:rPr>
        <w:t xml:space="preserve"> Либия</w:t>
      </w:r>
      <w:r w:rsidR="00C834B3">
        <w:rPr>
          <w:rStyle w:val="a7"/>
          <w:rFonts w:ascii="Times New Roman" w:hAnsi="Times New Roman" w:cs="Times New Roman"/>
          <w:sz w:val="24"/>
          <w:szCs w:val="24"/>
        </w:rPr>
        <w:footnoteReference w:id="4"/>
      </w:r>
      <w:r w:rsidR="005D7EC5">
        <w:rPr>
          <w:rFonts w:ascii="Times New Roman" w:hAnsi="Times New Roman" w:cs="Times New Roman"/>
          <w:sz w:val="24"/>
          <w:szCs w:val="24"/>
        </w:rPr>
        <w:t>, Ливан, Мароко, Палестинска автономия</w:t>
      </w:r>
      <w:r w:rsidR="009028E3">
        <w:rPr>
          <w:rFonts w:ascii="Times New Roman" w:hAnsi="Times New Roman" w:cs="Times New Roman"/>
          <w:sz w:val="24"/>
          <w:szCs w:val="24"/>
        </w:rPr>
        <w:t>, Сирия</w:t>
      </w:r>
      <w:r w:rsidR="009028E3">
        <w:rPr>
          <w:rStyle w:val="a7"/>
          <w:rFonts w:ascii="Times New Roman" w:hAnsi="Times New Roman" w:cs="Times New Roman"/>
          <w:sz w:val="24"/>
          <w:szCs w:val="24"/>
        </w:rPr>
        <w:footnoteReference w:id="5"/>
      </w:r>
      <w:r w:rsidR="00AD72F8">
        <w:rPr>
          <w:rFonts w:ascii="Times New Roman" w:hAnsi="Times New Roman" w:cs="Times New Roman"/>
          <w:sz w:val="24"/>
          <w:szCs w:val="24"/>
        </w:rPr>
        <w:t>, Тунис</w:t>
      </w:r>
      <w:r w:rsidR="002A140C">
        <w:rPr>
          <w:rFonts w:ascii="Times New Roman" w:hAnsi="Times New Roman" w:cs="Times New Roman"/>
          <w:sz w:val="24"/>
          <w:szCs w:val="24"/>
        </w:rPr>
        <w:t>, които са част от Евро-средиземноморското партньорство. Държавите се изследват обединено под наименованието „Южно-средиземноморски партньори на ЕС“</w:t>
      </w:r>
      <w:r w:rsidR="00AD72F8">
        <w:rPr>
          <w:rFonts w:ascii="Times New Roman" w:hAnsi="Times New Roman" w:cs="Times New Roman"/>
          <w:sz w:val="24"/>
          <w:szCs w:val="24"/>
        </w:rPr>
        <w:t>;</w:t>
      </w:r>
    </w:p>
    <w:p w:rsidR="00AD72F8" w:rsidRPr="00121BE3" w:rsidRDefault="00AD72F8" w:rsidP="006428A5">
      <w:pPr>
        <w:pStyle w:val="ae"/>
        <w:numPr>
          <w:ilvl w:val="0"/>
          <w:numId w:val="5"/>
        </w:numPr>
        <w:spacing w:after="0" w:line="276" w:lineRule="auto"/>
        <w:ind w:left="0" w:firstLine="993"/>
        <w:jc w:val="both"/>
        <w:rPr>
          <w:rFonts w:ascii="Times New Roman" w:hAnsi="Times New Roman" w:cs="Times New Roman"/>
          <w:sz w:val="24"/>
          <w:szCs w:val="24"/>
        </w:rPr>
      </w:pPr>
      <w:r>
        <w:rPr>
          <w:rFonts w:ascii="Times New Roman" w:hAnsi="Times New Roman" w:cs="Times New Roman"/>
          <w:i/>
          <w:sz w:val="24"/>
          <w:szCs w:val="24"/>
        </w:rPr>
        <w:t xml:space="preserve">по брой на критериите за ефективност и на изследваните въпроси от проучването на ЕИС </w:t>
      </w:r>
      <w:r>
        <w:rPr>
          <w:rFonts w:ascii="Times New Roman" w:hAnsi="Times New Roman" w:cs="Times New Roman"/>
          <w:sz w:val="24"/>
          <w:szCs w:val="24"/>
        </w:rPr>
        <w:t>– три критерия за ефективност и три въпроса, релевантни на критериите.</w:t>
      </w:r>
    </w:p>
    <w:p w:rsidR="00AD72F8" w:rsidRDefault="00AD72F8" w:rsidP="006428A5">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Изпълнението на задачи</w:t>
      </w:r>
      <w:r w:rsidR="00A04389">
        <w:rPr>
          <w:rFonts w:ascii="Times New Roman" w:hAnsi="Times New Roman" w:cs="Times New Roman"/>
          <w:sz w:val="24"/>
          <w:szCs w:val="24"/>
        </w:rPr>
        <w:t>те</w:t>
      </w:r>
      <w:r>
        <w:rPr>
          <w:rFonts w:ascii="Times New Roman" w:hAnsi="Times New Roman" w:cs="Times New Roman"/>
          <w:sz w:val="24"/>
          <w:szCs w:val="24"/>
        </w:rPr>
        <w:t xml:space="preserve"> и постигането на заложената цел се осъществяват с помощта на подбрани изследователски подходи и методи</w:t>
      </w:r>
      <w:r w:rsidR="00D643C3">
        <w:rPr>
          <w:rFonts w:ascii="Times New Roman" w:hAnsi="Times New Roman" w:cs="Times New Roman"/>
          <w:sz w:val="24"/>
          <w:szCs w:val="24"/>
        </w:rPr>
        <w:t xml:space="preserve">, които са както с качествен характер, така и с количествен. Важен подход, който се използва, е </w:t>
      </w:r>
      <w:r w:rsidR="00D643C3" w:rsidRPr="00D643C3">
        <w:rPr>
          <w:rFonts w:ascii="Times New Roman" w:hAnsi="Times New Roman" w:cs="Times New Roman"/>
          <w:i/>
          <w:sz w:val="24"/>
          <w:szCs w:val="24"/>
        </w:rPr>
        <w:t>ситуационният</w:t>
      </w:r>
      <w:r w:rsidR="00D643C3">
        <w:rPr>
          <w:rFonts w:ascii="Times New Roman" w:hAnsi="Times New Roman" w:cs="Times New Roman"/>
          <w:sz w:val="24"/>
          <w:szCs w:val="24"/>
        </w:rPr>
        <w:t>, чрез който да се установят възможностите</w:t>
      </w:r>
      <w:r w:rsidR="009F2978">
        <w:rPr>
          <w:rFonts w:ascii="Times New Roman" w:hAnsi="Times New Roman" w:cs="Times New Roman"/>
          <w:sz w:val="24"/>
          <w:szCs w:val="24"/>
        </w:rPr>
        <w:t xml:space="preserve"> пред ТГС</w:t>
      </w:r>
      <w:r w:rsidR="00D643C3">
        <w:rPr>
          <w:rFonts w:ascii="Times New Roman" w:hAnsi="Times New Roman" w:cs="Times New Roman"/>
          <w:sz w:val="24"/>
          <w:szCs w:val="24"/>
        </w:rPr>
        <w:t>, които в най-висока степен биха спомогнали за повишаването на „широката“ сигурност при конкретните обстоятелства</w:t>
      </w:r>
      <w:r w:rsidR="00941C81">
        <w:rPr>
          <w:rFonts w:ascii="Times New Roman" w:hAnsi="Times New Roman" w:cs="Times New Roman"/>
          <w:sz w:val="24"/>
          <w:szCs w:val="24"/>
        </w:rPr>
        <w:t xml:space="preserve"> – в контекста на преразгледаната ЕПС</w:t>
      </w:r>
      <w:r w:rsidR="00D643C3">
        <w:rPr>
          <w:rFonts w:ascii="Times New Roman" w:hAnsi="Times New Roman" w:cs="Times New Roman"/>
          <w:sz w:val="24"/>
          <w:szCs w:val="24"/>
        </w:rPr>
        <w:t xml:space="preserve">. Другият подход е </w:t>
      </w:r>
      <w:r w:rsidR="00D643C3" w:rsidRPr="00941C81">
        <w:rPr>
          <w:rFonts w:ascii="Times New Roman" w:hAnsi="Times New Roman" w:cs="Times New Roman"/>
          <w:i/>
          <w:sz w:val="24"/>
          <w:szCs w:val="24"/>
        </w:rPr>
        <w:t>процесният</w:t>
      </w:r>
      <w:r w:rsidR="00D643C3">
        <w:rPr>
          <w:rFonts w:ascii="Times New Roman" w:hAnsi="Times New Roman" w:cs="Times New Roman"/>
          <w:sz w:val="24"/>
          <w:szCs w:val="24"/>
        </w:rPr>
        <w:t xml:space="preserve">, който разкрива взаимовръзката между критериите за ефективност и </w:t>
      </w:r>
      <w:r w:rsidR="009F2978">
        <w:rPr>
          <w:rFonts w:ascii="Times New Roman" w:hAnsi="Times New Roman" w:cs="Times New Roman"/>
          <w:sz w:val="24"/>
          <w:szCs w:val="24"/>
        </w:rPr>
        <w:t>аналитично-обосновани препоръки и възможности за усъвършенстване на ТГС.</w:t>
      </w:r>
      <w:r w:rsidR="00941C81">
        <w:rPr>
          <w:rFonts w:ascii="Times New Roman" w:hAnsi="Times New Roman" w:cs="Times New Roman"/>
          <w:sz w:val="24"/>
          <w:szCs w:val="24"/>
        </w:rPr>
        <w:t xml:space="preserve"> Основните </w:t>
      </w:r>
      <w:r w:rsidR="00941C81" w:rsidRPr="006971DE">
        <w:rPr>
          <w:rFonts w:ascii="Times New Roman" w:hAnsi="Times New Roman" w:cs="Times New Roman"/>
          <w:i/>
          <w:sz w:val="24"/>
          <w:szCs w:val="24"/>
        </w:rPr>
        <w:t>м</w:t>
      </w:r>
      <w:r w:rsidR="006971DE">
        <w:rPr>
          <w:rFonts w:ascii="Times New Roman" w:hAnsi="Times New Roman" w:cs="Times New Roman"/>
          <w:i/>
          <w:sz w:val="24"/>
          <w:szCs w:val="24"/>
        </w:rPr>
        <w:t>етоди</w:t>
      </w:r>
      <w:r w:rsidR="00941C81">
        <w:rPr>
          <w:rFonts w:ascii="Times New Roman" w:hAnsi="Times New Roman" w:cs="Times New Roman"/>
          <w:sz w:val="24"/>
          <w:szCs w:val="24"/>
        </w:rPr>
        <w:t xml:space="preserve">, които са приложени, са: анализ на документи, </w:t>
      </w:r>
      <w:r w:rsidR="00E22237">
        <w:rPr>
          <w:rFonts w:ascii="Times New Roman" w:hAnsi="Times New Roman" w:cs="Times New Roman"/>
          <w:sz w:val="24"/>
          <w:szCs w:val="24"/>
        </w:rPr>
        <w:t xml:space="preserve">дедукция, </w:t>
      </w:r>
      <w:r w:rsidR="00924464">
        <w:rPr>
          <w:rFonts w:ascii="Times New Roman" w:hAnsi="Times New Roman" w:cs="Times New Roman"/>
          <w:sz w:val="24"/>
          <w:szCs w:val="24"/>
        </w:rPr>
        <w:t xml:space="preserve">художествена абстракция, </w:t>
      </w:r>
      <w:r w:rsidR="00D000AD">
        <w:rPr>
          <w:rFonts w:ascii="Times New Roman" w:hAnsi="Times New Roman" w:cs="Times New Roman"/>
          <w:sz w:val="24"/>
          <w:szCs w:val="24"/>
        </w:rPr>
        <w:t xml:space="preserve">сравнителен анализ, </w:t>
      </w:r>
      <w:r w:rsidR="006971DE">
        <w:rPr>
          <w:rFonts w:ascii="Times New Roman" w:hAnsi="Times New Roman" w:cs="Times New Roman"/>
          <w:sz w:val="24"/>
          <w:szCs w:val="24"/>
        </w:rPr>
        <w:t>статистически методи (</w:t>
      </w:r>
      <w:r w:rsidR="00924464">
        <w:rPr>
          <w:rFonts w:ascii="Times New Roman" w:hAnsi="Times New Roman" w:cs="Times New Roman"/>
          <w:sz w:val="24"/>
          <w:szCs w:val="24"/>
        </w:rPr>
        <w:t xml:space="preserve">изчисляване </w:t>
      </w:r>
      <w:r w:rsidR="00217C56">
        <w:rPr>
          <w:rFonts w:ascii="Times New Roman" w:hAnsi="Times New Roman" w:cs="Times New Roman"/>
          <w:sz w:val="24"/>
          <w:szCs w:val="24"/>
        </w:rPr>
        <w:t xml:space="preserve">на </w:t>
      </w:r>
      <w:r w:rsidR="001266C4">
        <w:rPr>
          <w:rFonts w:ascii="Times New Roman" w:hAnsi="Times New Roman" w:cs="Times New Roman"/>
          <w:sz w:val="24"/>
          <w:szCs w:val="24"/>
        </w:rPr>
        <w:t>степента на зависимост и равнището на значимост</w:t>
      </w:r>
      <w:r w:rsidR="00924464">
        <w:rPr>
          <w:rFonts w:ascii="Times New Roman" w:hAnsi="Times New Roman" w:cs="Times New Roman"/>
          <w:sz w:val="24"/>
          <w:szCs w:val="24"/>
        </w:rPr>
        <w:t xml:space="preserve"> чрез коефициента на </w:t>
      </w:r>
      <w:r w:rsidR="008B199D">
        <w:rPr>
          <w:rFonts w:ascii="Times New Roman" w:hAnsi="Times New Roman" w:cs="Times New Roman"/>
          <w:sz w:val="24"/>
          <w:szCs w:val="24"/>
        </w:rPr>
        <w:t xml:space="preserve">корелация на </w:t>
      </w:r>
      <w:proofErr w:type="spellStart"/>
      <w:r w:rsidR="00924464">
        <w:rPr>
          <w:rFonts w:ascii="Times New Roman" w:hAnsi="Times New Roman" w:cs="Times New Roman"/>
          <w:sz w:val="24"/>
          <w:szCs w:val="24"/>
        </w:rPr>
        <w:t>Пирсън</w:t>
      </w:r>
      <w:proofErr w:type="spellEnd"/>
      <w:r w:rsidR="002767F3">
        <w:rPr>
          <w:rFonts w:ascii="Times New Roman" w:hAnsi="Times New Roman" w:cs="Times New Roman"/>
          <w:sz w:val="24"/>
          <w:szCs w:val="24"/>
        </w:rPr>
        <w:t xml:space="preserve"> - </w:t>
      </w:r>
      <w:r w:rsidR="002767F3">
        <w:rPr>
          <w:rFonts w:ascii="Times New Roman" w:hAnsi="Times New Roman" w:cs="Times New Roman"/>
          <w:sz w:val="24"/>
          <w:szCs w:val="24"/>
          <w:lang w:val="en-US"/>
        </w:rPr>
        <w:t>r</w:t>
      </w:r>
      <w:r w:rsidR="001266C4">
        <w:rPr>
          <w:rFonts w:ascii="Times New Roman" w:hAnsi="Times New Roman" w:cs="Times New Roman"/>
          <w:sz w:val="24"/>
          <w:szCs w:val="24"/>
        </w:rPr>
        <w:t>)</w:t>
      </w:r>
      <w:r w:rsidR="00924464">
        <w:rPr>
          <w:rFonts w:ascii="Times New Roman" w:hAnsi="Times New Roman" w:cs="Times New Roman"/>
          <w:sz w:val="24"/>
          <w:szCs w:val="24"/>
        </w:rPr>
        <w:t xml:space="preserve">, </w:t>
      </w:r>
      <w:r w:rsidR="00E22237">
        <w:rPr>
          <w:rFonts w:ascii="Times New Roman" w:hAnsi="Times New Roman" w:cs="Times New Roman"/>
          <w:sz w:val="24"/>
          <w:szCs w:val="24"/>
        </w:rPr>
        <w:t>индукция</w:t>
      </w:r>
      <w:r w:rsidR="00924464">
        <w:rPr>
          <w:rFonts w:ascii="Times New Roman" w:hAnsi="Times New Roman" w:cs="Times New Roman"/>
          <w:sz w:val="24"/>
          <w:szCs w:val="24"/>
        </w:rPr>
        <w:t>.</w:t>
      </w:r>
    </w:p>
    <w:p w:rsidR="00AE7C28" w:rsidRDefault="00AE7C28" w:rsidP="006428A5">
      <w:pPr>
        <w:spacing w:after="0" w:line="276" w:lineRule="auto"/>
        <w:ind w:firstLine="709"/>
        <w:jc w:val="both"/>
        <w:rPr>
          <w:rFonts w:ascii="Times New Roman" w:hAnsi="Times New Roman" w:cs="Times New Roman"/>
          <w:sz w:val="24"/>
          <w:szCs w:val="24"/>
        </w:rPr>
      </w:pPr>
    </w:p>
    <w:p w:rsidR="00805CFF" w:rsidRPr="00805CFF" w:rsidRDefault="00805CFF" w:rsidP="006428A5">
      <w:pPr>
        <w:pStyle w:val="ae"/>
        <w:numPr>
          <w:ilvl w:val="0"/>
          <w:numId w:val="6"/>
        </w:numPr>
        <w:spacing w:after="0" w:line="276" w:lineRule="auto"/>
        <w:ind w:left="0" w:firstLine="706"/>
        <w:jc w:val="both"/>
        <w:rPr>
          <w:rFonts w:ascii="Times New Roman" w:hAnsi="Times New Roman" w:cs="Times New Roman"/>
          <w:b/>
          <w:sz w:val="24"/>
          <w:szCs w:val="24"/>
          <w:lang w:val="en-US"/>
        </w:rPr>
      </w:pPr>
      <w:r>
        <w:rPr>
          <w:rFonts w:ascii="Times New Roman" w:hAnsi="Times New Roman" w:cs="Times New Roman"/>
          <w:b/>
          <w:sz w:val="24"/>
          <w:szCs w:val="24"/>
        </w:rPr>
        <w:t>Избор на критерии</w:t>
      </w:r>
      <w:r w:rsidRPr="00805CFF">
        <w:rPr>
          <w:rFonts w:ascii="Times New Roman" w:hAnsi="Times New Roman" w:cs="Times New Roman"/>
          <w:b/>
          <w:sz w:val="24"/>
          <w:szCs w:val="24"/>
        </w:rPr>
        <w:t xml:space="preserve"> за ефективност и изготвяне на сравнителен анализ</w:t>
      </w:r>
    </w:p>
    <w:p w:rsidR="003027F9" w:rsidRDefault="0063680B" w:rsidP="006428A5">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Посредством художествена абстракция се прави </w:t>
      </w:r>
      <w:r w:rsidR="00DE2387">
        <w:rPr>
          <w:rFonts w:ascii="Times New Roman" w:hAnsi="Times New Roman" w:cs="Times New Roman"/>
          <w:sz w:val="24"/>
          <w:szCs w:val="24"/>
        </w:rPr>
        <w:t>избор на критериите за ефективност, по които да бъде извършен сравнителния анализ</w:t>
      </w:r>
      <w:r w:rsidR="001266C4">
        <w:rPr>
          <w:rFonts w:ascii="Times New Roman" w:hAnsi="Times New Roman" w:cs="Times New Roman"/>
          <w:sz w:val="24"/>
          <w:szCs w:val="24"/>
        </w:rPr>
        <w:t>, с което да бъде изпълнена първата от задачите</w:t>
      </w:r>
      <w:r w:rsidR="00DE2387">
        <w:rPr>
          <w:rFonts w:ascii="Times New Roman" w:hAnsi="Times New Roman" w:cs="Times New Roman"/>
          <w:sz w:val="24"/>
          <w:szCs w:val="24"/>
        </w:rPr>
        <w:t xml:space="preserve">. </w:t>
      </w:r>
      <w:r w:rsidR="00FA0368">
        <w:rPr>
          <w:rFonts w:ascii="Times New Roman" w:hAnsi="Times New Roman" w:cs="Times New Roman"/>
          <w:sz w:val="24"/>
          <w:szCs w:val="24"/>
        </w:rPr>
        <w:t>Критериите за ефективност са обвързани с елементи от вътрешната и външната среда на ТГС, които от своя страна са включени в модел за измерване на ефективността на ТГС</w:t>
      </w:r>
      <w:r w:rsidR="00FA0368">
        <w:rPr>
          <w:rStyle w:val="a7"/>
          <w:rFonts w:ascii="Times New Roman" w:hAnsi="Times New Roman" w:cs="Times New Roman"/>
          <w:sz w:val="24"/>
          <w:szCs w:val="24"/>
        </w:rPr>
        <w:footnoteReference w:id="6"/>
      </w:r>
      <w:r w:rsidR="00FA0368">
        <w:rPr>
          <w:rFonts w:ascii="Times New Roman" w:hAnsi="Times New Roman" w:cs="Times New Roman"/>
          <w:sz w:val="24"/>
          <w:szCs w:val="24"/>
        </w:rPr>
        <w:t xml:space="preserve">, показан на фиг. 1. </w:t>
      </w:r>
    </w:p>
    <w:p w:rsidR="00FA0368" w:rsidRDefault="00FA0368" w:rsidP="006428A5">
      <w:pPr>
        <w:spacing w:after="0" w:line="276" w:lineRule="auto"/>
        <w:jc w:val="center"/>
        <w:rPr>
          <w:rFonts w:ascii="Times New Roman" w:hAnsi="Times New Roman" w:cs="Times New Roman"/>
          <w:sz w:val="24"/>
          <w:szCs w:val="24"/>
        </w:rPr>
      </w:pPr>
      <w:r>
        <w:rPr>
          <w:noProof/>
          <w:lang w:eastAsia="bg-BG"/>
        </w:rPr>
        <w:drawing>
          <wp:inline distT="0" distB="0" distL="0" distR="0" wp14:anchorId="257E5E83" wp14:editId="67AA76B2">
            <wp:extent cx="5609590" cy="257175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tretch>
                      <a:fillRect/>
                    </a:stretch>
                  </pic:blipFill>
                  <pic:spPr>
                    <a:xfrm>
                      <a:off x="0" y="0"/>
                      <a:ext cx="5701852" cy="2614048"/>
                    </a:xfrm>
                    <a:prstGeom prst="rect">
                      <a:avLst/>
                    </a:prstGeom>
                    <a:noFill/>
                    <a:ln>
                      <a:noFill/>
                    </a:ln>
                  </pic:spPr>
                </pic:pic>
              </a:graphicData>
            </a:graphic>
          </wp:inline>
        </w:drawing>
      </w:r>
    </w:p>
    <w:p w:rsidR="00FA0368" w:rsidRPr="00896278" w:rsidRDefault="00745C1B" w:rsidP="006428A5">
      <w:pPr>
        <w:spacing w:after="0" w:line="276" w:lineRule="auto"/>
        <w:jc w:val="center"/>
        <w:rPr>
          <w:rFonts w:ascii="Times New Roman" w:hAnsi="Times New Roman" w:cs="Times New Roman"/>
          <w:b/>
          <w:sz w:val="20"/>
          <w:szCs w:val="20"/>
        </w:rPr>
      </w:pPr>
      <w:r w:rsidRPr="00896278">
        <w:rPr>
          <w:rFonts w:ascii="Times New Roman" w:hAnsi="Times New Roman" w:cs="Times New Roman"/>
          <w:b/>
          <w:sz w:val="20"/>
          <w:szCs w:val="20"/>
        </w:rPr>
        <w:t>Фиг</w:t>
      </w:r>
      <w:r w:rsidR="007569E9" w:rsidRPr="00896278">
        <w:rPr>
          <w:rFonts w:ascii="Times New Roman" w:hAnsi="Times New Roman" w:cs="Times New Roman"/>
          <w:b/>
          <w:sz w:val="20"/>
          <w:szCs w:val="20"/>
        </w:rPr>
        <w:t>ура</w:t>
      </w:r>
      <w:r w:rsidRPr="00896278">
        <w:rPr>
          <w:rFonts w:ascii="Times New Roman" w:hAnsi="Times New Roman" w:cs="Times New Roman"/>
          <w:b/>
          <w:sz w:val="20"/>
          <w:szCs w:val="20"/>
        </w:rPr>
        <w:t xml:space="preserve"> 1. Модел за измерване на ефективността на ТГС</w:t>
      </w:r>
    </w:p>
    <w:p w:rsidR="00AE7C28" w:rsidRPr="001266C4" w:rsidRDefault="00AE7C28" w:rsidP="00896278">
      <w:pPr>
        <w:spacing w:after="0" w:line="276" w:lineRule="auto"/>
        <w:rPr>
          <w:rFonts w:ascii="Times New Roman" w:hAnsi="Times New Roman" w:cs="Times New Roman"/>
        </w:rPr>
      </w:pPr>
    </w:p>
    <w:p w:rsidR="00FA0368" w:rsidRDefault="00745C1B" w:rsidP="006428A5">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Първият критерий за ефективност (КЕ 1) се отнася до броя на реализираните трансгранични проекти за двата сравнявани програмни периода – 2000-2006 г. и 2007-2013 г., а вторият </w:t>
      </w:r>
      <w:r w:rsidR="00455A28">
        <w:rPr>
          <w:rFonts w:ascii="Times New Roman" w:hAnsi="Times New Roman" w:cs="Times New Roman"/>
          <w:sz w:val="24"/>
          <w:szCs w:val="24"/>
        </w:rPr>
        <w:t xml:space="preserve">(КЕ 2) </w:t>
      </w:r>
      <w:r>
        <w:rPr>
          <w:rFonts w:ascii="Times New Roman" w:hAnsi="Times New Roman" w:cs="Times New Roman"/>
          <w:sz w:val="24"/>
          <w:szCs w:val="24"/>
        </w:rPr>
        <w:t>измерва средства</w:t>
      </w:r>
      <w:r w:rsidR="00455A28">
        <w:rPr>
          <w:rFonts w:ascii="Times New Roman" w:hAnsi="Times New Roman" w:cs="Times New Roman"/>
          <w:sz w:val="24"/>
          <w:szCs w:val="24"/>
        </w:rPr>
        <w:t>та, които са усвоени от финансовите инструменти</w:t>
      </w:r>
      <w:r w:rsidR="00455A28">
        <w:rPr>
          <w:rStyle w:val="a7"/>
          <w:rFonts w:ascii="Times New Roman" w:hAnsi="Times New Roman" w:cs="Times New Roman"/>
          <w:sz w:val="24"/>
          <w:szCs w:val="24"/>
        </w:rPr>
        <w:footnoteReference w:id="7"/>
      </w:r>
      <w:r w:rsidR="00455A28">
        <w:rPr>
          <w:rFonts w:ascii="Times New Roman" w:hAnsi="Times New Roman" w:cs="Times New Roman"/>
          <w:sz w:val="24"/>
          <w:szCs w:val="24"/>
        </w:rPr>
        <w:t xml:space="preserve"> на ЕС за реализирането на трансграничните проекти. </w:t>
      </w:r>
      <w:r w:rsidR="007D64E9">
        <w:rPr>
          <w:rFonts w:ascii="Times New Roman" w:hAnsi="Times New Roman" w:cs="Times New Roman"/>
          <w:sz w:val="24"/>
          <w:szCs w:val="24"/>
        </w:rPr>
        <w:t>За да бъде направен сравнителния анализ, са обработени 190 проекта, реализирани общо за двата програмни периода.</w:t>
      </w:r>
      <w:r w:rsidR="00990E4C">
        <w:rPr>
          <w:rStyle w:val="a7"/>
          <w:rFonts w:ascii="Times New Roman" w:hAnsi="Times New Roman" w:cs="Times New Roman"/>
          <w:sz w:val="24"/>
          <w:szCs w:val="24"/>
        </w:rPr>
        <w:footnoteReference w:id="8"/>
      </w:r>
      <w:r w:rsidR="007D64E9">
        <w:rPr>
          <w:rFonts w:ascii="Times New Roman" w:hAnsi="Times New Roman" w:cs="Times New Roman"/>
          <w:sz w:val="24"/>
          <w:szCs w:val="24"/>
        </w:rPr>
        <w:t xml:space="preserve"> Финансирането от страна на ЕС достига почти 260 млн. евро. През първия програмен период реализираните </w:t>
      </w:r>
      <w:r w:rsidR="00800A50">
        <w:rPr>
          <w:rFonts w:ascii="Times New Roman" w:hAnsi="Times New Roman" w:cs="Times New Roman"/>
          <w:sz w:val="24"/>
          <w:szCs w:val="24"/>
        </w:rPr>
        <w:t xml:space="preserve">проекти са 56 или 29% от общия брой (диаграми 1 и 2). През втория програмен период се наблюдава значителен ръст както в реализирането на трансгранични проекти, така и в усвояването на финансови средства – 134 проекта на стойност почти 210 млн. евро (диаграми 1 и 2). </w:t>
      </w:r>
    </w:p>
    <w:p w:rsidR="007569E9" w:rsidRDefault="007569E9" w:rsidP="006428A5">
      <w:pPr>
        <w:spacing w:after="0" w:line="276" w:lineRule="auto"/>
        <w:ind w:firstLine="709"/>
        <w:jc w:val="both"/>
        <w:rPr>
          <w:rFonts w:ascii="Times New Roman" w:hAnsi="Times New Roman" w:cs="Times New Roman"/>
          <w:sz w:val="24"/>
          <w:szCs w:val="24"/>
        </w:rPr>
      </w:pPr>
    </w:p>
    <w:p w:rsidR="00800A50" w:rsidRDefault="00664992" w:rsidP="006428A5">
      <w:pPr>
        <w:spacing w:after="0" w:line="276"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bg-BG"/>
        </w:rPr>
        <w:lastRenderedPageBreak/>
        <w:drawing>
          <wp:inline distT="0" distB="0" distL="0" distR="0" wp14:anchorId="57295B7F" wp14:editId="68A80714">
            <wp:extent cx="3076575" cy="1952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1397" r="43497" b="1772"/>
                    <a:stretch/>
                  </pic:blipFill>
                  <pic:spPr bwMode="auto">
                    <a:xfrm>
                      <a:off x="0" y="0"/>
                      <a:ext cx="3140613" cy="1993268"/>
                    </a:xfrm>
                    <a:prstGeom prst="rect">
                      <a:avLst/>
                    </a:prstGeom>
                    <a:noFill/>
                    <a:ln>
                      <a:noFill/>
                    </a:ln>
                    <a:extLst>
                      <a:ext uri="{53640926-AAD7-44D8-BBD7-CCE9431645EC}">
                        <a14:shadowObscured xmlns:a14="http://schemas.microsoft.com/office/drawing/2010/main"/>
                      </a:ext>
                    </a:extLst>
                  </pic:spPr>
                </pic:pic>
              </a:graphicData>
            </a:graphic>
          </wp:inline>
        </w:drawing>
      </w:r>
      <w:r w:rsidR="00DB74A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DB74A9">
        <w:rPr>
          <w:rFonts w:ascii="Times New Roman" w:hAnsi="Times New Roman" w:cs="Times New Roman"/>
          <w:noProof/>
          <w:sz w:val="24"/>
          <w:szCs w:val="24"/>
          <w:lang w:eastAsia="bg-BG"/>
        </w:rPr>
        <w:drawing>
          <wp:inline distT="0" distB="0" distL="0" distR="0" wp14:anchorId="11247258" wp14:editId="3E4358E9">
            <wp:extent cx="2362200" cy="1914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E1-and-KE2.jpg"/>
                    <pic:cNvPicPr/>
                  </pic:nvPicPr>
                  <pic:blipFill>
                    <a:blip r:embed="rId11">
                      <a:extLst>
                        <a:ext uri="{28A0092B-C50C-407E-A947-70E740481C1C}">
                          <a14:useLocalDpi xmlns:a14="http://schemas.microsoft.com/office/drawing/2010/main" val="0"/>
                        </a:ext>
                      </a:extLst>
                    </a:blip>
                    <a:stretch>
                      <a:fillRect/>
                    </a:stretch>
                  </pic:blipFill>
                  <pic:spPr>
                    <a:xfrm>
                      <a:off x="0" y="0"/>
                      <a:ext cx="2370256" cy="1921054"/>
                    </a:xfrm>
                    <a:prstGeom prst="rect">
                      <a:avLst/>
                    </a:prstGeom>
                  </pic:spPr>
                </pic:pic>
              </a:graphicData>
            </a:graphic>
          </wp:inline>
        </w:drawing>
      </w:r>
    </w:p>
    <w:p w:rsidR="00800A50" w:rsidRPr="00455A28" w:rsidRDefault="007569E9" w:rsidP="006428A5">
      <w:pPr>
        <w:spacing w:after="0" w:line="276" w:lineRule="auto"/>
        <w:ind w:firstLine="709"/>
        <w:jc w:val="both"/>
        <w:rPr>
          <w:rFonts w:ascii="Times New Roman" w:hAnsi="Times New Roman" w:cs="Times New Roman"/>
          <w:sz w:val="24"/>
          <w:szCs w:val="24"/>
        </w:rPr>
      </w:pPr>
      <w:r>
        <w:rPr>
          <w:noProof/>
          <w:lang w:eastAsia="bg-BG"/>
        </w:rPr>
        <mc:AlternateContent>
          <mc:Choice Requires="wps">
            <w:drawing>
              <wp:anchor distT="0" distB="0" distL="114300" distR="114300" simplePos="0" relativeHeight="251661312" behindDoc="0" locked="0" layoutInCell="1" allowOverlap="1" wp14:anchorId="37CD2C38" wp14:editId="55262FC4">
                <wp:simplePos x="0" y="0"/>
                <wp:positionH relativeFrom="margin">
                  <wp:posOffset>3419475</wp:posOffset>
                </wp:positionH>
                <wp:positionV relativeFrom="paragraph">
                  <wp:posOffset>5715</wp:posOffset>
                </wp:positionV>
                <wp:extent cx="1933575"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933575" cy="1828800"/>
                        </a:xfrm>
                        <a:prstGeom prst="rect">
                          <a:avLst/>
                        </a:prstGeom>
                        <a:noFill/>
                        <a:ln w="6350">
                          <a:noFill/>
                        </a:ln>
                        <a:effectLst/>
                      </wps:spPr>
                      <wps:txbx>
                        <w:txbxContent>
                          <w:p w:rsidR="00671876" w:rsidRPr="00896278" w:rsidRDefault="00671876" w:rsidP="007569E9">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2. Процентен дял на КЕ 1 и КЕ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7CD2C38" id="_x0000_t202" coordsize="21600,21600" o:spt="202" path="m,l,21600r21600,l21600,xe">
                <v:stroke joinstyle="miter"/>
                <v:path gradientshapeok="t" o:connecttype="rect"/>
              </v:shapetype>
              <v:shape id="Text Box 22" o:spid="_x0000_s1026" type="#_x0000_t202" style="position:absolute;left:0;text-align:left;margin-left:269.25pt;margin-top:.45pt;width:152.2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" filled="f" stroked="f" strokeweight=".5pt">
                <v:textbox style="mso-fit-shape-to-text:t">
                  <w:txbxContent>
                    <w:p w:rsidR="00671876" w:rsidRPr="00896278" w:rsidRDefault="00671876" w:rsidP="007569E9">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2. Процентен дял на КЕ 1 и КЕ 2</w:t>
                      </w:r>
                    </w:p>
                  </w:txbxContent>
                </v:textbox>
                <w10:wrap type="square" anchorx="margin"/>
              </v:shape>
            </w:pict>
          </mc:Fallback>
        </mc:AlternateContent>
      </w:r>
      <w:r>
        <w:rPr>
          <w:noProof/>
          <w:lang w:eastAsia="bg-BG"/>
        </w:rPr>
        <mc:AlternateContent>
          <mc:Choice Requires="wps">
            <w:drawing>
              <wp:anchor distT="0" distB="0" distL="114300" distR="114300" simplePos="0" relativeHeight="251659264" behindDoc="0" locked="0" layoutInCell="1" allowOverlap="1" wp14:anchorId="19E54F9F" wp14:editId="0D2C4182">
                <wp:simplePos x="0" y="0"/>
                <wp:positionH relativeFrom="margin">
                  <wp:align>left</wp:align>
                </wp:positionH>
                <wp:positionV relativeFrom="paragraph">
                  <wp:posOffset>5715</wp:posOffset>
                </wp:positionV>
                <wp:extent cx="2343150" cy="1828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343150" cy="1828800"/>
                        </a:xfrm>
                        <a:prstGeom prst="rect">
                          <a:avLst/>
                        </a:prstGeom>
                        <a:noFill/>
                        <a:ln w="6350">
                          <a:noFill/>
                        </a:ln>
                        <a:effectLst/>
                      </wps:spPr>
                      <wps:txbx>
                        <w:txbxContent>
                          <w:p w:rsidR="00671876" w:rsidRPr="00896278" w:rsidRDefault="00671876" w:rsidP="007569E9">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1. Сравнителен анализ на ТГС по КЕ 1 и КЕ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E54F9F" id="Text Box 21" o:spid="_x0000_s1027" type="#_x0000_t202" style="position:absolute;left:0;text-align:left;margin-left:0;margin-top:.45pt;width:184.5pt;height:2in;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" filled="f" stroked="f" strokeweight=".5pt">
                <v:textbox style="mso-fit-shape-to-text:t">
                  <w:txbxContent>
                    <w:p w:rsidR="00671876" w:rsidRPr="00896278" w:rsidRDefault="00671876" w:rsidP="007569E9">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1. Сравнителен анализ на ТГС по КЕ 1 и КЕ 2</w:t>
                      </w:r>
                    </w:p>
                  </w:txbxContent>
                </v:textbox>
                <w10:wrap type="square" anchorx="margin"/>
              </v:shape>
            </w:pict>
          </mc:Fallback>
        </mc:AlternateContent>
      </w:r>
    </w:p>
    <w:p w:rsidR="00341EEC" w:rsidRDefault="00341EEC" w:rsidP="006428A5">
      <w:pPr>
        <w:spacing w:after="0" w:line="276" w:lineRule="auto"/>
        <w:jc w:val="both"/>
        <w:rPr>
          <w:rFonts w:ascii="Times New Roman" w:hAnsi="Times New Roman" w:cs="Times New Roman"/>
          <w:sz w:val="24"/>
          <w:szCs w:val="24"/>
        </w:rPr>
      </w:pPr>
    </w:p>
    <w:p w:rsidR="007569E9" w:rsidRDefault="007569E9" w:rsidP="006428A5">
      <w:pPr>
        <w:spacing w:after="0" w:line="276" w:lineRule="auto"/>
        <w:jc w:val="both"/>
        <w:rPr>
          <w:rFonts w:ascii="Times New Roman" w:hAnsi="Times New Roman" w:cs="Times New Roman"/>
          <w:sz w:val="24"/>
          <w:szCs w:val="24"/>
        </w:rPr>
      </w:pPr>
    </w:p>
    <w:p w:rsidR="00484AEE" w:rsidRDefault="003027F9" w:rsidP="006428A5">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ab/>
        <w:t xml:space="preserve">Третият критерий за ефективност (КЕ 3) обединява първите два </w:t>
      </w:r>
      <w:r w:rsidR="00B47A7C">
        <w:rPr>
          <w:rFonts w:ascii="Times New Roman" w:hAnsi="Times New Roman" w:cs="Times New Roman"/>
          <w:sz w:val="24"/>
          <w:szCs w:val="24"/>
        </w:rPr>
        <w:t xml:space="preserve">критерия, отнасяйки ги към аспектите на „широката“ сигурност – политическа, икономическа, социална, екологична и културна. </w:t>
      </w:r>
      <w:r w:rsidR="00E75DA9">
        <w:rPr>
          <w:rFonts w:ascii="Times New Roman" w:hAnsi="Times New Roman" w:cs="Times New Roman"/>
          <w:sz w:val="24"/>
          <w:szCs w:val="24"/>
        </w:rPr>
        <w:t xml:space="preserve">При обработването на </w:t>
      </w:r>
      <w:r w:rsidR="00484AEE">
        <w:rPr>
          <w:rFonts w:ascii="Times New Roman" w:hAnsi="Times New Roman" w:cs="Times New Roman"/>
          <w:sz w:val="24"/>
          <w:szCs w:val="24"/>
        </w:rPr>
        <w:t xml:space="preserve">данните от </w:t>
      </w:r>
      <w:r w:rsidR="00484AEE">
        <w:rPr>
          <w:rFonts w:ascii="Times New Roman" w:hAnsi="Times New Roman" w:cs="Times New Roman"/>
          <w:sz w:val="24"/>
          <w:szCs w:val="24"/>
          <w:lang w:val="en-US"/>
        </w:rPr>
        <w:t>KEEP</w:t>
      </w:r>
      <w:r w:rsidR="00484AEE">
        <w:rPr>
          <w:rFonts w:ascii="Times New Roman" w:hAnsi="Times New Roman" w:cs="Times New Roman"/>
          <w:sz w:val="24"/>
          <w:szCs w:val="24"/>
        </w:rPr>
        <w:t>,</w:t>
      </w:r>
      <w:r w:rsidR="00E75DA9">
        <w:rPr>
          <w:rFonts w:ascii="Times New Roman" w:hAnsi="Times New Roman" w:cs="Times New Roman"/>
          <w:sz w:val="24"/>
          <w:szCs w:val="24"/>
        </w:rPr>
        <w:t xml:space="preserve"> проектите</w:t>
      </w:r>
      <w:r w:rsidR="00484AEE">
        <w:rPr>
          <w:rFonts w:ascii="Times New Roman" w:hAnsi="Times New Roman" w:cs="Times New Roman"/>
          <w:sz w:val="24"/>
          <w:szCs w:val="24"/>
          <w:lang w:val="en-US"/>
        </w:rPr>
        <w:t xml:space="preserve"> </w:t>
      </w:r>
      <w:r w:rsidR="00484AEE">
        <w:rPr>
          <w:rFonts w:ascii="Times New Roman" w:hAnsi="Times New Roman" w:cs="Times New Roman"/>
          <w:sz w:val="24"/>
          <w:szCs w:val="24"/>
        </w:rPr>
        <w:t>са квалифицирани по аспекти според заложените от отговорните органи характеристики, цели и постигнати резултати.</w:t>
      </w:r>
      <w:r w:rsidR="00E75DA9">
        <w:rPr>
          <w:rFonts w:ascii="Times New Roman" w:hAnsi="Times New Roman" w:cs="Times New Roman"/>
          <w:sz w:val="24"/>
          <w:szCs w:val="24"/>
        </w:rPr>
        <w:t xml:space="preserve"> </w:t>
      </w:r>
      <w:r w:rsidR="00484AEE">
        <w:rPr>
          <w:rFonts w:ascii="Times New Roman" w:hAnsi="Times New Roman" w:cs="Times New Roman"/>
          <w:sz w:val="24"/>
          <w:szCs w:val="24"/>
        </w:rPr>
        <w:t xml:space="preserve">Повечето от проектите оказват влияние върху два или три аспекта на „широката“ сигурност. Само няколко проекта имат насоченост към един-единствен аспект – това се наблюдава при проектите от икономическата сигурност и екологичната сигурност (диаграми 4 и 6). </w:t>
      </w:r>
    </w:p>
    <w:p w:rsidR="003027F9" w:rsidRDefault="00B27D23" w:rsidP="006428A5">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Резултатите от сравнителния анализ по КЕ 3 показват положителна тенденция (Диаграми 3, 4, 5, 6 и 7). </w:t>
      </w:r>
      <w:r w:rsidR="00177B95">
        <w:rPr>
          <w:rFonts w:ascii="Times New Roman" w:hAnsi="Times New Roman" w:cs="Times New Roman"/>
          <w:sz w:val="24"/>
          <w:szCs w:val="24"/>
        </w:rPr>
        <w:t xml:space="preserve">Средно три пъти се е повишил броят на реализираните проекти през програмния период 2007-2013 г. по петте аспекта на „широката“ сигурност. </w:t>
      </w:r>
      <w:r>
        <w:rPr>
          <w:rFonts w:ascii="Times New Roman" w:hAnsi="Times New Roman" w:cs="Times New Roman"/>
          <w:sz w:val="24"/>
          <w:szCs w:val="24"/>
        </w:rPr>
        <w:t>Най-много ползи от реализираните проекти се отбелязват в сферата на икономическата сигурност – 90 проекта или 67% от всички проекти, осъществени в периода 2007-2013 г., на стойност 142 млн. евро</w:t>
      </w:r>
      <w:r w:rsidR="00344569">
        <w:rPr>
          <w:rFonts w:ascii="Times New Roman" w:hAnsi="Times New Roman" w:cs="Times New Roman"/>
          <w:sz w:val="24"/>
          <w:szCs w:val="24"/>
        </w:rPr>
        <w:t xml:space="preserve"> (диаграма 4)</w:t>
      </w:r>
      <w:r w:rsidR="009C0433">
        <w:rPr>
          <w:rFonts w:ascii="Times New Roman" w:hAnsi="Times New Roman" w:cs="Times New Roman"/>
          <w:sz w:val="24"/>
          <w:szCs w:val="24"/>
        </w:rPr>
        <w:t xml:space="preserve">. </w:t>
      </w:r>
      <w:r w:rsidR="00344569">
        <w:rPr>
          <w:rFonts w:ascii="Times New Roman" w:hAnsi="Times New Roman" w:cs="Times New Roman"/>
          <w:sz w:val="24"/>
          <w:szCs w:val="24"/>
        </w:rPr>
        <w:t>И през двата програмни периода р</w:t>
      </w:r>
      <w:r w:rsidR="009C0433">
        <w:rPr>
          <w:rFonts w:ascii="Times New Roman" w:hAnsi="Times New Roman" w:cs="Times New Roman"/>
          <w:sz w:val="24"/>
          <w:szCs w:val="24"/>
        </w:rPr>
        <w:t>еализирането на трансгранични проекти, повишаващи социалната и културната сигурност, не е приоритетно за страните участници в ТГС</w:t>
      </w:r>
      <w:r w:rsidR="00344569">
        <w:rPr>
          <w:rFonts w:ascii="Times New Roman" w:hAnsi="Times New Roman" w:cs="Times New Roman"/>
          <w:sz w:val="24"/>
          <w:szCs w:val="24"/>
        </w:rPr>
        <w:t xml:space="preserve"> (диаграми 5 и 7). В сферата на екологичната сигурност за периода 2007-2013 г. се наблюдава повишаване на себестойността и мащаба на проектите – за реализираните 64 проекта са </w:t>
      </w:r>
      <w:r w:rsidR="009219B8">
        <w:rPr>
          <w:rFonts w:ascii="Times New Roman" w:hAnsi="Times New Roman" w:cs="Times New Roman"/>
          <w:sz w:val="24"/>
          <w:szCs w:val="24"/>
        </w:rPr>
        <w:t>усвоени</w:t>
      </w:r>
      <w:r w:rsidR="00344569">
        <w:rPr>
          <w:rFonts w:ascii="Times New Roman" w:hAnsi="Times New Roman" w:cs="Times New Roman"/>
          <w:sz w:val="24"/>
          <w:szCs w:val="24"/>
        </w:rPr>
        <w:t xml:space="preserve"> 66% от </w:t>
      </w:r>
      <w:r w:rsidR="009219B8">
        <w:rPr>
          <w:rFonts w:ascii="Times New Roman" w:hAnsi="Times New Roman" w:cs="Times New Roman"/>
          <w:sz w:val="24"/>
          <w:szCs w:val="24"/>
        </w:rPr>
        <w:t>общите 209,5 млн. евро за конкретния период (диаграма 6).</w:t>
      </w:r>
    </w:p>
    <w:p w:rsidR="009219B8" w:rsidRDefault="009219B8" w:rsidP="006428A5">
      <w:pPr>
        <w:spacing w:after="0" w:line="276" w:lineRule="auto"/>
        <w:ind w:firstLine="709"/>
        <w:jc w:val="both"/>
        <w:rPr>
          <w:rFonts w:ascii="Times New Roman" w:hAnsi="Times New Roman" w:cs="Times New Roman"/>
          <w:sz w:val="24"/>
          <w:szCs w:val="24"/>
        </w:rPr>
      </w:pPr>
    </w:p>
    <w:p w:rsidR="007569E9" w:rsidRDefault="00EE3064" w:rsidP="006428A5">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14:anchorId="4FD2E29F" wp14:editId="684CD1DD">
            <wp:extent cx="2664847" cy="1584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419" r="19516"/>
                    <a:stretch/>
                  </pic:blipFill>
                  <pic:spPr bwMode="auto">
                    <a:xfrm>
                      <a:off x="0" y="0"/>
                      <a:ext cx="2664847" cy="1584000"/>
                    </a:xfrm>
                    <a:prstGeom prst="rect">
                      <a:avLst/>
                    </a:prstGeom>
                    <a:noFill/>
                    <a:ln>
                      <a:noFill/>
                    </a:ln>
                    <a:extLst>
                      <a:ext uri="{53640926-AAD7-44D8-BBD7-CCE9431645EC}">
                        <a14:shadowObscured xmlns:a14="http://schemas.microsoft.com/office/drawing/2010/main"/>
                      </a:ext>
                    </a:extLst>
                  </pic:spPr>
                </pic:pic>
              </a:graphicData>
            </a:graphic>
          </wp:inline>
        </w:drawing>
      </w:r>
      <w:r w:rsidR="006E2044">
        <w:rPr>
          <w:rFonts w:ascii="Times New Roman" w:hAnsi="Times New Roman" w:cs="Times New Roman"/>
          <w:noProof/>
          <w:sz w:val="24"/>
          <w:szCs w:val="24"/>
          <w:lang w:eastAsia="bg-BG"/>
        </w:rPr>
        <w:drawing>
          <wp:inline distT="0" distB="0" distL="0" distR="0" wp14:anchorId="661BFEE6" wp14:editId="5B0EA1CF">
            <wp:extent cx="2834024" cy="1584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4943" r="3098"/>
                    <a:stretch/>
                  </pic:blipFill>
                  <pic:spPr bwMode="auto">
                    <a:xfrm>
                      <a:off x="0" y="0"/>
                      <a:ext cx="2834024" cy="1584000"/>
                    </a:xfrm>
                    <a:prstGeom prst="rect">
                      <a:avLst/>
                    </a:prstGeom>
                    <a:noFill/>
                    <a:ln>
                      <a:noFill/>
                    </a:ln>
                    <a:extLst>
                      <a:ext uri="{53640926-AAD7-44D8-BBD7-CCE9431645EC}">
                        <a14:shadowObscured xmlns:a14="http://schemas.microsoft.com/office/drawing/2010/main"/>
                      </a:ext>
                    </a:extLst>
                  </pic:spPr>
                </pic:pic>
              </a:graphicData>
            </a:graphic>
          </wp:inline>
        </w:drawing>
      </w:r>
    </w:p>
    <w:p w:rsidR="00A436FD" w:rsidRDefault="00E61069" w:rsidP="006428A5">
      <w:pPr>
        <w:spacing w:after="0" w:line="276" w:lineRule="auto"/>
        <w:jc w:val="both"/>
        <w:rPr>
          <w:rFonts w:ascii="Times New Roman" w:hAnsi="Times New Roman" w:cs="Times New Roman"/>
          <w:sz w:val="24"/>
          <w:szCs w:val="24"/>
        </w:rPr>
      </w:pPr>
      <w:r w:rsidRPr="006E2044">
        <w:rPr>
          <w:noProof/>
          <w:lang w:eastAsia="bg-BG"/>
        </w:rPr>
        <mc:AlternateContent>
          <mc:Choice Requires="wps">
            <w:drawing>
              <wp:anchor distT="0" distB="0" distL="114300" distR="114300" simplePos="0" relativeHeight="251665408" behindDoc="0" locked="0" layoutInCell="1" allowOverlap="1" wp14:anchorId="7DA5D65C" wp14:editId="5E1D6FCC">
                <wp:simplePos x="0" y="0"/>
                <wp:positionH relativeFrom="margin">
                  <wp:posOffset>2914650</wp:posOffset>
                </wp:positionH>
                <wp:positionV relativeFrom="paragraph">
                  <wp:posOffset>9525</wp:posOffset>
                </wp:positionV>
                <wp:extent cx="2295525" cy="18288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295525" cy="1828800"/>
                        </a:xfrm>
                        <a:prstGeom prst="rect">
                          <a:avLst/>
                        </a:prstGeom>
                        <a:noFill/>
                        <a:ln w="6350">
                          <a:noFill/>
                        </a:ln>
                        <a:effectLst/>
                      </wps:spPr>
                      <wps:txbx>
                        <w:txbxContent>
                          <w:p w:rsidR="00671876" w:rsidRPr="00896278" w:rsidRDefault="00671876" w:rsidP="006E2044">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4. Сравнителен анализ на ТГС по КЕ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A5D65C" id="Text Box 7" o:spid="_x0000_s1028" type="#_x0000_t202" style="position:absolute;left:0;text-align:left;margin-left:229.5pt;margin-top:.75pt;width:180.75pt;height:2in;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" filled="f" stroked="f" strokeweight=".5pt">
                <v:textbox style="mso-fit-shape-to-text:t">
                  <w:txbxContent>
                    <w:p w:rsidR="00671876" w:rsidRPr="00896278" w:rsidRDefault="00671876" w:rsidP="006E2044">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4. Сравнителен анализ на ТГС по КЕ 3-2</w:t>
                      </w:r>
                    </w:p>
                  </w:txbxContent>
                </v:textbox>
                <w10:wrap type="square" anchorx="margin"/>
              </v:shape>
            </w:pict>
          </mc:Fallback>
        </mc:AlternateContent>
      </w:r>
      <w:r w:rsidRPr="006E2044">
        <w:rPr>
          <w:noProof/>
          <w:lang w:eastAsia="bg-BG"/>
        </w:rPr>
        <mc:AlternateContent>
          <mc:Choice Requires="wps">
            <w:drawing>
              <wp:anchor distT="0" distB="0" distL="114300" distR="114300" simplePos="0" relativeHeight="251663360" behindDoc="0" locked="0" layoutInCell="1" allowOverlap="1" wp14:anchorId="3DE430C9" wp14:editId="76306DBA">
                <wp:simplePos x="0" y="0"/>
                <wp:positionH relativeFrom="margin">
                  <wp:posOffset>194945</wp:posOffset>
                </wp:positionH>
                <wp:positionV relativeFrom="paragraph">
                  <wp:posOffset>13970</wp:posOffset>
                </wp:positionV>
                <wp:extent cx="2390775" cy="40005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2390775" cy="400050"/>
                        </a:xfrm>
                        <a:prstGeom prst="rect">
                          <a:avLst/>
                        </a:prstGeom>
                        <a:noFill/>
                        <a:ln w="6350">
                          <a:noFill/>
                        </a:ln>
                        <a:effectLst/>
                      </wps:spPr>
                      <wps:txbx>
                        <w:txbxContent>
                          <w:p w:rsidR="00671876" w:rsidRPr="00896278" w:rsidRDefault="00671876" w:rsidP="006E2044">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3. Сравнителен анализ на ТГС по КЕ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430C9" id="Text Box 6" o:spid="_x0000_s1029" type="#_x0000_t202" style="position:absolute;left:0;text-align:left;margin-left:15.35pt;margin-top:1.1pt;width:188.25pt;height:3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" filled="f" stroked="f" strokeweight=".5pt">
                <v:textbox>
                  <w:txbxContent>
                    <w:p w:rsidR="00671876" w:rsidRPr="00896278" w:rsidRDefault="00671876" w:rsidP="006E2044">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3. Сравнителен анализ на ТГС по КЕ 3-1</w:t>
                      </w:r>
                    </w:p>
                  </w:txbxContent>
                </v:textbox>
                <w10:wrap type="square" anchorx="margin"/>
              </v:shape>
            </w:pict>
          </mc:Fallback>
        </mc:AlternateContent>
      </w:r>
    </w:p>
    <w:p w:rsidR="009219B8" w:rsidRDefault="009219B8" w:rsidP="006428A5">
      <w:pPr>
        <w:spacing w:after="0" w:line="276" w:lineRule="auto"/>
        <w:jc w:val="both"/>
        <w:rPr>
          <w:rFonts w:ascii="Times New Roman" w:hAnsi="Times New Roman" w:cs="Times New Roman"/>
          <w:sz w:val="24"/>
          <w:szCs w:val="24"/>
        </w:rPr>
      </w:pPr>
    </w:p>
    <w:p w:rsidR="006E2044" w:rsidRDefault="00A436FD" w:rsidP="006428A5">
      <w:pPr>
        <w:spacing w:after="0" w:line="276" w:lineRule="auto"/>
        <w:jc w:val="both"/>
        <w:rPr>
          <w:rFonts w:ascii="Times New Roman" w:hAnsi="Times New Roman" w:cs="Times New Roman"/>
          <w:sz w:val="24"/>
          <w:szCs w:val="24"/>
        </w:rPr>
      </w:pPr>
      <w:r>
        <w:rPr>
          <w:rFonts w:ascii="Times New Roman" w:hAnsi="Times New Roman" w:cs="Times New Roman"/>
          <w:noProof/>
          <w:sz w:val="24"/>
          <w:szCs w:val="24"/>
          <w:lang w:eastAsia="bg-BG"/>
        </w:rPr>
        <w:lastRenderedPageBreak/>
        <w:drawing>
          <wp:inline distT="0" distB="0" distL="0" distR="0" wp14:anchorId="5DFB05B7">
            <wp:extent cx="2668286" cy="158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l="3058" t="1623" r="15307"/>
                    <a:stretch/>
                  </pic:blipFill>
                  <pic:spPr bwMode="auto">
                    <a:xfrm>
                      <a:off x="0" y="0"/>
                      <a:ext cx="2668286" cy="1584000"/>
                    </a:xfrm>
                    <a:prstGeom prst="rect">
                      <a:avLst/>
                    </a:prstGeom>
                    <a:noFill/>
                    <a:ln>
                      <a:noFill/>
                    </a:ln>
                    <a:extLst>
                      <a:ext uri="{53640926-AAD7-44D8-BBD7-CCE9431645EC}">
                        <a14:shadowObscured xmlns:a14="http://schemas.microsoft.com/office/drawing/2010/main"/>
                      </a:ext>
                    </a:extLst>
                  </pic:spPr>
                </pic:pic>
              </a:graphicData>
            </a:graphic>
          </wp:inline>
        </w:drawing>
      </w:r>
      <w:r w:rsidR="00FA141C">
        <w:rPr>
          <w:rFonts w:ascii="Times New Roman" w:hAnsi="Times New Roman" w:cs="Times New Roman"/>
          <w:noProof/>
          <w:sz w:val="24"/>
          <w:szCs w:val="24"/>
          <w:lang w:eastAsia="bg-BG"/>
        </w:rPr>
        <w:drawing>
          <wp:inline distT="0" distB="0" distL="0" distR="0" wp14:anchorId="7F227D9E">
            <wp:extent cx="2785677" cy="158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3799" r="30804"/>
                    <a:stretch/>
                  </pic:blipFill>
                  <pic:spPr bwMode="auto">
                    <a:xfrm>
                      <a:off x="0" y="0"/>
                      <a:ext cx="2785677" cy="1584000"/>
                    </a:xfrm>
                    <a:prstGeom prst="rect">
                      <a:avLst/>
                    </a:prstGeom>
                    <a:noFill/>
                    <a:ln>
                      <a:noFill/>
                    </a:ln>
                    <a:extLst>
                      <a:ext uri="{53640926-AAD7-44D8-BBD7-CCE9431645EC}">
                        <a14:shadowObscured xmlns:a14="http://schemas.microsoft.com/office/drawing/2010/main"/>
                      </a:ext>
                    </a:extLst>
                  </pic:spPr>
                </pic:pic>
              </a:graphicData>
            </a:graphic>
          </wp:inline>
        </w:drawing>
      </w:r>
    </w:p>
    <w:p w:rsidR="006E2044" w:rsidRDefault="00FA141C" w:rsidP="006428A5">
      <w:pPr>
        <w:spacing w:after="0" w:line="276" w:lineRule="auto"/>
        <w:jc w:val="both"/>
        <w:rPr>
          <w:rFonts w:ascii="Times New Roman" w:hAnsi="Times New Roman" w:cs="Times New Roman"/>
          <w:sz w:val="24"/>
          <w:szCs w:val="24"/>
        </w:rPr>
      </w:pPr>
      <w:r w:rsidRPr="006E2044">
        <w:rPr>
          <w:noProof/>
          <w:lang w:eastAsia="bg-BG"/>
        </w:rPr>
        <mc:AlternateContent>
          <mc:Choice Requires="wps">
            <w:drawing>
              <wp:anchor distT="0" distB="0" distL="114300" distR="114300" simplePos="0" relativeHeight="251669504" behindDoc="0" locked="0" layoutInCell="1" allowOverlap="1" wp14:anchorId="4F29E44B" wp14:editId="1527E88A">
                <wp:simplePos x="0" y="0"/>
                <wp:positionH relativeFrom="margin">
                  <wp:posOffset>2933700</wp:posOffset>
                </wp:positionH>
                <wp:positionV relativeFrom="paragraph">
                  <wp:posOffset>8890</wp:posOffset>
                </wp:positionV>
                <wp:extent cx="2343150" cy="18288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343150" cy="1828800"/>
                        </a:xfrm>
                        <a:prstGeom prst="rect">
                          <a:avLst/>
                        </a:prstGeom>
                        <a:noFill/>
                        <a:ln w="6350">
                          <a:noFill/>
                        </a:ln>
                        <a:effectLst/>
                      </wps:spPr>
                      <wps:txbx>
                        <w:txbxContent>
                          <w:p w:rsidR="00671876" w:rsidRPr="00896278" w:rsidRDefault="00671876" w:rsidP="00FA141C">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6. Сравнителен анализ на ТГС по КЕ 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29E44B" id="Text Box 14" o:spid="_x0000_s1030" type="#_x0000_t202" style="position:absolute;left:0;text-align:left;margin-left:231pt;margin-top:.7pt;width:184.5pt;height:2in;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" filled="f" stroked="f" strokeweight=".5pt">
                <v:textbox style="mso-fit-shape-to-text:t">
                  <w:txbxContent>
                    <w:p w:rsidR="00671876" w:rsidRPr="00896278" w:rsidRDefault="00671876" w:rsidP="00FA141C">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6. Сравнителен анализ на ТГС по КЕ 3-4</w:t>
                      </w:r>
                    </w:p>
                  </w:txbxContent>
                </v:textbox>
                <w10:wrap type="square" anchorx="margin"/>
              </v:shape>
            </w:pict>
          </mc:Fallback>
        </mc:AlternateContent>
      </w:r>
      <w:r w:rsidR="00A436FD" w:rsidRPr="006E2044">
        <w:rPr>
          <w:noProof/>
          <w:lang w:eastAsia="bg-BG"/>
        </w:rPr>
        <mc:AlternateContent>
          <mc:Choice Requires="wps">
            <w:drawing>
              <wp:anchor distT="0" distB="0" distL="114300" distR="114300" simplePos="0" relativeHeight="251667456" behindDoc="0" locked="0" layoutInCell="1" allowOverlap="1" wp14:anchorId="3710C110" wp14:editId="18CB4EDE">
                <wp:simplePos x="0" y="0"/>
                <wp:positionH relativeFrom="margin">
                  <wp:align>left</wp:align>
                </wp:positionH>
                <wp:positionV relativeFrom="paragraph">
                  <wp:posOffset>8890</wp:posOffset>
                </wp:positionV>
                <wp:extent cx="2343150" cy="18288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343150" cy="1828800"/>
                        </a:xfrm>
                        <a:prstGeom prst="rect">
                          <a:avLst/>
                        </a:prstGeom>
                        <a:noFill/>
                        <a:ln w="6350">
                          <a:noFill/>
                        </a:ln>
                        <a:effectLst/>
                      </wps:spPr>
                      <wps:txbx>
                        <w:txbxContent>
                          <w:p w:rsidR="00671876" w:rsidRPr="00896278" w:rsidRDefault="00671876" w:rsidP="00A436FD">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5. Сравнителен анализ на ТГС по КЕ 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10C110" id="Text Box 11" o:spid="_x0000_s1031" type="#_x0000_t202" style="position:absolute;left:0;text-align:left;margin-left:0;margin-top:.7pt;width:184.5pt;height:2in;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" filled="f" stroked="f" strokeweight=".5pt">
                <v:textbox style="mso-fit-shape-to-text:t">
                  <w:txbxContent>
                    <w:p w:rsidR="00671876" w:rsidRPr="00896278" w:rsidRDefault="00671876" w:rsidP="00A436FD">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5. Сравнителен анализ на ТГС по КЕ 3-3</w:t>
                      </w:r>
                    </w:p>
                  </w:txbxContent>
                </v:textbox>
                <w10:wrap type="square" anchorx="margin"/>
              </v:shape>
            </w:pict>
          </mc:Fallback>
        </mc:AlternateContent>
      </w:r>
    </w:p>
    <w:p w:rsidR="00550B83" w:rsidRDefault="005F45AF" w:rsidP="006428A5">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14:anchorId="4A9D5C23" wp14:editId="11E47B1E">
            <wp:extent cx="2768830" cy="1584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grayscl/>
                      <a:extLst>
                        <a:ext uri="{28A0092B-C50C-407E-A947-70E740481C1C}">
                          <a14:useLocalDpi xmlns:a14="http://schemas.microsoft.com/office/drawing/2010/main" val="0"/>
                        </a:ext>
                      </a:extLst>
                    </a:blip>
                    <a:srcRect l="3704" t="2886" r="7407"/>
                    <a:stretch/>
                  </pic:blipFill>
                  <pic:spPr bwMode="auto">
                    <a:xfrm>
                      <a:off x="0" y="0"/>
                      <a:ext cx="2768830" cy="1584000"/>
                    </a:xfrm>
                    <a:prstGeom prst="rect">
                      <a:avLst/>
                    </a:prstGeom>
                    <a:noFill/>
                    <a:ln>
                      <a:noFill/>
                    </a:ln>
                    <a:extLst>
                      <a:ext uri="{53640926-AAD7-44D8-BBD7-CCE9431645EC}">
                        <a14:shadowObscured xmlns:a14="http://schemas.microsoft.com/office/drawing/2010/main"/>
                      </a:ext>
                    </a:extLst>
                  </pic:spPr>
                </pic:pic>
              </a:graphicData>
            </a:graphic>
          </wp:inline>
        </w:drawing>
      </w:r>
    </w:p>
    <w:p w:rsidR="00AE7C28" w:rsidRDefault="00AE7C28" w:rsidP="006428A5">
      <w:pPr>
        <w:spacing w:after="0" w:line="276" w:lineRule="auto"/>
        <w:jc w:val="both"/>
        <w:rPr>
          <w:rFonts w:ascii="Times New Roman" w:hAnsi="Times New Roman" w:cs="Times New Roman"/>
          <w:sz w:val="24"/>
          <w:szCs w:val="24"/>
        </w:rPr>
      </w:pPr>
      <w:r w:rsidRPr="006E2044">
        <w:rPr>
          <w:noProof/>
          <w:lang w:eastAsia="bg-BG"/>
        </w:rPr>
        <mc:AlternateContent>
          <mc:Choice Requires="wps">
            <w:drawing>
              <wp:anchor distT="0" distB="0" distL="114300" distR="114300" simplePos="0" relativeHeight="251671552" behindDoc="0" locked="0" layoutInCell="1" allowOverlap="1" wp14:anchorId="23BDC69D" wp14:editId="42793AA5">
                <wp:simplePos x="0" y="0"/>
                <wp:positionH relativeFrom="margin">
                  <wp:align>center</wp:align>
                </wp:positionH>
                <wp:positionV relativeFrom="paragraph">
                  <wp:posOffset>17780</wp:posOffset>
                </wp:positionV>
                <wp:extent cx="1885950" cy="18288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85950" cy="1828800"/>
                        </a:xfrm>
                        <a:prstGeom prst="rect">
                          <a:avLst/>
                        </a:prstGeom>
                        <a:noFill/>
                        <a:ln w="6350">
                          <a:noFill/>
                        </a:ln>
                        <a:effectLst/>
                      </wps:spPr>
                      <wps:txbx>
                        <w:txbxContent>
                          <w:p w:rsidR="00671876" w:rsidRPr="00896278" w:rsidRDefault="00671876" w:rsidP="005F45AF">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7. Сравнителен анализ на ТГС по КЕ 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BDC69D" id="Text Box 17" o:spid="_x0000_s1032" type="#_x0000_t202" style="position:absolute;left:0;text-align:left;margin-left:0;margin-top:1.4pt;width:148.5pt;height:2in;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" filled="f" stroked="f" strokeweight=".5pt">
                <v:textbox style="mso-fit-shape-to-text:t">
                  <w:txbxContent>
                    <w:p w:rsidR="00671876" w:rsidRPr="00896278" w:rsidRDefault="00671876" w:rsidP="005F45AF">
                      <w:pPr>
                        <w:spacing w:after="0" w:line="240" w:lineRule="auto"/>
                        <w:jc w:val="center"/>
                        <w:rPr>
                          <w:rFonts w:ascii="Times New Roman" w:hAnsi="Times New Roman" w:cs="Times New Roman"/>
                          <w:b/>
                          <w:sz w:val="20"/>
                          <w:szCs w:val="20"/>
                        </w:rPr>
                      </w:pPr>
                      <w:r w:rsidRPr="00896278">
                        <w:rPr>
                          <w:rFonts w:ascii="Times New Roman" w:hAnsi="Times New Roman" w:cs="Times New Roman"/>
                          <w:b/>
                          <w:sz w:val="20"/>
                          <w:szCs w:val="20"/>
                        </w:rPr>
                        <w:t>Диаграма 7. Сравнителен анализ на ТГС по КЕ 3-5</w:t>
                      </w:r>
                    </w:p>
                  </w:txbxContent>
                </v:textbox>
                <w10:wrap type="square" anchorx="margin"/>
              </v:shape>
            </w:pict>
          </mc:Fallback>
        </mc:AlternateContent>
      </w:r>
    </w:p>
    <w:p w:rsidR="00AE7C28" w:rsidRDefault="00AE7C28" w:rsidP="006428A5">
      <w:pPr>
        <w:spacing w:after="0" w:line="276" w:lineRule="auto"/>
        <w:jc w:val="both"/>
        <w:rPr>
          <w:rFonts w:ascii="Times New Roman" w:hAnsi="Times New Roman" w:cs="Times New Roman"/>
          <w:sz w:val="24"/>
          <w:szCs w:val="24"/>
        </w:rPr>
      </w:pPr>
    </w:p>
    <w:p w:rsidR="00AE7C28" w:rsidRDefault="00AE7C28" w:rsidP="006428A5">
      <w:pPr>
        <w:spacing w:after="0" w:line="276" w:lineRule="auto"/>
        <w:jc w:val="both"/>
        <w:rPr>
          <w:rFonts w:ascii="Times New Roman" w:hAnsi="Times New Roman" w:cs="Times New Roman"/>
          <w:sz w:val="24"/>
          <w:szCs w:val="24"/>
        </w:rPr>
      </w:pPr>
    </w:p>
    <w:p w:rsidR="00AE7C28" w:rsidRDefault="00AE7C28" w:rsidP="006428A5">
      <w:pPr>
        <w:spacing w:after="0" w:line="276" w:lineRule="auto"/>
        <w:jc w:val="both"/>
        <w:rPr>
          <w:rFonts w:ascii="Times New Roman" w:hAnsi="Times New Roman" w:cs="Times New Roman"/>
          <w:sz w:val="24"/>
          <w:szCs w:val="24"/>
        </w:rPr>
      </w:pPr>
    </w:p>
    <w:p w:rsidR="006E27E8" w:rsidRPr="006E27E8" w:rsidRDefault="006E27E8" w:rsidP="006428A5">
      <w:pPr>
        <w:pStyle w:val="ae"/>
        <w:numPr>
          <w:ilvl w:val="0"/>
          <w:numId w:val="6"/>
        </w:numPr>
        <w:spacing w:after="0" w:line="276" w:lineRule="auto"/>
        <w:ind w:left="0" w:firstLine="706"/>
        <w:jc w:val="both"/>
        <w:rPr>
          <w:rFonts w:ascii="Times New Roman" w:hAnsi="Times New Roman" w:cs="Times New Roman"/>
          <w:b/>
          <w:sz w:val="24"/>
          <w:szCs w:val="24"/>
          <w:lang w:val="en-US"/>
        </w:rPr>
      </w:pPr>
      <w:r w:rsidRPr="006E27E8">
        <w:rPr>
          <w:rFonts w:ascii="Times New Roman" w:hAnsi="Times New Roman" w:cs="Times New Roman"/>
          <w:b/>
          <w:sz w:val="24"/>
          <w:szCs w:val="24"/>
        </w:rPr>
        <w:t>Подходи и методи за формулиране на препоръки за повишаване на ефективността на ТГС</w:t>
      </w:r>
    </w:p>
    <w:p w:rsidR="00A436FD" w:rsidRPr="00550B83" w:rsidRDefault="006E27E8" w:rsidP="006428A5">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За формулиране</w:t>
      </w:r>
      <w:r w:rsidR="004D70A9">
        <w:rPr>
          <w:rFonts w:ascii="Times New Roman" w:hAnsi="Times New Roman" w:cs="Times New Roman"/>
          <w:sz w:val="24"/>
          <w:szCs w:val="24"/>
        </w:rPr>
        <w:t xml:space="preserve"> на препоръки за повишаване на ефективността на ТГС влиза в употреба процесния подход</w:t>
      </w:r>
      <w:r w:rsidR="00EE0843">
        <w:rPr>
          <w:rFonts w:ascii="Times New Roman" w:hAnsi="Times New Roman" w:cs="Times New Roman"/>
          <w:sz w:val="24"/>
          <w:szCs w:val="24"/>
        </w:rPr>
        <w:t>, чиито стъпки са изобразени на фигура 2.</w:t>
      </w:r>
      <w:r w:rsidR="00246FBA">
        <w:rPr>
          <w:rFonts w:ascii="Times New Roman" w:hAnsi="Times New Roman" w:cs="Times New Roman"/>
          <w:sz w:val="24"/>
          <w:szCs w:val="24"/>
        </w:rPr>
        <w:t xml:space="preserve"> </w:t>
      </w:r>
      <w:r w:rsidR="00AF3C87">
        <w:rPr>
          <w:rFonts w:ascii="Times New Roman" w:hAnsi="Times New Roman" w:cs="Times New Roman"/>
          <w:sz w:val="24"/>
          <w:szCs w:val="24"/>
        </w:rPr>
        <w:t xml:space="preserve">Проучването, което се използва, е проведено от ЕИС в периода на консултации </w:t>
      </w:r>
      <w:r w:rsidR="00550B83">
        <w:rPr>
          <w:rFonts w:ascii="Times New Roman" w:hAnsi="Times New Roman" w:cs="Times New Roman"/>
          <w:sz w:val="24"/>
          <w:szCs w:val="24"/>
        </w:rPr>
        <w:t xml:space="preserve">по преразглеждане на </w:t>
      </w:r>
      <w:r w:rsidR="00AF3C87">
        <w:rPr>
          <w:rFonts w:ascii="Times New Roman" w:hAnsi="Times New Roman" w:cs="Times New Roman"/>
          <w:sz w:val="24"/>
          <w:szCs w:val="24"/>
        </w:rPr>
        <w:t>ЕПС</w:t>
      </w:r>
      <w:r w:rsidR="00550B83">
        <w:rPr>
          <w:rFonts w:ascii="Times New Roman" w:hAnsi="Times New Roman" w:cs="Times New Roman"/>
          <w:sz w:val="24"/>
          <w:szCs w:val="24"/>
        </w:rPr>
        <w:t xml:space="preserve"> през 2015 г</w:t>
      </w:r>
      <w:r w:rsidR="00AF3C87">
        <w:rPr>
          <w:rFonts w:ascii="Times New Roman" w:hAnsi="Times New Roman" w:cs="Times New Roman"/>
          <w:sz w:val="24"/>
          <w:szCs w:val="24"/>
        </w:rPr>
        <w:t xml:space="preserve">. Проучването обхваща </w:t>
      </w:r>
      <w:r w:rsidR="008326B3">
        <w:rPr>
          <w:rFonts w:ascii="Times New Roman" w:hAnsi="Times New Roman" w:cs="Times New Roman"/>
          <w:sz w:val="24"/>
          <w:szCs w:val="24"/>
          <w:lang w:val="en-US"/>
        </w:rPr>
        <w:t xml:space="preserve">760 </w:t>
      </w:r>
      <w:r w:rsidR="008326B3">
        <w:rPr>
          <w:rFonts w:ascii="Times New Roman" w:hAnsi="Times New Roman" w:cs="Times New Roman"/>
          <w:sz w:val="24"/>
          <w:szCs w:val="24"/>
        </w:rPr>
        <w:t xml:space="preserve">експерти и участници </w:t>
      </w:r>
      <w:r w:rsidR="00550B83">
        <w:rPr>
          <w:rFonts w:ascii="Times New Roman" w:hAnsi="Times New Roman" w:cs="Times New Roman"/>
          <w:sz w:val="24"/>
          <w:szCs w:val="24"/>
        </w:rPr>
        <w:t xml:space="preserve">от 43-те държави-членки на Съюза за Средиземноморието </w:t>
      </w:r>
      <w:r w:rsidR="00550B83">
        <w:rPr>
          <w:rFonts w:ascii="Times New Roman" w:hAnsi="Times New Roman" w:cs="Times New Roman"/>
          <w:sz w:val="24"/>
          <w:szCs w:val="24"/>
          <w:lang w:val="en-US"/>
        </w:rPr>
        <w:t>(Union for Mediterranean)</w:t>
      </w:r>
      <w:r w:rsidR="00550B83">
        <w:rPr>
          <w:rFonts w:ascii="Times New Roman" w:hAnsi="Times New Roman" w:cs="Times New Roman"/>
          <w:sz w:val="24"/>
          <w:szCs w:val="24"/>
        </w:rPr>
        <w:t xml:space="preserve">. Част от експертите са </w:t>
      </w:r>
      <w:r w:rsidR="00992726">
        <w:rPr>
          <w:rFonts w:ascii="Times New Roman" w:hAnsi="Times New Roman" w:cs="Times New Roman"/>
          <w:sz w:val="24"/>
          <w:szCs w:val="24"/>
        </w:rPr>
        <w:t>взели участие</w:t>
      </w:r>
      <w:r w:rsidR="00550B83">
        <w:rPr>
          <w:rFonts w:ascii="Times New Roman" w:hAnsi="Times New Roman" w:cs="Times New Roman"/>
          <w:sz w:val="24"/>
          <w:szCs w:val="24"/>
        </w:rPr>
        <w:t xml:space="preserve"> в Работната група </w:t>
      </w:r>
      <w:r w:rsidR="00D000AD">
        <w:rPr>
          <w:rFonts w:ascii="Times New Roman" w:hAnsi="Times New Roman" w:cs="Times New Roman"/>
          <w:sz w:val="24"/>
          <w:szCs w:val="24"/>
        </w:rPr>
        <w:t>към Европейската комисия, която изготвя</w:t>
      </w:r>
      <w:r w:rsidR="00550B83">
        <w:rPr>
          <w:rFonts w:ascii="Times New Roman" w:hAnsi="Times New Roman" w:cs="Times New Roman"/>
          <w:sz w:val="24"/>
          <w:szCs w:val="24"/>
        </w:rPr>
        <w:t xml:space="preserve"> документа</w:t>
      </w:r>
      <w:r w:rsidR="002B682D">
        <w:rPr>
          <w:rStyle w:val="a7"/>
          <w:rFonts w:ascii="Times New Roman" w:hAnsi="Times New Roman" w:cs="Times New Roman"/>
          <w:sz w:val="24"/>
          <w:szCs w:val="24"/>
        </w:rPr>
        <w:footnoteReference w:id="9"/>
      </w:r>
      <w:r w:rsidR="002B682D">
        <w:rPr>
          <w:rFonts w:ascii="Times New Roman" w:hAnsi="Times New Roman" w:cs="Times New Roman"/>
          <w:sz w:val="24"/>
          <w:szCs w:val="24"/>
        </w:rPr>
        <w:t>, в който е преразгледана ЕПС</w:t>
      </w:r>
      <w:r w:rsidR="00992726">
        <w:rPr>
          <w:rFonts w:ascii="Times New Roman" w:hAnsi="Times New Roman" w:cs="Times New Roman"/>
          <w:sz w:val="24"/>
          <w:szCs w:val="24"/>
        </w:rPr>
        <w:t>.</w:t>
      </w:r>
      <w:r w:rsidR="00D000AD">
        <w:rPr>
          <w:rFonts w:ascii="Times New Roman" w:hAnsi="Times New Roman" w:cs="Times New Roman"/>
          <w:sz w:val="24"/>
          <w:szCs w:val="24"/>
        </w:rPr>
        <w:t xml:space="preserve"> </w:t>
      </w:r>
      <w:r w:rsidR="00430F7F" w:rsidRPr="00430F7F">
        <w:rPr>
          <w:rFonts w:ascii="Times New Roman" w:hAnsi="Times New Roman" w:cs="Times New Roman"/>
          <w:sz w:val="24"/>
          <w:szCs w:val="24"/>
        </w:rPr>
        <w:t xml:space="preserve">От двадесет и двата въпроса, включени в Шестото проучване на ЕИС, са избрани три, отново чрез художествена абстракция. Трите въпроса са избрани така, че да бъдат възможно най-релевантни на трите критерия за ефективност. Към всеки въпрос има алтернативни отговори, като респондентите </w:t>
      </w:r>
      <w:r w:rsidR="00430F7F">
        <w:rPr>
          <w:rFonts w:ascii="Times New Roman" w:hAnsi="Times New Roman" w:cs="Times New Roman"/>
          <w:sz w:val="24"/>
          <w:szCs w:val="24"/>
        </w:rPr>
        <w:t>са оценили</w:t>
      </w:r>
      <w:r w:rsidR="00430F7F" w:rsidRPr="00430F7F">
        <w:rPr>
          <w:rFonts w:ascii="Times New Roman" w:hAnsi="Times New Roman" w:cs="Times New Roman"/>
          <w:sz w:val="24"/>
          <w:szCs w:val="24"/>
        </w:rPr>
        <w:t xml:space="preserve"> в каква степен всяка алтернатива е важна и има влияние в контекста на дадения въпрос. </w:t>
      </w:r>
      <w:r w:rsidR="00AC5A64">
        <w:rPr>
          <w:rFonts w:ascii="Times New Roman" w:hAnsi="Times New Roman" w:cs="Times New Roman"/>
          <w:sz w:val="24"/>
          <w:szCs w:val="24"/>
        </w:rPr>
        <w:t xml:space="preserve">Най-значимият алтернативен отговор се приема като възможност за развитие на по-ефективно ТГС. </w:t>
      </w:r>
    </w:p>
    <w:p w:rsidR="00EE0843" w:rsidRDefault="00EE0843" w:rsidP="006428A5">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14:anchorId="335AF9B5">
            <wp:extent cx="5438775" cy="628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1196" t="20927" r="1309" b="18535"/>
                    <a:stretch/>
                  </pic:blipFill>
                  <pic:spPr bwMode="auto">
                    <a:xfrm>
                      <a:off x="0" y="0"/>
                      <a:ext cx="5438775" cy="628650"/>
                    </a:xfrm>
                    <a:prstGeom prst="rect">
                      <a:avLst/>
                    </a:prstGeom>
                    <a:noFill/>
                    <a:ln>
                      <a:noFill/>
                    </a:ln>
                    <a:extLst>
                      <a:ext uri="{53640926-AAD7-44D8-BBD7-CCE9431645EC}">
                        <a14:shadowObscured xmlns:a14="http://schemas.microsoft.com/office/drawing/2010/main"/>
                      </a:ext>
                    </a:extLst>
                  </pic:spPr>
                </pic:pic>
              </a:graphicData>
            </a:graphic>
          </wp:inline>
        </w:drawing>
      </w:r>
    </w:p>
    <w:p w:rsidR="009F1338" w:rsidRPr="00896278" w:rsidRDefault="009F1338" w:rsidP="006428A5">
      <w:pPr>
        <w:spacing w:after="0" w:line="276" w:lineRule="auto"/>
        <w:jc w:val="center"/>
        <w:rPr>
          <w:rFonts w:ascii="Times New Roman" w:hAnsi="Times New Roman" w:cs="Times New Roman"/>
          <w:b/>
          <w:sz w:val="20"/>
          <w:szCs w:val="20"/>
        </w:rPr>
      </w:pPr>
      <w:r w:rsidRPr="00896278">
        <w:rPr>
          <w:rFonts w:ascii="Times New Roman" w:hAnsi="Times New Roman" w:cs="Times New Roman"/>
          <w:b/>
          <w:sz w:val="20"/>
          <w:szCs w:val="20"/>
        </w:rPr>
        <w:t xml:space="preserve">Фигура 2. </w:t>
      </w:r>
      <w:r w:rsidR="007D67DD" w:rsidRPr="00896278">
        <w:rPr>
          <w:rFonts w:ascii="Times New Roman" w:hAnsi="Times New Roman" w:cs="Times New Roman"/>
          <w:b/>
          <w:sz w:val="20"/>
          <w:szCs w:val="20"/>
        </w:rPr>
        <w:t>Етапи във ф</w:t>
      </w:r>
      <w:r w:rsidRPr="00896278">
        <w:rPr>
          <w:rFonts w:ascii="Times New Roman" w:hAnsi="Times New Roman" w:cs="Times New Roman"/>
          <w:b/>
          <w:sz w:val="20"/>
          <w:szCs w:val="20"/>
        </w:rPr>
        <w:t>ормулиране</w:t>
      </w:r>
      <w:r w:rsidR="007D67DD" w:rsidRPr="00896278">
        <w:rPr>
          <w:rFonts w:ascii="Times New Roman" w:hAnsi="Times New Roman" w:cs="Times New Roman"/>
          <w:b/>
          <w:sz w:val="20"/>
          <w:szCs w:val="20"/>
        </w:rPr>
        <w:t>то</w:t>
      </w:r>
      <w:r w:rsidRPr="00896278">
        <w:rPr>
          <w:rFonts w:ascii="Times New Roman" w:hAnsi="Times New Roman" w:cs="Times New Roman"/>
          <w:b/>
          <w:sz w:val="20"/>
          <w:szCs w:val="20"/>
        </w:rPr>
        <w:t xml:space="preserve"> на препоръки за повишаване на ефективността на ТГС</w:t>
      </w:r>
    </w:p>
    <w:p w:rsidR="00AC5A64" w:rsidRDefault="00AC5A64" w:rsidP="006428A5">
      <w:pPr>
        <w:spacing w:after="0" w:line="276" w:lineRule="auto"/>
        <w:jc w:val="both"/>
        <w:rPr>
          <w:rFonts w:ascii="Times New Roman" w:hAnsi="Times New Roman" w:cs="Times New Roman"/>
          <w:sz w:val="24"/>
          <w:szCs w:val="24"/>
        </w:rPr>
      </w:pPr>
    </w:p>
    <w:p w:rsidR="00641A0F" w:rsidRPr="00597506" w:rsidRDefault="00AC5A64" w:rsidP="006428A5">
      <w:pPr>
        <w:spacing w:after="0" w:line="276" w:lineRule="auto"/>
        <w:ind w:firstLine="851"/>
        <w:jc w:val="both"/>
        <w:rPr>
          <w:rFonts w:ascii="Times New Roman" w:hAnsi="Times New Roman" w:cs="Times New Roman"/>
          <w:sz w:val="24"/>
          <w:szCs w:val="24"/>
        </w:rPr>
      </w:pPr>
      <w:r w:rsidRPr="00430F7F">
        <w:rPr>
          <w:rFonts w:ascii="Times New Roman" w:hAnsi="Times New Roman" w:cs="Times New Roman"/>
          <w:sz w:val="24"/>
          <w:szCs w:val="24"/>
        </w:rPr>
        <w:t>За да бъдат формулирани препоръки, които имат достоверен характер, каквато е и целта на настоящата разработка, се прилага ко</w:t>
      </w:r>
      <w:r>
        <w:rPr>
          <w:rFonts w:ascii="Times New Roman" w:hAnsi="Times New Roman" w:cs="Times New Roman"/>
          <w:sz w:val="24"/>
          <w:szCs w:val="24"/>
        </w:rPr>
        <w:t>ефициентът</w:t>
      </w:r>
      <w:r w:rsidRPr="00430F7F">
        <w:rPr>
          <w:rFonts w:ascii="Times New Roman" w:hAnsi="Times New Roman" w:cs="Times New Roman"/>
          <w:sz w:val="24"/>
          <w:szCs w:val="24"/>
        </w:rPr>
        <w:t xml:space="preserve"> на </w:t>
      </w:r>
      <w:r w:rsidR="00314FF4">
        <w:rPr>
          <w:rFonts w:ascii="Times New Roman" w:hAnsi="Times New Roman" w:cs="Times New Roman"/>
          <w:sz w:val="24"/>
          <w:szCs w:val="24"/>
        </w:rPr>
        <w:t xml:space="preserve">обикновена линейна корелация на </w:t>
      </w:r>
      <w:proofErr w:type="spellStart"/>
      <w:r w:rsidRPr="00430F7F">
        <w:rPr>
          <w:rFonts w:ascii="Times New Roman" w:hAnsi="Times New Roman" w:cs="Times New Roman"/>
          <w:sz w:val="24"/>
          <w:szCs w:val="24"/>
        </w:rPr>
        <w:t>Пирсън</w:t>
      </w:r>
      <w:proofErr w:type="spellEnd"/>
      <w:r w:rsidR="00E4791D">
        <w:rPr>
          <w:rStyle w:val="a7"/>
          <w:rFonts w:ascii="Times New Roman" w:hAnsi="Times New Roman" w:cs="Times New Roman"/>
          <w:sz w:val="24"/>
          <w:szCs w:val="24"/>
        </w:rPr>
        <w:footnoteReference w:id="10"/>
      </w:r>
      <w:r>
        <w:rPr>
          <w:rFonts w:ascii="Times New Roman" w:hAnsi="Times New Roman" w:cs="Times New Roman"/>
          <w:sz w:val="24"/>
          <w:szCs w:val="24"/>
        </w:rPr>
        <w:t>, чрез който да се определи степента на взаимовръзка между конкретния въпрос и прилежащите му алтернативни отговори.</w:t>
      </w:r>
      <w:r w:rsidR="00EC1F49">
        <w:rPr>
          <w:rFonts w:ascii="Times New Roman" w:hAnsi="Times New Roman" w:cs="Times New Roman"/>
          <w:sz w:val="24"/>
          <w:szCs w:val="24"/>
        </w:rPr>
        <w:t xml:space="preserve"> </w:t>
      </w:r>
      <w:r w:rsidR="00654342">
        <w:rPr>
          <w:rFonts w:ascii="Times New Roman" w:hAnsi="Times New Roman" w:cs="Times New Roman"/>
          <w:sz w:val="24"/>
          <w:szCs w:val="24"/>
        </w:rPr>
        <w:t>Създателите на проучването са въвели пет степени за оценка на всеки алтернативен отговор – много ниска, ниска, средна, висока, много висока. Също така са дали възможността респондентите да отговарят с „Не знам“</w:t>
      </w:r>
      <w:r w:rsidR="005F12FE">
        <w:rPr>
          <w:rFonts w:ascii="Times New Roman" w:hAnsi="Times New Roman" w:cs="Times New Roman"/>
          <w:sz w:val="24"/>
          <w:szCs w:val="24"/>
        </w:rPr>
        <w:t xml:space="preserve">. За </w:t>
      </w:r>
      <w:r w:rsidR="00654342">
        <w:rPr>
          <w:rFonts w:ascii="Times New Roman" w:hAnsi="Times New Roman" w:cs="Times New Roman"/>
          <w:sz w:val="24"/>
          <w:szCs w:val="24"/>
        </w:rPr>
        <w:t xml:space="preserve">да се изчисли коефициентът на </w:t>
      </w:r>
      <w:proofErr w:type="spellStart"/>
      <w:r w:rsidR="00654342">
        <w:rPr>
          <w:rFonts w:ascii="Times New Roman" w:hAnsi="Times New Roman" w:cs="Times New Roman"/>
          <w:sz w:val="24"/>
          <w:szCs w:val="24"/>
        </w:rPr>
        <w:t>Пирсън</w:t>
      </w:r>
      <w:proofErr w:type="spellEnd"/>
      <w:r w:rsidR="00654342">
        <w:rPr>
          <w:rFonts w:ascii="Times New Roman" w:hAnsi="Times New Roman" w:cs="Times New Roman"/>
          <w:sz w:val="24"/>
          <w:szCs w:val="24"/>
        </w:rPr>
        <w:t xml:space="preserve"> за </w:t>
      </w:r>
      <w:proofErr w:type="spellStart"/>
      <w:r w:rsidR="00654342">
        <w:rPr>
          <w:rFonts w:ascii="Times New Roman" w:hAnsi="Times New Roman" w:cs="Times New Roman"/>
          <w:sz w:val="24"/>
          <w:szCs w:val="24"/>
        </w:rPr>
        <w:t>корелационна</w:t>
      </w:r>
      <w:proofErr w:type="spellEnd"/>
      <w:r w:rsidR="00654342">
        <w:rPr>
          <w:rFonts w:ascii="Times New Roman" w:hAnsi="Times New Roman" w:cs="Times New Roman"/>
          <w:sz w:val="24"/>
          <w:szCs w:val="24"/>
        </w:rPr>
        <w:t xml:space="preserve"> връзка, настоящето изследване дава числово измерение от 1 до 5 на всяка степен, вкл. и на опцията „Не знам“, която се измерва с 0</w:t>
      </w:r>
      <w:r w:rsidR="007215CA">
        <w:rPr>
          <w:rFonts w:ascii="Times New Roman" w:hAnsi="Times New Roman" w:cs="Times New Roman"/>
          <w:sz w:val="24"/>
          <w:szCs w:val="24"/>
        </w:rPr>
        <w:t xml:space="preserve"> (таблици 1, 2 и 3)</w:t>
      </w:r>
      <w:r w:rsidR="00654342">
        <w:rPr>
          <w:rFonts w:ascii="Times New Roman" w:hAnsi="Times New Roman" w:cs="Times New Roman"/>
          <w:sz w:val="24"/>
          <w:szCs w:val="24"/>
        </w:rPr>
        <w:t xml:space="preserve">. </w:t>
      </w:r>
      <w:r w:rsidR="007215CA">
        <w:rPr>
          <w:rFonts w:ascii="Times New Roman" w:hAnsi="Times New Roman" w:cs="Times New Roman"/>
          <w:sz w:val="24"/>
          <w:szCs w:val="24"/>
        </w:rPr>
        <w:t>Степенната скала</w:t>
      </w:r>
      <w:r w:rsidR="00F70194">
        <w:rPr>
          <w:rFonts w:ascii="Times New Roman" w:hAnsi="Times New Roman" w:cs="Times New Roman"/>
          <w:sz w:val="24"/>
          <w:szCs w:val="24"/>
        </w:rPr>
        <w:t xml:space="preserve"> от 0 до 5 формира групата на зависимите стойности Y</w:t>
      </w:r>
      <w:r w:rsidR="007215CA">
        <w:rPr>
          <w:rFonts w:ascii="Times New Roman" w:hAnsi="Times New Roman" w:cs="Times New Roman"/>
          <w:sz w:val="24"/>
          <w:szCs w:val="24"/>
        </w:rPr>
        <w:t xml:space="preserve">, а </w:t>
      </w:r>
      <w:r w:rsidR="005F12FE">
        <w:rPr>
          <w:rFonts w:ascii="Times New Roman" w:hAnsi="Times New Roman" w:cs="Times New Roman"/>
          <w:sz w:val="24"/>
          <w:szCs w:val="24"/>
        </w:rPr>
        <w:t>броят на експертите, оценили степента на важност на алтернативн</w:t>
      </w:r>
      <w:r w:rsidR="00F70194">
        <w:rPr>
          <w:rFonts w:ascii="Times New Roman" w:hAnsi="Times New Roman" w:cs="Times New Roman"/>
          <w:sz w:val="24"/>
          <w:szCs w:val="24"/>
        </w:rPr>
        <w:t xml:space="preserve">ите отговори, </w:t>
      </w:r>
      <w:r w:rsidR="0056759A">
        <w:rPr>
          <w:rFonts w:ascii="Times New Roman" w:hAnsi="Times New Roman" w:cs="Times New Roman"/>
          <w:sz w:val="24"/>
          <w:szCs w:val="24"/>
        </w:rPr>
        <w:t>съставлява</w:t>
      </w:r>
      <w:r w:rsidR="005F12FE">
        <w:rPr>
          <w:rFonts w:ascii="Times New Roman" w:hAnsi="Times New Roman" w:cs="Times New Roman"/>
          <w:sz w:val="24"/>
          <w:szCs w:val="24"/>
        </w:rPr>
        <w:t xml:space="preserve"> групата на </w:t>
      </w:r>
      <w:r w:rsidR="00F70194">
        <w:rPr>
          <w:rFonts w:ascii="Times New Roman" w:hAnsi="Times New Roman" w:cs="Times New Roman"/>
          <w:sz w:val="24"/>
          <w:szCs w:val="24"/>
        </w:rPr>
        <w:t>не</w:t>
      </w:r>
      <w:r w:rsidR="005F12FE">
        <w:rPr>
          <w:rFonts w:ascii="Times New Roman" w:hAnsi="Times New Roman" w:cs="Times New Roman"/>
          <w:sz w:val="24"/>
          <w:szCs w:val="24"/>
        </w:rPr>
        <w:t xml:space="preserve">зависимите стойности </w:t>
      </w:r>
      <w:r w:rsidR="00F70194">
        <w:rPr>
          <w:rFonts w:ascii="Times New Roman" w:hAnsi="Times New Roman" w:cs="Times New Roman"/>
          <w:sz w:val="24"/>
          <w:szCs w:val="24"/>
          <w:lang w:val="en-US"/>
        </w:rPr>
        <w:t>Х</w:t>
      </w:r>
      <w:r w:rsidR="005F12FE">
        <w:rPr>
          <w:rFonts w:ascii="Times New Roman" w:hAnsi="Times New Roman" w:cs="Times New Roman"/>
          <w:sz w:val="24"/>
          <w:szCs w:val="24"/>
        </w:rPr>
        <w:t xml:space="preserve">. </w:t>
      </w:r>
      <w:r w:rsidR="002B057E">
        <w:rPr>
          <w:rFonts w:ascii="Times New Roman" w:hAnsi="Times New Roman" w:cs="Times New Roman"/>
          <w:sz w:val="24"/>
          <w:szCs w:val="24"/>
        </w:rPr>
        <w:t xml:space="preserve">Например, за първия алтернативен отговор (А1) по въпроса, отнасящ се към КЕ 1, </w:t>
      </w:r>
      <w:r w:rsidR="00F70194">
        <w:rPr>
          <w:rFonts w:ascii="Times New Roman" w:hAnsi="Times New Roman" w:cs="Times New Roman"/>
          <w:sz w:val="24"/>
          <w:szCs w:val="24"/>
          <w:lang w:val="en-US"/>
        </w:rPr>
        <w:t>X</w:t>
      </w:r>
      <w:r w:rsidR="00F70194">
        <w:rPr>
          <w:rFonts w:ascii="Times New Roman" w:hAnsi="Times New Roman" w:cs="Times New Roman"/>
          <w:sz w:val="24"/>
          <w:szCs w:val="24"/>
        </w:rPr>
        <w:t>-стойностите са 42, 22, 54, 134, 347, 161</w:t>
      </w:r>
      <w:r w:rsidR="00F70194">
        <w:rPr>
          <w:rFonts w:ascii="Times New Roman" w:hAnsi="Times New Roman" w:cs="Times New Roman"/>
          <w:sz w:val="24"/>
          <w:szCs w:val="24"/>
          <w:lang w:val="en-US"/>
        </w:rPr>
        <w:t xml:space="preserve">, </w:t>
      </w:r>
      <w:r w:rsidR="003609B9">
        <w:rPr>
          <w:rFonts w:ascii="Times New Roman" w:hAnsi="Times New Roman" w:cs="Times New Roman"/>
          <w:sz w:val="24"/>
          <w:szCs w:val="24"/>
        </w:rPr>
        <w:t xml:space="preserve">а </w:t>
      </w:r>
      <w:r w:rsidR="00F70194">
        <w:rPr>
          <w:rFonts w:ascii="Times New Roman" w:hAnsi="Times New Roman" w:cs="Times New Roman"/>
          <w:sz w:val="24"/>
          <w:szCs w:val="24"/>
          <w:lang w:val="en-US"/>
        </w:rPr>
        <w:t>Y</w:t>
      </w:r>
      <w:r w:rsidR="00F70194">
        <w:rPr>
          <w:rFonts w:ascii="Times New Roman" w:hAnsi="Times New Roman" w:cs="Times New Roman"/>
          <w:sz w:val="24"/>
          <w:szCs w:val="24"/>
        </w:rPr>
        <w:t xml:space="preserve">-стойностите са 0, 1, 2, 3, 4 и 5 </w:t>
      </w:r>
      <w:r w:rsidR="003609B9">
        <w:rPr>
          <w:rFonts w:ascii="Times New Roman" w:hAnsi="Times New Roman" w:cs="Times New Roman"/>
          <w:sz w:val="24"/>
          <w:szCs w:val="24"/>
        </w:rPr>
        <w:t xml:space="preserve">(таблица 1). </w:t>
      </w:r>
      <w:r w:rsidR="002B057E">
        <w:rPr>
          <w:rFonts w:ascii="Times New Roman" w:hAnsi="Times New Roman" w:cs="Times New Roman"/>
          <w:sz w:val="24"/>
          <w:szCs w:val="24"/>
        </w:rPr>
        <w:t xml:space="preserve">По формулата, показана на фигура 3, </w:t>
      </w:r>
      <w:r w:rsidR="00744E6F">
        <w:rPr>
          <w:rFonts w:ascii="Times New Roman" w:hAnsi="Times New Roman" w:cs="Times New Roman"/>
          <w:sz w:val="24"/>
          <w:szCs w:val="24"/>
        </w:rPr>
        <w:t xml:space="preserve">е определена емпиричната стойност </w:t>
      </w:r>
      <w:r w:rsidR="002B057E">
        <w:rPr>
          <w:rFonts w:ascii="Times New Roman" w:hAnsi="Times New Roman" w:cs="Times New Roman"/>
          <w:sz w:val="24"/>
          <w:szCs w:val="24"/>
        </w:rPr>
        <w:t xml:space="preserve">на </w:t>
      </w:r>
      <w:r w:rsidR="002B057E">
        <w:rPr>
          <w:rFonts w:ascii="Times New Roman" w:hAnsi="Times New Roman" w:cs="Times New Roman"/>
          <w:sz w:val="24"/>
          <w:szCs w:val="24"/>
          <w:lang w:val="en-US"/>
        </w:rPr>
        <w:t xml:space="preserve">r </w:t>
      </w:r>
      <w:r w:rsidR="003609B9">
        <w:rPr>
          <w:rFonts w:ascii="Times New Roman" w:hAnsi="Times New Roman" w:cs="Times New Roman"/>
          <w:sz w:val="24"/>
          <w:szCs w:val="24"/>
          <w:lang w:val="en-US"/>
        </w:rPr>
        <w:t>(</w:t>
      </w:r>
      <w:proofErr w:type="spellStart"/>
      <w:r w:rsidR="003609B9">
        <w:rPr>
          <w:rFonts w:ascii="Times New Roman" w:hAnsi="Times New Roman" w:cs="Times New Roman"/>
          <w:sz w:val="24"/>
          <w:szCs w:val="24"/>
          <w:lang w:val="en-US"/>
        </w:rPr>
        <w:t>r</w:t>
      </w:r>
      <w:r w:rsidR="003609B9" w:rsidRPr="003609B9">
        <w:rPr>
          <w:rFonts w:ascii="Times New Roman" w:hAnsi="Times New Roman" w:cs="Times New Roman"/>
          <w:sz w:val="20"/>
          <w:szCs w:val="20"/>
          <w:lang w:val="en-US"/>
        </w:rPr>
        <w:t>emp</w:t>
      </w:r>
      <w:proofErr w:type="spellEnd"/>
      <w:r w:rsidR="003609B9" w:rsidRPr="003609B9">
        <w:rPr>
          <w:rFonts w:ascii="Times New Roman" w:hAnsi="Times New Roman" w:cs="Times New Roman"/>
          <w:sz w:val="20"/>
          <w:szCs w:val="20"/>
          <w:lang w:val="en-US"/>
        </w:rPr>
        <w:t xml:space="preserve">.) </w:t>
      </w:r>
      <w:r w:rsidR="00744E6F">
        <w:rPr>
          <w:rFonts w:ascii="Times New Roman" w:hAnsi="Times New Roman" w:cs="Times New Roman"/>
          <w:sz w:val="24"/>
          <w:szCs w:val="24"/>
        </w:rPr>
        <w:t>за всеки алтернативен отговор към трите въпроса</w:t>
      </w:r>
      <w:r w:rsidR="003609B9">
        <w:rPr>
          <w:rStyle w:val="a7"/>
          <w:rFonts w:ascii="Times New Roman" w:hAnsi="Times New Roman" w:cs="Times New Roman"/>
          <w:sz w:val="24"/>
          <w:szCs w:val="24"/>
        </w:rPr>
        <w:footnoteReference w:id="11"/>
      </w:r>
      <w:r w:rsidR="003609B9">
        <w:rPr>
          <w:rFonts w:ascii="Times New Roman" w:hAnsi="Times New Roman" w:cs="Times New Roman"/>
          <w:sz w:val="24"/>
          <w:szCs w:val="24"/>
        </w:rPr>
        <w:t>. При |r</w:t>
      </w:r>
      <w:r w:rsidR="003609B9" w:rsidRPr="003609B9">
        <w:rPr>
          <w:rFonts w:ascii="Times New Roman" w:hAnsi="Times New Roman" w:cs="Times New Roman"/>
          <w:sz w:val="20"/>
          <w:szCs w:val="20"/>
          <w:lang w:val="en-US"/>
        </w:rPr>
        <w:t>emp</w:t>
      </w:r>
      <w:r w:rsidR="003609B9">
        <w:rPr>
          <w:rFonts w:ascii="Times New Roman" w:hAnsi="Times New Roman" w:cs="Times New Roman"/>
          <w:sz w:val="24"/>
          <w:szCs w:val="24"/>
          <w:lang w:val="en-US"/>
        </w:rPr>
        <w:t>.</w:t>
      </w:r>
      <w:r w:rsidR="003609B9">
        <w:rPr>
          <w:rFonts w:ascii="Times New Roman" w:hAnsi="Times New Roman" w:cs="Times New Roman"/>
          <w:sz w:val="24"/>
          <w:szCs w:val="24"/>
        </w:rPr>
        <w:t xml:space="preserve">| ≤ 0,3 зависимостта между Х и </w:t>
      </w:r>
      <w:r w:rsidR="003609B9">
        <w:rPr>
          <w:rFonts w:ascii="Times New Roman" w:hAnsi="Times New Roman" w:cs="Times New Roman"/>
          <w:sz w:val="24"/>
          <w:szCs w:val="24"/>
          <w:lang w:val="en-US"/>
        </w:rPr>
        <w:t>Y</w:t>
      </w:r>
      <w:r w:rsidR="003609B9">
        <w:rPr>
          <w:rFonts w:ascii="Times New Roman" w:hAnsi="Times New Roman" w:cs="Times New Roman"/>
          <w:sz w:val="24"/>
          <w:szCs w:val="24"/>
        </w:rPr>
        <w:t xml:space="preserve"> е слаба. </w:t>
      </w:r>
      <w:r w:rsidR="003609B9" w:rsidRPr="003609B9">
        <w:rPr>
          <w:rFonts w:ascii="Times New Roman" w:hAnsi="Times New Roman" w:cs="Times New Roman"/>
          <w:sz w:val="24"/>
          <w:szCs w:val="24"/>
        </w:rPr>
        <w:t>Ако 0,3</w:t>
      </w:r>
      <w:r w:rsidR="003609B9">
        <w:rPr>
          <w:rFonts w:ascii="Times New Roman" w:hAnsi="Times New Roman" w:cs="Times New Roman"/>
          <w:sz w:val="24"/>
          <w:szCs w:val="24"/>
        </w:rPr>
        <w:t xml:space="preserve"> </w:t>
      </w:r>
      <w:r w:rsidR="003609B9" w:rsidRPr="003609B9">
        <w:rPr>
          <w:rFonts w:ascii="Times New Roman" w:hAnsi="Times New Roman" w:cs="Times New Roman"/>
          <w:sz w:val="24"/>
          <w:szCs w:val="24"/>
        </w:rPr>
        <w:t>&lt;</w:t>
      </w:r>
      <w:r w:rsidR="003609B9">
        <w:rPr>
          <w:rFonts w:ascii="Times New Roman" w:hAnsi="Times New Roman" w:cs="Times New Roman"/>
          <w:sz w:val="24"/>
          <w:szCs w:val="24"/>
        </w:rPr>
        <w:t xml:space="preserve"> </w:t>
      </w:r>
      <w:r w:rsidR="003609B9" w:rsidRPr="003609B9">
        <w:rPr>
          <w:rFonts w:ascii="Times New Roman" w:hAnsi="Times New Roman" w:cs="Times New Roman"/>
          <w:sz w:val="24"/>
          <w:szCs w:val="24"/>
        </w:rPr>
        <w:t>|</w:t>
      </w:r>
      <w:r w:rsidR="003609B9">
        <w:rPr>
          <w:rFonts w:ascii="Times New Roman" w:hAnsi="Times New Roman" w:cs="Times New Roman"/>
          <w:sz w:val="24"/>
          <w:szCs w:val="24"/>
        </w:rPr>
        <w:t>r</w:t>
      </w:r>
      <w:r w:rsidR="003609B9" w:rsidRPr="003609B9">
        <w:rPr>
          <w:rFonts w:ascii="Times New Roman" w:hAnsi="Times New Roman" w:cs="Times New Roman"/>
          <w:sz w:val="20"/>
          <w:szCs w:val="20"/>
          <w:lang w:val="en-US"/>
        </w:rPr>
        <w:t>emp</w:t>
      </w:r>
      <w:r w:rsidR="003609B9">
        <w:rPr>
          <w:rFonts w:ascii="Times New Roman" w:hAnsi="Times New Roman" w:cs="Times New Roman"/>
          <w:sz w:val="24"/>
          <w:szCs w:val="24"/>
          <w:lang w:val="en-US"/>
        </w:rPr>
        <w:t>.</w:t>
      </w:r>
      <w:r w:rsidR="003609B9" w:rsidRPr="003609B9">
        <w:rPr>
          <w:rFonts w:ascii="Times New Roman" w:hAnsi="Times New Roman" w:cs="Times New Roman"/>
          <w:sz w:val="24"/>
          <w:szCs w:val="24"/>
        </w:rPr>
        <w:t>|</w:t>
      </w:r>
      <w:r w:rsidR="003609B9">
        <w:rPr>
          <w:rFonts w:ascii="Times New Roman" w:hAnsi="Times New Roman" w:cs="Times New Roman"/>
          <w:sz w:val="24"/>
          <w:szCs w:val="24"/>
        </w:rPr>
        <w:t xml:space="preserve"> </w:t>
      </w:r>
      <w:r w:rsidR="003609B9" w:rsidRPr="003609B9">
        <w:rPr>
          <w:rFonts w:ascii="Times New Roman" w:hAnsi="Times New Roman" w:cs="Times New Roman"/>
          <w:sz w:val="24"/>
          <w:szCs w:val="24"/>
        </w:rPr>
        <w:t>&lt;</w:t>
      </w:r>
      <w:r w:rsidR="003609B9">
        <w:rPr>
          <w:rFonts w:ascii="Times New Roman" w:hAnsi="Times New Roman" w:cs="Times New Roman"/>
          <w:sz w:val="24"/>
          <w:szCs w:val="24"/>
        </w:rPr>
        <w:t xml:space="preserve"> </w:t>
      </w:r>
      <w:r w:rsidR="003609B9" w:rsidRPr="003609B9">
        <w:rPr>
          <w:rFonts w:ascii="Times New Roman" w:hAnsi="Times New Roman" w:cs="Times New Roman"/>
          <w:sz w:val="24"/>
          <w:szCs w:val="24"/>
        </w:rPr>
        <w:t>0,8</w:t>
      </w:r>
      <w:r w:rsidR="003609B9">
        <w:rPr>
          <w:rFonts w:ascii="Times New Roman" w:hAnsi="Times New Roman" w:cs="Times New Roman"/>
          <w:sz w:val="24"/>
          <w:szCs w:val="24"/>
        </w:rPr>
        <w:t xml:space="preserve">, </w:t>
      </w:r>
      <w:r w:rsidR="00597506">
        <w:rPr>
          <w:rFonts w:ascii="Times New Roman" w:hAnsi="Times New Roman" w:cs="Times New Roman"/>
          <w:sz w:val="24"/>
          <w:szCs w:val="24"/>
        </w:rPr>
        <w:t>се приема, че степента на зависимост е средна, а при |r</w:t>
      </w:r>
      <w:r w:rsidR="00597506" w:rsidRPr="003609B9">
        <w:rPr>
          <w:rFonts w:ascii="Times New Roman" w:hAnsi="Times New Roman" w:cs="Times New Roman"/>
          <w:sz w:val="20"/>
          <w:szCs w:val="20"/>
          <w:lang w:val="en-US"/>
        </w:rPr>
        <w:t>emp</w:t>
      </w:r>
      <w:r w:rsidR="00597506">
        <w:rPr>
          <w:rFonts w:ascii="Times New Roman" w:hAnsi="Times New Roman" w:cs="Times New Roman"/>
          <w:sz w:val="24"/>
          <w:szCs w:val="24"/>
          <w:lang w:val="en-US"/>
        </w:rPr>
        <w:t>.</w:t>
      </w:r>
      <w:r w:rsidR="003609B9" w:rsidRPr="003609B9">
        <w:rPr>
          <w:rFonts w:ascii="Times New Roman" w:hAnsi="Times New Roman" w:cs="Times New Roman"/>
          <w:sz w:val="24"/>
          <w:szCs w:val="24"/>
        </w:rPr>
        <w:t>|</w:t>
      </w:r>
      <w:r w:rsidR="00597506">
        <w:rPr>
          <w:rFonts w:ascii="Times New Roman" w:hAnsi="Times New Roman" w:cs="Times New Roman"/>
          <w:sz w:val="24"/>
          <w:szCs w:val="24"/>
        </w:rPr>
        <w:t xml:space="preserve"> </w:t>
      </w:r>
      <w:r w:rsidR="003609B9" w:rsidRPr="003609B9">
        <w:rPr>
          <w:rFonts w:ascii="Times New Roman" w:hAnsi="Times New Roman" w:cs="Times New Roman"/>
          <w:sz w:val="24"/>
          <w:szCs w:val="24"/>
        </w:rPr>
        <w:t>≥</w:t>
      </w:r>
      <w:r w:rsidR="00597506">
        <w:rPr>
          <w:rFonts w:ascii="Times New Roman" w:hAnsi="Times New Roman" w:cs="Times New Roman"/>
          <w:sz w:val="24"/>
          <w:szCs w:val="24"/>
        </w:rPr>
        <w:t xml:space="preserve"> </w:t>
      </w:r>
      <w:r w:rsidR="003609B9" w:rsidRPr="003609B9">
        <w:rPr>
          <w:rFonts w:ascii="Times New Roman" w:hAnsi="Times New Roman" w:cs="Times New Roman"/>
          <w:sz w:val="24"/>
          <w:szCs w:val="24"/>
        </w:rPr>
        <w:t xml:space="preserve">0,8 </w:t>
      </w:r>
      <w:r w:rsidR="00597506">
        <w:rPr>
          <w:rFonts w:ascii="Times New Roman" w:hAnsi="Times New Roman" w:cs="Times New Roman"/>
          <w:sz w:val="24"/>
          <w:szCs w:val="24"/>
        </w:rPr>
        <w:t>– силна. Положителната или отрицателна стойност на r</w:t>
      </w:r>
      <w:r w:rsidR="00597506" w:rsidRPr="003609B9">
        <w:rPr>
          <w:rFonts w:ascii="Times New Roman" w:hAnsi="Times New Roman" w:cs="Times New Roman"/>
          <w:sz w:val="20"/>
          <w:szCs w:val="20"/>
          <w:lang w:val="en-US"/>
        </w:rPr>
        <w:t>emp</w:t>
      </w:r>
      <w:r w:rsidR="00597506">
        <w:rPr>
          <w:rFonts w:ascii="Times New Roman" w:hAnsi="Times New Roman" w:cs="Times New Roman"/>
          <w:sz w:val="24"/>
          <w:szCs w:val="24"/>
          <w:lang w:val="en-US"/>
        </w:rPr>
        <w:t>.</w:t>
      </w:r>
      <w:r w:rsidR="00597506">
        <w:rPr>
          <w:rFonts w:ascii="Times New Roman" w:hAnsi="Times New Roman" w:cs="Times New Roman"/>
          <w:sz w:val="24"/>
          <w:szCs w:val="24"/>
        </w:rPr>
        <w:t xml:space="preserve"> определя посоката на зависимост – възходяща или низходяща.</w:t>
      </w:r>
      <w:r w:rsidR="00205DBC">
        <w:rPr>
          <w:rFonts w:ascii="Times New Roman" w:hAnsi="Times New Roman" w:cs="Times New Roman"/>
          <w:sz w:val="24"/>
          <w:szCs w:val="24"/>
        </w:rPr>
        <w:t xml:space="preserve"> </w:t>
      </w:r>
    </w:p>
    <w:p w:rsidR="0056759A" w:rsidRDefault="0056759A" w:rsidP="006428A5">
      <w:pPr>
        <w:spacing w:after="0" w:line="276" w:lineRule="auto"/>
        <w:jc w:val="center"/>
        <w:rPr>
          <w:rFonts w:ascii="Times New Roman" w:hAnsi="Times New Roman" w:cs="Times New Roman"/>
        </w:rPr>
      </w:pPr>
      <w:r>
        <w:rPr>
          <w:rFonts w:ascii="Times New Roman" w:hAnsi="Times New Roman" w:cs="Times New Roman"/>
          <w:noProof/>
          <w:lang w:eastAsia="bg-BG"/>
        </w:rPr>
        <w:drawing>
          <wp:inline distT="0" distB="0" distL="0" distR="0">
            <wp:extent cx="1961304" cy="4953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arson-Formula.jpg"/>
                    <pic:cNvPicPr/>
                  </pic:nvPicPr>
                  <pic:blipFill>
                    <a:blip r:embed="rId18">
                      <a:extLst>
                        <a:ext uri="{28A0092B-C50C-407E-A947-70E740481C1C}">
                          <a14:useLocalDpi xmlns:a14="http://schemas.microsoft.com/office/drawing/2010/main" val="0"/>
                        </a:ext>
                      </a:extLst>
                    </a:blip>
                    <a:stretch>
                      <a:fillRect/>
                    </a:stretch>
                  </pic:blipFill>
                  <pic:spPr>
                    <a:xfrm>
                      <a:off x="0" y="0"/>
                      <a:ext cx="2009047" cy="507357"/>
                    </a:xfrm>
                    <a:prstGeom prst="rect">
                      <a:avLst/>
                    </a:prstGeom>
                  </pic:spPr>
                </pic:pic>
              </a:graphicData>
            </a:graphic>
          </wp:inline>
        </w:drawing>
      </w:r>
    </w:p>
    <w:p w:rsidR="002B057E" w:rsidRPr="00896278" w:rsidRDefault="002B057E" w:rsidP="006428A5">
      <w:pPr>
        <w:spacing w:after="0" w:line="276" w:lineRule="auto"/>
        <w:jc w:val="center"/>
        <w:rPr>
          <w:rFonts w:ascii="Times New Roman" w:hAnsi="Times New Roman" w:cs="Times New Roman"/>
          <w:b/>
          <w:sz w:val="20"/>
          <w:szCs w:val="20"/>
        </w:rPr>
      </w:pPr>
      <w:r w:rsidRPr="00896278">
        <w:rPr>
          <w:rFonts w:ascii="Times New Roman" w:hAnsi="Times New Roman" w:cs="Times New Roman"/>
          <w:b/>
          <w:sz w:val="20"/>
          <w:szCs w:val="20"/>
        </w:rPr>
        <w:t xml:space="preserve">Фигура 3. Формула за изчисляване на коефициента на </w:t>
      </w:r>
      <w:proofErr w:type="spellStart"/>
      <w:r w:rsidRPr="00896278">
        <w:rPr>
          <w:rFonts w:ascii="Times New Roman" w:hAnsi="Times New Roman" w:cs="Times New Roman"/>
          <w:b/>
          <w:sz w:val="20"/>
          <w:szCs w:val="20"/>
        </w:rPr>
        <w:t>Пирсън</w:t>
      </w:r>
      <w:proofErr w:type="spellEnd"/>
    </w:p>
    <w:p w:rsidR="00671876" w:rsidRDefault="00671876" w:rsidP="006428A5">
      <w:pPr>
        <w:spacing w:after="0" w:line="276" w:lineRule="auto"/>
        <w:ind w:firstLine="851"/>
        <w:jc w:val="both"/>
        <w:rPr>
          <w:rFonts w:ascii="Times New Roman" w:hAnsi="Times New Roman" w:cs="Times New Roman"/>
          <w:sz w:val="24"/>
          <w:szCs w:val="24"/>
        </w:rPr>
      </w:pPr>
    </w:p>
    <w:p w:rsidR="002B057E" w:rsidRDefault="00075EC8" w:rsidP="006428A5">
      <w:pPr>
        <w:spacing w:after="0" w:line="276" w:lineRule="auto"/>
        <w:ind w:firstLine="851"/>
        <w:jc w:val="both"/>
        <w:rPr>
          <w:rFonts w:ascii="Times New Roman" w:hAnsi="Times New Roman" w:cs="Times New Roman"/>
          <w:sz w:val="24"/>
          <w:szCs w:val="24"/>
        </w:rPr>
      </w:pPr>
      <w:r w:rsidRPr="00671876">
        <w:rPr>
          <w:rFonts w:ascii="Times New Roman" w:hAnsi="Times New Roman" w:cs="Times New Roman"/>
          <w:sz w:val="24"/>
          <w:szCs w:val="24"/>
        </w:rPr>
        <w:t>След изчисляване на</w:t>
      </w:r>
      <w:r>
        <w:rPr>
          <w:rFonts w:ascii="Times New Roman" w:hAnsi="Times New Roman" w:cs="Times New Roman"/>
        </w:rPr>
        <w:t xml:space="preserve"> </w:t>
      </w:r>
      <w:r>
        <w:rPr>
          <w:rFonts w:ascii="Times New Roman" w:hAnsi="Times New Roman" w:cs="Times New Roman"/>
          <w:sz w:val="24"/>
          <w:szCs w:val="24"/>
        </w:rPr>
        <w:t>r</w:t>
      </w:r>
      <w:r w:rsidRPr="003609B9">
        <w:rPr>
          <w:rFonts w:ascii="Times New Roman" w:hAnsi="Times New Roman" w:cs="Times New Roman"/>
          <w:sz w:val="20"/>
          <w:szCs w:val="20"/>
          <w:lang w:val="en-US"/>
        </w:rPr>
        <w:t>emp</w:t>
      </w:r>
      <w:r>
        <w:rPr>
          <w:rFonts w:ascii="Times New Roman" w:hAnsi="Times New Roman" w:cs="Times New Roman"/>
          <w:sz w:val="24"/>
          <w:szCs w:val="24"/>
          <w:lang w:val="en-US"/>
        </w:rPr>
        <w:t xml:space="preserve">. </w:t>
      </w:r>
      <w:r>
        <w:rPr>
          <w:rFonts w:ascii="Times New Roman" w:hAnsi="Times New Roman" w:cs="Times New Roman"/>
          <w:sz w:val="24"/>
          <w:szCs w:val="24"/>
        </w:rPr>
        <w:t>е необходимо да се</w:t>
      </w:r>
      <w:r w:rsidR="008D6FE2">
        <w:rPr>
          <w:rFonts w:ascii="Times New Roman" w:hAnsi="Times New Roman" w:cs="Times New Roman"/>
          <w:sz w:val="24"/>
          <w:szCs w:val="24"/>
        </w:rPr>
        <w:t xml:space="preserve"> определи</w:t>
      </w:r>
      <w:r>
        <w:rPr>
          <w:rFonts w:ascii="Times New Roman" w:hAnsi="Times New Roman" w:cs="Times New Roman"/>
          <w:sz w:val="24"/>
          <w:szCs w:val="24"/>
        </w:rPr>
        <w:t xml:space="preserve"> </w:t>
      </w:r>
      <w:r w:rsidR="00EA1598">
        <w:rPr>
          <w:rFonts w:ascii="Times New Roman" w:hAnsi="Times New Roman" w:cs="Times New Roman"/>
          <w:sz w:val="24"/>
          <w:szCs w:val="24"/>
        </w:rPr>
        <w:t>значимостта</w:t>
      </w:r>
      <w:r>
        <w:rPr>
          <w:rFonts w:ascii="Times New Roman" w:hAnsi="Times New Roman" w:cs="Times New Roman"/>
          <w:sz w:val="24"/>
          <w:szCs w:val="24"/>
        </w:rPr>
        <w:t xml:space="preserve"> </w:t>
      </w:r>
      <w:r w:rsidR="00EA1598">
        <w:rPr>
          <w:rFonts w:ascii="Times New Roman" w:hAnsi="Times New Roman" w:cs="Times New Roman"/>
          <w:sz w:val="24"/>
          <w:szCs w:val="24"/>
        </w:rPr>
        <w:t xml:space="preserve">на </w:t>
      </w:r>
      <w:proofErr w:type="spellStart"/>
      <w:r w:rsidR="00EA1598">
        <w:rPr>
          <w:rFonts w:ascii="Times New Roman" w:hAnsi="Times New Roman" w:cs="Times New Roman"/>
          <w:sz w:val="24"/>
          <w:szCs w:val="24"/>
        </w:rPr>
        <w:t>корелационната</w:t>
      </w:r>
      <w:proofErr w:type="spellEnd"/>
      <w:r w:rsidR="00EA1598">
        <w:rPr>
          <w:rFonts w:ascii="Times New Roman" w:hAnsi="Times New Roman" w:cs="Times New Roman"/>
          <w:sz w:val="24"/>
          <w:szCs w:val="24"/>
        </w:rPr>
        <w:t xml:space="preserve"> зависимост при равнище</w:t>
      </w:r>
      <w:r>
        <w:rPr>
          <w:rFonts w:ascii="Times New Roman" w:hAnsi="Times New Roman" w:cs="Times New Roman"/>
          <w:sz w:val="24"/>
          <w:szCs w:val="24"/>
        </w:rPr>
        <w:t xml:space="preserve"> на значимост </w:t>
      </w:r>
      <w:r w:rsidR="00EA1598">
        <w:rPr>
          <w:rFonts w:ascii="Times New Roman" w:hAnsi="Times New Roman" w:cs="Times New Roman"/>
          <w:sz w:val="24"/>
          <w:szCs w:val="24"/>
          <w:lang w:val="en-US"/>
        </w:rPr>
        <w:t>(α)</w:t>
      </w:r>
      <w:r w:rsidR="00EA1598">
        <w:rPr>
          <w:rFonts w:ascii="Times New Roman" w:hAnsi="Times New Roman" w:cs="Times New Roman"/>
          <w:sz w:val="24"/>
          <w:szCs w:val="24"/>
        </w:rPr>
        <w:t xml:space="preserve"> равно на 0,05</w:t>
      </w:r>
      <w:r>
        <w:rPr>
          <w:rFonts w:ascii="Times New Roman" w:hAnsi="Times New Roman" w:cs="Times New Roman"/>
          <w:sz w:val="24"/>
          <w:szCs w:val="24"/>
        </w:rPr>
        <w:t xml:space="preserve">. За целта се използва теоретичната таблица с критични стойности на </w:t>
      </w:r>
      <w:r>
        <w:rPr>
          <w:rFonts w:ascii="Times New Roman" w:hAnsi="Times New Roman" w:cs="Times New Roman"/>
          <w:sz w:val="24"/>
          <w:szCs w:val="24"/>
          <w:lang w:val="en-US"/>
        </w:rPr>
        <w:t>r (</w:t>
      </w:r>
      <w:proofErr w:type="spellStart"/>
      <w:r>
        <w:rPr>
          <w:rFonts w:ascii="Times New Roman" w:hAnsi="Times New Roman" w:cs="Times New Roman"/>
          <w:sz w:val="24"/>
          <w:szCs w:val="24"/>
          <w:lang w:val="en-US"/>
        </w:rPr>
        <w:t>r</w:t>
      </w:r>
      <w:r w:rsidRPr="00075EC8">
        <w:rPr>
          <w:rFonts w:ascii="Times New Roman" w:hAnsi="Times New Roman" w:cs="Times New Roman"/>
          <w:sz w:val="20"/>
          <w:szCs w:val="20"/>
          <w:lang w:val="en-US"/>
        </w:rPr>
        <w:t>crit</w:t>
      </w:r>
      <w:proofErr w:type="spellEnd"/>
      <w:r w:rsidRPr="00075EC8">
        <w:rPr>
          <w:rFonts w:ascii="Times New Roman" w:hAnsi="Times New Roman" w:cs="Times New Roman"/>
          <w:sz w:val="20"/>
          <w:szCs w:val="20"/>
          <w:lang w:val="en-US"/>
        </w:rPr>
        <w:t>.)</w:t>
      </w:r>
      <w:r w:rsidRPr="00075EC8">
        <w:rPr>
          <w:rStyle w:val="a7"/>
          <w:rFonts w:ascii="Times New Roman" w:hAnsi="Times New Roman" w:cs="Times New Roman"/>
          <w:sz w:val="24"/>
          <w:szCs w:val="24"/>
          <w:lang w:val="en-US"/>
        </w:rPr>
        <w:footnoteReference w:id="12"/>
      </w:r>
      <w:r w:rsidRPr="00075EC8">
        <w:rPr>
          <w:rFonts w:ascii="Times New Roman" w:hAnsi="Times New Roman" w:cs="Times New Roman"/>
          <w:sz w:val="24"/>
          <w:szCs w:val="24"/>
        </w:rPr>
        <w:t xml:space="preserve">, </w:t>
      </w:r>
      <w:r>
        <w:rPr>
          <w:rFonts w:ascii="Times New Roman" w:hAnsi="Times New Roman" w:cs="Times New Roman"/>
          <w:sz w:val="24"/>
          <w:szCs w:val="24"/>
        </w:rPr>
        <w:t>к</w:t>
      </w:r>
      <w:r w:rsidR="008D6FE2">
        <w:rPr>
          <w:rFonts w:ascii="Times New Roman" w:hAnsi="Times New Roman" w:cs="Times New Roman"/>
          <w:sz w:val="24"/>
          <w:szCs w:val="24"/>
        </w:rPr>
        <w:t>ато предварително се изчислява</w:t>
      </w:r>
      <w:r>
        <w:rPr>
          <w:rFonts w:ascii="Times New Roman" w:hAnsi="Times New Roman" w:cs="Times New Roman"/>
          <w:sz w:val="24"/>
          <w:szCs w:val="24"/>
        </w:rPr>
        <w:t xml:space="preserve"> степента на свобода (</w:t>
      </w:r>
      <w:proofErr w:type="spellStart"/>
      <w:r>
        <w:rPr>
          <w:rFonts w:ascii="Times New Roman" w:hAnsi="Times New Roman" w:cs="Times New Roman"/>
          <w:sz w:val="24"/>
          <w:szCs w:val="24"/>
          <w:lang w:val="en-US"/>
        </w:rPr>
        <w:t>df</w:t>
      </w:r>
      <w:proofErr w:type="spellEnd"/>
      <w:r w:rsidR="00671876">
        <w:rPr>
          <w:rFonts w:ascii="Times New Roman" w:hAnsi="Times New Roman" w:cs="Times New Roman"/>
          <w:sz w:val="24"/>
          <w:szCs w:val="24"/>
        </w:rPr>
        <w:t xml:space="preserve"> </w:t>
      </w:r>
      <w:r>
        <w:rPr>
          <w:rFonts w:ascii="Times New Roman" w:hAnsi="Times New Roman" w:cs="Times New Roman"/>
          <w:sz w:val="24"/>
          <w:szCs w:val="24"/>
          <w:lang w:val="en-US"/>
        </w:rPr>
        <w:t>=</w:t>
      </w:r>
      <w:r w:rsidR="00671876">
        <w:rPr>
          <w:rFonts w:ascii="Times New Roman" w:hAnsi="Times New Roman" w:cs="Times New Roman"/>
          <w:sz w:val="24"/>
          <w:szCs w:val="24"/>
        </w:rPr>
        <w:t xml:space="preserve"> броят на двойките </w:t>
      </w:r>
      <w:r w:rsidR="00671876">
        <w:rPr>
          <w:rFonts w:ascii="Times New Roman" w:hAnsi="Times New Roman" w:cs="Times New Roman"/>
          <w:sz w:val="24"/>
          <w:szCs w:val="24"/>
          <w:lang w:val="en-US"/>
        </w:rPr>
        <w:t>(</w:t>
      </w:r>
      <w:r w:rsidR="00671876">
        <w:rPr>
          <w:rFonts w:ascii="Times New Roman" w:hAnsi="Times New Roman" w:cs="Times New Roman"/>
          <w:sz w:val="24"/>
          <w:szCs w:val="24"/>
        </w:rPr>
        <w:t>Х;</w:t>
      </w:r>
      <w:r w:rsidR="00671876">
        <w:rPr>
          <w:rFonts w:ascii="Times New Roman" w:hAnsi="Times New Roman" w:cs="Times New Roman"/>
          <w:sz w:val="24"/>
          <w:szCs w:val="24"/>
          <w:lang w:val="en-US"/>
        </w:rPr>
        <w:t>Y)</w:t>
      </w:r>
      <w:r w:rsidR="00671876">
        <w:rPr>
          <w:rFonts w:ascii="Times New Roman" w:hAnsi="Times New Roman" w:cs="Times New Roman"/>
          <w:sz w:val="24"/>
          <w:szCs w:val="24"/>
        </w:rPr>
        <w:t xml:space="preserve"> – 2). В конкретното изследване </w:t>
      </w:r>
      <w:proofErr w:type="spellStart"/>
      <w:r w:rsidR="00671876">
        <w:rPr>
          <w:rFonts w:ascii="Times New Roman" w:hAnsi="Times New Roman" w:cs="Times New Roman"/>
          <w:sz w:val="24"/>
          <w:szCs w:val="24"/>
          <w:lang w:val="en-US"/>
        </w:rPr>
        <w:t>df</w:t>
      </w:r>
      <w:proofErr w:type="spellEnd"/>
      <w:r w:rsidR="00671876">
        <w:rPr>
          <w:rFonts w:ascii="Times New Roman" w:hAnsi="Times New Roman" w:cs="Times New Roman"/>
          <w:sz w:val="24"/>
          <w:szCs w:val="24"/>
          <w:lang w:val="en-US"/>
        </w:rPr>
        <w:t xml:space="preserve"> </w:t>
      </w:r>
      <w:r w:rsidR="00671876">
        <w:rPr>
          <w:rFonts w:ascii="Times New Roman" w:hAnsi="Times New Roman" w:cs="Times New Roman"/>
          <w:sz w:val="24"/>
          <w:szCs w:val="24"/>
        </w:rPr>
        <w:t>е равно</w:t>
      </w:r>
      <w:r w:rsidR="005965D0">
        <w:rPr>
          <w:rFonts w:ascii="Times New Roman" w:hAnsi="Times New Roman" w:cs="Times New Roman"/>
          <w:sz w:val="24"/>
          <w:szCs w:val="24"/>
        </w:rPr>
        <w:t xml:space="preserve"> на</w:t>
      </w:r>
      <w:r w:rsidR="00671876">
        <w:rPr>
          <w:rFonts w:ascii="Times New Roman" w:hAnsi="Times New Roman" w:cs="Times New Roman"/>
          <w:sz w:val="24"/>
          <w:szCs w:val="24"/>
          <w:lang w:val="en-US"/>
        </w:rPr>
        <w:t xml:space="preserve"> 4, a </w:t>
      </w:r>
      <w:proofErr w:type="spellStart"/>
      <w:r w:rsidR="00671876">
        <w:rPr>
          <w:rFonts w:ascii="Times New Roman" w:hAnsi="Times New Roman" w:cs="Times New Roman"/>
          <w:sz w:val="24"/>
          <w:szCs w:val="24"/>
          <w:lang w:val="en-US"/>
        </w:rPr>
        <w:t>r</w:t>
      </w:r>
      <w:r w:rsidR="00671876" w:rsidRPr="00671876">
        <w:rPr>
          <w:rFonts w:ascii="Times New Roman" w:hAnsi="Times New Roman" w:cs="Times New Roman"/>
          <w:sz w:val="20"/>
          <w:szCs w:val="20"/>
          <w:lang w:val="en-US"/>
        </w:rPr>
        <w:t>crit</w:t>
      </w:r>
      <w:proofErr w:type="spellEnd"/>
      <w:r w:rsidR="00671876" w:rsidRPr="00671876">
        <w:rPr>
          <w:rFonts w:ascii="Times New Roman" w:hAnsi="Times New Roman" w:cs="Times New Roman"/>
          <w:sz w:val="20"/>
          <w:szCs w:val="20"/>
          <w:lang w:val="en-US"/>
        </w:rPr>
        <w:t>.</w:t>
      </w:r>
      <w:r w:rsidR="00671876">
        <w:rPr>
          <w:rFonts w:ascii="Times New Roman" w:hAnsi="Times New Roman" w:cs="Times New Roman"/>
          <w:sz w:val="24"/>
          <w:szCs w:val="24"/>
          <w:lang w:val="en-US"/>
        </w:rPr>
        <w:t xml:space="preserve"> </w:t>
      </w:r>
      <w:r w:rsidR="00671876">
        <w:rPr>
          <w:rFonts w:ascii="Times New Roman" w:hAnsi="Times New Roman" w:cs="Times New Roman"/>
          <w:sz w:val="24"/>
          <w:szCs w:val="24"/>
        </w:rPr>
        <w:t>= 0,811.</w:t>
      </w:r>
      <w:r w:rsidR="00A04777">
        <w:rPr>
          <w:rFonts w:ascii="Times New Roman" w:hAnsi="Times New Roman" w:cs="Times New Roman"/>
          <w:sz w:val="24"/>
          <w:szCs w:val="24"/>
        </w:rPr>
        <w:t xml:space="preserve"> При </w:t>
      </w:r>
      <w:r w:rsidR="00A75F63" w:rsidRPr="00A75F63">
        <w:rPr>
          <w:rFonts w:ascii="Times New Roman" w:eastAsia="Verdana" w:hAnsi="Times New Roman" w:cs="Times New Roman"/>
          <w:color w:val="000000" w:themeColor="text1"/>
          <w:kern w:val="24"/>
          <w:sz w:val="24"/>
          <w:szCs w:val="24"/>
          <w:lang w:val="en-US" w:eastAsia="bg-BG"/>
        </w:rPr>
        <w:t>r</w:t>
      </w:r>
      <w:proofErr w:type="spellStart"/>
      <w:r w:rsidR="00A75F63" w:rsidRPr="00A75F63">
        <w:rPr>
          <w:rFonts w:ascii="Times New Roman" w:eastAsia="Verdana" w:hAnsi="Times New Roman" w:cs="Times New Roman"/>
          <w:color w:val="000000" w:themeColor="text1"/>
          <w:kern w:val="24"/>
          <w:sz w:val="20"/>
          <w:szCs w:val="20"/>
          <w:lang w:eastAsia="bg-BG"/>
        </w:rPr>
        <w:t>emp</w:t>
      </w:r>
      <w:proofErr w:type="spellEnd"/>
      <w:r w:rsidR="00A75F63" w:rsidRPr="00A75F63">
        <w:rPr>
          <w:rFonts w:ascii="Times New Roman" w:eastAsia="Verdana" w:hAnsi="Times New Roman" w:cs="Times New Roman"/>
          <w:color w:val="000000" w:themeColor="text1"/>
          <w:kern w:val="24"/>
          <w:sz w:val="20"/>
          <w:szCs w:val="20"/>
          <w:lang w:eastAsia="bg-BG"/>
        </w:rPr>
        <w:t>.</w:t>
      </w:r>
      <w:r w:rsidR="00A75F63">
        <w:rPr>
          <w:rFonts w:ascii="Times New Roman" w:eastAsia="Verdana" w:hAnsi="Times New Roman" w:cs="Times New Roman"/>
          <w:color w:val="000000" w:themeColor="text1"/>
          <w:kern w:val="24"/>
          <w:sz w:val="20"/>
          <w:szCs w:val="20"/>
          <w:lang w:eastAsia="bg-BG"/>
        </w:rPr>
        <w:t xml:space="preserve"> &gt; </w:t>
      </w:r>
      <w:proofErr w:type="spellStart"/>
      <w:r w:rsidR="00A75F63">
        <w:rPr>
          <w:rFonts w:ascii="Times New Roman" w:hAnsi="Times New Roman" w:cs="Times New Roman"/>
          <w:sz w:val="24"/>
          <w:szCs w:val="24"/>
          <w:lang w:val="en-US"/>
        </w:rPr>
        <w:t>r</w:t>
      </w:r>
      <w:r w:rsidR="00A75F63" w:rsidRPr="00671876">
        <w:rPr>
          <w:rFonts w:ascii="Times New Roman" w:hAnsi="Times New Roman" w:cs="Times New Roman"/>
          <w:sz w:val="20"/>
          <w:szCs w:val="20"/>
          <w:lang w:val="en-US"/>
        </w:rPr>
        <w:t>crit</w:t>
      </w:r>
      <w:proofErr w:type="spellEnd"/>
      <w:r w:rsidR="00A75F63" w:rsidRPr="00671876">
        <w:rPr>
          <w:rFonts w:ascii="Times New Roman" w:hAnsi="Times New Roman" w:cs="Times New Roman"/>
          <w:sz w:val="20"/>
          <w:szCs w:val="20"/>
          <w:lang w:val="en-US"/>
        </w:rPr>
        <w:t>.</w:t>
      </w:r>
      <w:r w:rsidR="00A75F63">
        <w:rPr>
          <w:rFonts w:ascii="Times New Roman" w:hAnsi="Times New Roman" w:cs="Times New Roman"/>
          <w:sz w:val="20"/>
          <w:szCs w:val="20"/>
        </w:rPr>
        <w:t xml:space="preserve"> </w:t>
      </w:r>
      <w:proofErr w:type="spellStart"/>
      <w:r w:rsidR="00442051">
        <w:rPr>
          <w:rFonts w:ascii="Times New Roman" w:hAnsi="Times New Roman" w:cs="Times New Roman"/>
          <w:sz w:val="24"/>
          <w:szCs w:val="24"/>
        </w:rPr>
        <w:t>корелационната</w:t>
      </w:r>
      <w:proofErr w:type="spellEnd"/>
      <w:r w:rsidR="00442051">
        <w:rPr>
          <w:rFonts w:ascii="Times New Roman" w:hAnsi="Times New Roman" w:cs="Times New Roman"/>
          <w:sz w:val="24"/>
          <w:szCs w:val="24"/>
        </w:rPr>
        <w:t xml:space="preserve"> връзка е </w:t>
      </w:r>
      <w:r w:rsidR="00016630">
        <w:rPr>
          <w:rFonts w:ascii="Times New Roman" w:hAnsi="Times New Roman" w:cs="Times New Roman"/>
          <w:sz w:val="24"/>
          <w:szCs w:val="24"/>
        </w:rPr>
        <w:t xml:space="preserve">статистически </w:t>
      </w:r>
      <w:r w:rsidR="00442051">
        <w:rPr>
          <w:rFonts w:ascii="Times New Roman" w:hAnsi="Times New Roman" w:cs="Times New Roman"/>
          <w:sz w:val="24"/>
          <w:szCs w:val="24"/>
        </w:rPr>
        <w:t xml:space="preserve">значима и може да бъде използвана за </w:t>
      </w:r>
      <w:r w:rsidR="00F70194">
        <w:rPr>
          <w:rFonts w:ascii="Times New Roman" w:hAnsi="Times New Roman" w:cs="Times New Roman"/>
          <w:sz w:val="24"/>
          <w:szCs w:val="24"/>
        </w:rPr>
        <w:t xml:space="preserve">предвиждане на стойностите на </w:t>
      </w:r>
      <w:r w:rsidR="00F70194">
        <w:rPr>
          <w:rFonts w:ascii="Times New Roman" w:hAnsi="Times New Roman" w:cs="Times New Roman"/>
          <w:sz w:val="24"/>
          <w:szCs w:val="24"/>
          <w:lang w:val="en-US"/>
        </w:rPr>
        <w:t xml:space="preserve">Y </w:t>
      </w:r>
      <w:r w:rsidR="00F70194">
        <w:rPr>
          <w:rFonts w:ascii="Times New Roman" w:hAnsi="Times New Roman" w:cs="Times New Roman"/>
          <w:sz w:val="24"/>
          <w:szCs w:val="24"/>
        </w:rPr>
        <w:t>чрез стойностите на Х.</w:t>
      </w:r>
    </w:p>
    <w:p w:rsidR="006E27E8" w:rsidRDefault="00F70194" w:rsidP="006428A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Обобщените резултати от изчисленията са представени в таблици 1, 2 и 3. При всички алтернативни отговора посоката на зависимост е възходяща, т.е. с увеличаване на броя на експертните гласове се повишава и степента на приоритизиране на конкретната алтернатива</w:t>
      </w:r>
      <w:r w:rsidR="00F739D2">
        <w:rPr>
          <w:rFonts w:ascii="Times New Roman" w:hAnsi="Times New Roman" w:cs="Times New Roman"/>
          <w:sz w:val="24"/>
          <w:szCs w:val="24"/>
        </w:rPr>
        <w:t xml:space="preserve">. Според резултатите от таблица 1, </w:t>
      </w:r>
      <w:r w:rsidR="00AD69AB">
        <w:rPr>
          <w:rFonts w:ascii="Times New Roman" w:hAnsi="Times New Roman" w:cs="Times New Roman"/>
          <w:sz w:val="24"/>
          <w:szCs w:val="24"/>
        </w:rPr>
        <w:t>петият алтернативен отговор (А5</w:t>
      </w:r>
      <w:r w:rsidR="000A0B4D">
        <w:rPr>
          <w:rFonts w:ascii="Times New Roman" w:hAnsi="Times New Roman" w:cs="Times New Roman"/>
          <w:sz w:val="24"/>
          <w:szCs w:val="24"/>
        </w:rPr>
        <w:t xml:space="preserve">) </w:t>
      </w:r>
      <w:r w:rsidR="00F739D2">
        <w:rPr>
          <w:rFonts w:ascii="Times New Roman" w:hAnsi="Times New Roman" w:cs="Times New Roman"/>
          <w:sz w:val="24"/>
          <w:szCs w:val="24"/>
        </w:rPr>
        <w:t xml:space="preserve">има най-висока стойност на </w:t>
      </w:r>
      <w:proofErr w:type="spellStart"/>
      <w:r w:rsidR="00F739D2">
        <w:rPr>
          <w:rFonts w:ascii="Times New Roman" w:hAnsi="Times New Roman" w:cs="Times New Roman"/>
          <w:sz w:val="24"/>
          <w:szCs w:val="24"/>
          <w:lang w:val="en-US"/>
        </w:rPr>
        <w:t>r</w:t>
      </w:r>
      <w:r w:rsidR="00F739D2" w:rsidRPr="00F739D2">
        <w:rPr>
          <w:rFonts w:ascii="Times New Roman" w:hAnsi="Times New Roman" w:cs="Times New Roman"/>
          <w:sz w:val="20"/>
          <w:szCs w:val="20"/>
          <w:lang w:val="en-US"/>
        </w:rPr>
        <w:t>emp</w:t>
      </w:r>
      <w:proofErr w:type="spellEnd"/>
      <w:r w:rsidR="00F739D2" w:rsidRPr="00F739D2">
        <w:rPr>
          <w:rFonts w:ascii="Times New Roman" w:hAnsi="Times New Roman" w:cs="Times New Roman"/>
          <w:sz w:val="20"/>
          <w:szCs w:val="20"/>
          <w:lang w:val="en-US"/>
        </w:rPr>
        <w:t>.</w:t>
      </w:r>
      <w:r w:rsidR="00F739D2">
        <w:rPr>
          <w:rFonts w:ascii="Times New Roman" w:hAnsi="Times New Roman" w:cs="Times New Roman"/>
          <w:sz w:val="20"/>
          <w:szCs w:val="20"/>
          <w:lang w:val="en-US"/>
        </w:rPr>
        <w:t xml:space="preserve"> </w:t>
      </w:r>
      <w:r w:rsidR="00AD69AB">
        <w:rPr>
          <w:rFonts w:ascii="Times New Roman" w:hAnsi="Times New Roman" w:cs="Times New Roman"/>
          <w:sz w:val="24"/>
          <w:szCs w:val="24"/>
          <w:lang w:val="en-US"/>
        </w:rPr>
        <w:t>= 0,89</w:t>
      </w:r>
      <w:r w:rsidR="00F739D2">
        <w:rPr>
          <w:rFonts w:ascii="Times New Roman" w:hAnsi="Times New Roman" w:cs="Times New Roman"/>
          <w:sz w:val="24"/>
          <w:szCs w:val="24"/>
          <w:lang w:val="en-US"/>
        </w:rPr>
        <w:t xml:space="preserve">3, </w:t>
      </w:r>
      <w:r w:rsidR="00F739D2">
        <w:rPr>
          <w:rFonts w:ascii="Times New Roman" w:hAnsi="Times New Roman" w:cs="Times New Roman"/>
          <w:sz w:val="24"/>
          <w:szCs w:val="24"/>
        </w:rPr>
        <w:t xml:space="preserve">която е по-голяма от </w:t>
      </w:r>
      <w:proofErr w:type="spellStart"/>
      <w:r w:rsidR="00F739D2">
        <w:rPr>
          <w:rFonts w:ascii="Times New Roman" w:hAnsi="Times New Roman" w:cs="Times New Roman"/>
          <w:sz w:val="24"/>
          <w:szCs w:val="24"/>
          <w:lang w:val="en-US"/>
        </w:rPr>
        <w:t>r</w:t>
      </w:r>
      <w:r w:rsidR="00F739D2" w:rsidRPr="00671876">
        <w:rPr>
          <w:rFonts w:ascii="Times New Roman" w:hAnsi="Times New Roman" w:cs="Times New Roman"/>
          <w:sz w:val="20"/>
          <w:szCs w:val="20"/>
          <w:lang w:val="en-US"/>
        </w:rPr>
        <w:t>crit</w:t>
      </w:r>
      <w:proofErr w:type="spellEnd"/>
      <w:r w:rsidR="00F739D2" w:rsidRPr="00671876">
        <w:rPr>
          <w:rFonts w:ascii="Times New Roman" w:hAnsi="Times New Roman" w:cs="Times New Roman"/>
          <w:sz w:val="20"/>
          <w:szCs w:val="20"/>
          <w:lang w:val="en-US"/>
        </w:rPr>
        <w:t>.</w:t>
      </w:r>
      <w:r w:rsidR="000A0B4D">
        <w:rPr>
          <w:rFonts w:ascii="Times New Roman" w:hAnsi="Times New Roman" w:cs="Times New Roman"/>
          <w:sz w:val="20"/>
          <w:szCs w:val="20"/>
        </w:rPr>
        <w:t xml:space="preserve"> </w:t>
      </w:r>
      <w:r w:rsidR="000A0B4D">
        <w:rPr>
          <w:rFonts w:ascii="Times New Roman" w:hAnsi="Times New Roman" w:cs="Times New Roman"/>
          <w:sz w:val="24"/>
          <w:szCs w:val="24"/>
        </w:rPr>
        <w:t>Полученият резултат дава основание да се приеме,</w:t>
      </w:r>
      <w:r w:rsidR="00AD69AB">
        <w:rPr>
          <w:rFonts w:ascii="Times New Roman" w:hAnsi="Times New Roman" w:cs="Times New Roman"/>
          <w:sz w:val="24"/>
          <w:szCs w:val="24"/>
        </w:rPr>
        <w:t xml:space="preserve"> че </w:t>
      </w:r>
      <w:proofErr w:type="spellStart"/>
      <w:r w:rsidR="00AD69AB">
        <w:rPr>
          <w:rFonts w:ascii="Times New Roman" w:hAnsi="Times New Roman" w:cs="Times New Roman"/>
          <w:sz w:val="24"/>
          <w:szCs w:val="24"/>
        </w:rPr>
        <w:t>корелационната</w:t>
      </w:r>
      <w:proofErr w:type="spellEnd"/>
      <w:r w:rsidR="00AD69AB">
        <w:rPr>
          <w:rFonts w:ascii="Times New Roman" w:hAnsi="Times New Roman" w:cs="Times New Roman"/>
          <w:sz w:val="24"/>
          <w:szCs w:val="24"/>
        </w:rPr>
        <w:t xml:space="preserve"> връзка при А5 е значима, както и че А5</w:t>
      </w:r>
      <w:r w:rsidR="000A0B4D">
        <w:rPr>
          <w:rFonts w:ascii="Times New Roman" w:hAnsi="Times New Roman" w:cs="Times New Roman"/>
          <w:sz w:val="24"/>
          <w:szCs w:val="24"/>
        </w:rPr>
        <w:t xml:space="preserve"> има достоверен характер и може да бъде добра възможност за повишаване на </w:t>
      </w:r>
      <w:r w:rsidR="000A0B4D">
        <w:rPr>
          <w:rFonts w:ascii="Times New Roman" w:hAnsi="Times New Roman" w:cs="Times New Roman"/>
          <w:sz w:val="24"/>
          <w:szCs w:val="24"/>
        </w:rPr>
        <w:lastRenderedPageBreak/>
        <w:t xml:space="preserve">ефективността на ТГС. </w:t>
      </w:r>
      <w:r w:rsidR="005B3BF1">
        <w:rPr>
          <w:rFonts w:ascii="Times New Roman" w:hAnsi="Times New Roman" w:cs="Times New Roman"/>
          <w:sz w:val="24"/>
          <w:szCs w:val="24"/>
        </w:rPr>
        <w:t>Същото твърдение е вярно и за А3, А4 и А6</w:t>
      </w:r>
      <w:r w:rsidR="00FB6DDC">
        <w:rPr>
          <w:rFonts w:ascii="Times New Roman" w:hAnsi="Times New Roman" w:cs="Times New Roman"/>
          <w:sz w:val="24"/>
          <w:szCs w:val="24"/>
        </w:rPr>
        <w:t>, но настоящата разработка се фокусира само върху алтернативния отговор с най-висока значимост.</w:t>
      </w:r>
    </w:p>
    <w:p w:rsidR="006E27E8" w:rsidRPr="000A0B4D" w:rsidRDefault="006E27E8" w:rsidP="006428A5">
      <w:pPr>
        <w:spacing w:after="0" w:line="276" w:lineRule="auto"/>
        <w:jc w:val="both"/>
        <w:rPr>
          <w:rFonts w:ascii="Times New Roman" w:hAnsi="Times New Roman" w:cs="Times New Roman"/>
          <w:sz w:val="24"/>
          <w:szCs w:val="24"/>
        </w:rPr>
      </w:pPr>
    </w:p>
    <w:p w:rsidR="00641A0F" w:rsidRPr="00FF3019" w:rsidRDefault="00627C91" w:rsidP="00FF3019">
      <w:pPr>
        <w:spacing w:after="0" w:line="276" w:lineRule="auto"/>
        <w:jc w:val="right"/>
        <w:rPr>
          <w:rFonts w:ascii="Times New Roman" w:hAnsi="Times New Roman" w:cs="Times New Roman"/>
          <w:i/>
          <w:sz w:val="20"/>
          <w:szCs w:val="20"/>
        </w:rPr>
      </w:pPr>
      <w:r w:rsidRPr="00896278">
        <w:rPr>
          <w:rFonts w:ascii="Times New Roman" w:hAnsi="Times New Roman" w:cs="Times New Roman"/>
          <w:i/>
          <w:sz w:val="20"/>
          <w:szCs w:val="20"/>
        </w:rPr>
        <w:t>Таблица 1.</w:t>
      </w:r>
      <w:r w:rsidRPr="00FF3019">
        <w:rPr>
          <w:rFonts w:ascii="Times New Roman" w:hAnsi="Times New Roman" w:cs="Times New Roman"/>
          <w:i/>
          <w:sz w:val="20"/>
          <w:szCs w:val="20"/>
        </w:rPr>
        <w:t xml:space="preserve"> Степен на зависимост и </w:t>
      </w:r>
      <w:r w:rsidR="00EC1F49" w:rsidRPr="00FF3019">
        <w:rPr>
          <w:rFonts w:ascii="Times New Roman" w:hAnsi="Times New Roman" w:cs="Times New Roman"/>
          <w:i/>
          <w:sz w:val="20"/>
          <w:szCs w:val="20"/>
        </w:rPr>
        <w:t xml:space="preserve">равнище на </w:t>
      </w:r>
      <w:r w:rsidRPr="00FF3019">
        <w:rPr>
          <w:rFonts w:ascii="Times New Roman" w:hAnsi="Times New Roman" w:cs="Times New Roman"/>
          <w:i/>
          <w:sz w:val="20"/>
          <w:szCs w:val="20"/>
        </w:rPr>
        <w:t xml:space="preserve">значимост на </w:t>
      </w:r>
      <w:proofErr w:type="spellStart"/>
      <w:r w:rsidRPr="00FF3019">
        <w:rPr>
          <w:rFonts w:ascii="Times New Roman" w:hAnsi="Times New Roman" w:cs="Times New Roman"/>
          <w:i/>
          <w:sz w:val="20"/>
          <w:szCs w:val="20"/>
        </w:rPr>
        <w:t>корелационната</w:t>
      </w:r>
      <w:proofErr w:type="spellEnd"/>
      <w:r w:rsidRPr="00FF3019">
        <w:rPr>
          <w:rFonts w:ascii="Times New Roman" w:hAnsi="Times New Roman" w:cs="Times New Roman"/>
          <w:i/>
          <w:sz w:val="20"/>
          <w:szCs w:val="20"/>
        </w:rPr>
        <w:t xml:space="preserve"> връзка в рамките на въпроса, отнасящ се към КЕ 1</w:t>
      </w:r>
    </w:p>
    <w:tbl>
      <w:tblPr>
        <w:tblStyle w:val="TableGrid1"/>
        <w:tblW w:w="9067" w:type="dxa"/>
        <w:tblLayout w:type="fixed"/>
        <w:tblLook w:val="0420" w:firstRow="1" w:lastRow="0" w:firstColumn="0" w:lastColumn="0" w:noHBand="0" w:noVBand="1"/>
      </w:tblPr>
      <w:tblGrid>
        <w:gridCol w:w="2830"/>
        <w:gridCol w:w="567"/>
        <w:gridCol w:w="567"/>
        <w:gridCol w:w="567"/>
        <w:gridCol w:w="567"/>
        <w:gridCol w:w="567"/>
        <w:gridCol w:w="567"/>
        <w:gridCol w:w="1560"/>
        <w:gridCol w:w="1275"/>
      </w:tblGrid>
      <w:tr w:rsidR="00AD69AB" w:rsidRPr="00AD69AB" w:rsidTr="00AD69AB">
        <w:trPr>
          <w:trHeight w:val="204"/>
        </w:trPr>
        <w:tc>
          <w:tcPr>
            <w:tcW w:w="9067" w:type="dxa"/>
            <w:gridSpan w:val="9"/>
            <w:vAlign w:val="center"/>
            <w:hideMark/>
          </w:tcPr>
          <w:p w:rsidR="00AD69AB" w:rsidRPr="00AD69AB" w:rsidRDefault="00AD69AB" w:rsidP="006428A5">
            <w:pPr>
              <w:spacing w:line="276" w:lineRule="auto"/>
              <w:jc w:val="center"/>
              <w:rPr>
                <w:rFonts w:ascii="Times New Roman" w:eastAsia="Verdana" w:hAnsi="Times New Roman" w:cs="Times New Roman"/>
                <w:b/>
                <w:bCs/>
                <w:color w:val="000000" w:themeColor="text1"/>
                <w:kern w:val="24"/>
                <w:sz w:val="20"/>
                <w:szCs w:val="20"/>
                <w:lang w:eastAsia="bg-BG"/>
              </w:rPr>
            </w:pPr>
            <w:r w:rsidRPr="00AD69AB">
              <w:rPr>
                <w:rFonts w:ascii="Times New Roman" w:eastAsia="Verdana" w:hAnsi="Times New Roman" w:cs="Times New Roman"/>
                <w:b/>
                <w:bCs/>
                <w:color w:val="000000" w:themeColor="text1"/>
                <w:kern w:val="24"/>
                <w:sz w:val="20"/>
                <w:szCs w:val="20"/>
                <w:lang w:eastAsia="bg-BG"/>
              </w:rPr>
              <w:t>В каква степен сте съгласни със следните предложения за преосмисляне на ЕПС?</w:t>
            </w:r>
          </w:p>
        </w:tc>
      </w:tr>
      <w:tr w:rsidR="00AD69AB" w:rsidRPr="00AD69AB" w:rsidTr="00594D9D">
        <w:trPr>
          <w:trHeight w:val="301"/>
        </w:trPr>
        <w:tc>
          <w:tcPr>
            <w:tcW w:w="2830" w:type="dxa"/>
            <w:vMerge w:val="restart"/>
            <w:hideMark/>
          </w:tcPr>
          <w:p w:rsidR="00AD69AB" w:rsidRPr="00AD69AB" w:rsidRDefault="00AD69AB" w:rsidP="006428A5">
            <w:pPr>
              <w:spacing w:line="276" w:lineRule="auto"/>
              <w:rPr>
                <w:rFonts w:ascii="Times New Roman" w:eastAsia="Times New Roman" w:hAnsi="Times New Roman" w:cs="Times New Roman"/>
                <w:sz w:val="20"/>
                <w:szCs w:val="20"/>
                <w:lang w:eastAsia="bg-BG"/>
              </w:rPr>
            </w:pPr>
          </w:p>
        </w:tc>
        <w:tc>
          <w:tcPr>
            <w:tcW w:w="3402" w:type="dxa"/>
            <w:gridSpan w:val="6"/>
            <w:vAlign w:val="center"/>
            <w:hideMark/>
          </w:tcPr>
          <w:p w:rsidR="00AD69AB" w:rsidRPr="00AD69AB" w:rsidRDefault="00AD69AB" w:rsidP="006428A5">
            <w:pPr>
              <w:spacing w:line="276" w:lineRule="auto"/>
              <w:jc w:val="center"/>
              <w:rPr>
                <w:rFonts w:ascii="Times New Roman" w:eastAsia="Times New Roman" w:hAnsi="Times New Roman" w:cs="Times New Roman"/>
                <w:i/>
                <w:sz w:val="20"/>
                <w:szCs w:val="20"/>
                <w:lang w:val="en-US" w:eastAsia="bg-BG"/>
              </w:rPr>
            </w:pPr>
            <w:r w:rsidRPr="00AD69AB">
              <w:rPr>
                <w:rFonts w:ascii="Times New Roman" w:eastAsia="Verdana" w:hAnsi="Times New Roman" w:cs="Times New Roman"/>
                <w:color w:val="000000" w:themeColor="text1"/>
                <w:kern w:val="24"/>
                <w:sz w:val="20"/>
                <w:szCs w:val="20"/>
                <w:lang w:eastAsia="bg-BG"/>
              </w:rPr>
              <w:t>Числова стойност на степента</w:t>
            </w:r>
          </w:p>
        </w:tc>
        <w:tc>
          <w:tcPr>
            <w:tcW w:w="1560" w:type="dxa"/>
            <w:vMerge w:val="restart"/>
            <w:vAlign w:val="center"/>
            <w:hideMark/>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val="en-US" w:eastAsia="bg-BG"/>
              </w:rPr>
            </w:pPr>
            <w:r w:rsidRPr="00AD69AB">
              <w:rPr>
                <w:rFonts w:ascii="Times New Roman" w:eastAsia="Verdana" w:hAnsi="Times New Roman" w:cs="Times New Roman"/>
                <w:color w:val="000000" w:themeColor="text1"/>
                <w:kern w:val="24"/>
                <w:sz w:val="20"/>
                <w:szCs w:val="20"/>
                <w:lang w:eastAsia="bg-BG"/>
              </w:rPr>
              <w:t xml:space="preserve">Корелация </w:t>
            </w:r>
            <w:r w:rsidRPr="00AD69AB">
              <w:rPr>
                <w:rFonts w:ascii="Times New Roman" w:eastAsia="Verdana" w:hAnsi="Times New Roman" w:cs="Times New Roman"/>
                <w:b/>
                <w:color w:val="000000" w:themeColor="text1"/>
                <w:kern w:val="24"/>
                <w:sz w:val="20"/>
                <w:szCs w:val="20"/>
                <w:lang w:eastAsia="bg-BG"/>
              </w:rPr>
              <w:t>(</w:t>
            </w:r>
            <w:r w:rsidRPr="00AD69AB">
              <w:rPr>
                <w:rFonts w:ascii="Times New Roman" w:eastAsia="Verdana" w:hAnsi="Times New Roman" w:cs="Times New Roman"/>
                <w:b/>
                <w:color w:val="000000" w:themeColor="text1"/>
                <w:kern w:val="24"/>
                <w:sz w:val="20"/>
                <w:szCs w:val="20"/>
                <w:lang w:val="en-US" w:eastAsia="bg-BG"/>
              </w:rPr>
              <w:t>r)</w:t>
            </w:r>
          </w:p>
        </w:tc>
        <w:tc>
          <w:tcPr>
            <w:tcW w:w="1275" w:type="dxa"/>
            <w:vMerge w:val="restart"/>
            <w:vAlign w:val="center"/>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r w:rsidRPr="00AD69AB">
              <w:rPr>
                <w:rFonts w:ascii="Times New Roman" w:eastAsia="Verdana" w:hAnsi="Times New Roman" w:cs="Times New Roman"/>
                <w:color w:val="000000" w:themeColor="text1"/>
                <w:kern w:val="24"/>
                <w:sz w:val="20"/>
                <w:szCs w:val="20"/>
                <w:lang w:eastAsia="bg-BG"/>
              </w:rPr>
              <w:t>Равнище на значимост</w:t>
            </w:r>
          </w:p>
          <w:p w:rsidR="00AD69AB" w:rsidRPr="00AD69AB" w:rsidRDefault="00AD69AB" w:rsidP="006428A5">
            <w:pPr>
              <w:spacing w:line="276" w:lineRule="auto"/>
              <w:jc w:val="center"/>
              <w:rPr>
                <w:rFonts w:ascii="Times New Roman" w:eastAsia="Verdana" w:hAnsi="Times New Roman" w:cs="Times New Roman"/>
                <w:b/>
                <w:color w:val="000000" w:themeColor="text1"/>
                <w:kern w:val="24"/>
                <w:sz w:val="20"/>
                <w:szCs w:val="20"/>
                <w:lang w:eastAsia="bg-BG"/>
              </w:rPr>
            </w:pPr>
            <w:r w:rsidRPr="00AD69AB">
              <w:rPr>
                <w:rFonts w:ascii="Times New Roman" w:eastAsia="Verdana" w:hAnsi="Times New Roman" w:cs="Times New Roman"/>
                <w:b/>
                <w:color w:val="000000" w:themeColor="text1"/>
                <w:kern w:val="24"/>
                <w:sz w:val="20"/>
                <w:szCs w:val="20"/>
                <w:lang w:eastAsia="bg-BG"/>
              </w:rPr>
              <w:t>(α)</w:t>
            </w:r>
          </w:p>
        </w:tc>
      </w:tr>
      <w:tr w:rsidR="00AD69AB" w:rsidRPr="00AD69AB" w:rsidTr="00594D9D">
        <w:trPr>
          <w:trHeight w:val="419"/>
        </w:trPr>
        <w:tc>
          <w:tcPr>
            <w:tcW w:w="2830" w:type="dxa"/>
            <w:vMerge/>
          </w:tcPr>
          <w:p w:rsidR="00AD69AB" w:rsidRPr="00AD69AB" w:rsidRDefault="00AD69AB" w:rsidP="006428A5">
            <w:pPr>
              <w:spacing w:line="276" w:lineRule="auto"/>
              <w:rPr>
                <w:rFonts w:ascii="Times New Roman" w:eastAsia="Times New Roman" w:hAnsi="Times New Roman" w:cs="Times New Roman"/>
                <w:sz w:val="20"/>
                <w:szCs w:val="20"/>
                <w:lang w:eastAsia="bg-BG"/>
              </w:rPr>
            </w:pPr>
          </w:p>
        </w:tc>
        <w:tc>
          <w:tcPr>
            <w:tcW w:w="567" w:type="dxa"/>
            <w:vAlign w:val="center"/>
          </w:tcPr>
          <w:p w:rsidR="00AD69AB" w:rsidRPr="00AD69AB" w:rsidRDefault="00AD69AB" w:rsidP="006428A5">
            <w:pPr>
              <w:spacing w:line="276" w:lineRule="auto"/>
              <w:jc w:val="center"/>
              <w:rPr>
                <w:rFonts w:ascii="Times New Roman" w:eastAsia="Times New Roman" w:hAnsi="Times New Roman" w:cs="Times New Roman"/>
                <w:b/>
                <w:sz w:val="20"/>
                <w:szCs w:val="20"/>
                <w:lang w:eastAsia="bg-BG"/>
              </w:rPr>
            </w:pPr>
            <w:r w:rsidRPr="00AD69AB">
              <w:rPr>
                <w:rFonts w:ascii="Times New Roman" w:eastAsia="Verdana" w:hAnsi="Times New Roman" w:cs="Times New Roman"/>
                <w:b/>
                <w:color w:val="000000" w:themeColor="text1"/>
                <w:kern w:val="24"/>
                <w:sz w:val="20"/>
                <w:szCs w:val="20"/>
                <w:lang w:eastAsia="bg-BG"/>
              </w:rPr>
              <w:t>(</w:t>
            </w:r>
            <w:r w:rsidRPr="00AD69AB">
              <w:rPr>
                <w:rFonts w:ascii="Times New Roman" w:eastAsia="Verdana" w:hAnsi="Times New Roman" w:cs="Times New Roman"/>
                <w:b/>
                <w:color w:val="000000" w:themeColor="text1"/>
                <w:kern w:val="24"/>
                <w:sz w:val="20"/>
                <w:szCs w:val="20"/>
                <w:lang w:val="en-US" w:eastAsia="bg-BG"/>
              </w:rPr>
              <w:t>1</w:t>
            </w:r>
            <w:r w:rsidRPr="00AD69AB">
              <w:rPr>
                <w:rFonts w:ascii="Times New Roman" w:eastAsia="Verdana" w:hAnsi="Times New Roman" w:cs="Times New Roman"/>
                <w:b/>
                <w:color w:val="000000" w:themeColor="text1"/>
                <w:kern w:val="24"/>
                <w:sz w:val="20"/>
                <w:szCs w:val="20"/>
                <w:lang w:eastAsia="bg-BG"/>
              </w:rPr>
              <w:t>)</w:t>
            </w:r>
          </w:p>
        </w:tc>
        <w:tc>
          <w:tcPr>
            <w:tcW w:w="567" w:type="dxa"/>
            <w:vAlign w:val="center"/>
          </w:tcPr>
          <w:p w:rsidR="00AD69AB" w:rsidRPr="00AD69AB" w:rsidRDefault="00AD69AB" w:rsidP="006428A5">
            <w:pPr>
              <w:spacing w:line="276" w:lineRule="auto"/>
              <w:jc w:val="center"/>
              <w:rPr>
                <w:rFonts w:ascii="Times New Roman" w:eastAsia="Times New Roman" w:hAnsi="Times New Roman" w:cs="Times New Roman"/>
                <w:b/>
                <w:sz w:val="20"/>
                <w:szCs w:val="20"/>
                <w:lang w:eastAsia="bg-BG"/>
              </w:rPr>
            </w:pPr>
            <w:r w:rsidRPr="00AD69AB">
              <w:rPr>
                <w:rFonts w:ascii="Times New Roman" w:eastAsia="Verdana" w:hAnsi="Times New Roman" w:cs="Times New Roman"/>
                <w:b/>
                <w:color w:val="000000" w:themeColor="text1"/>
                <w:kern w:val="24"/>
                <w:sz w:val="20"/>
                <w:szCs w:val="20"/>
                <w:lang w:eastAsia="bg-BG"/>
              </w:rPr>
              <w:t>(</w:t>
            </w:r>
            <w:r w:rsidRPr="00AD69AB">
              <w:rPr>
                <w:rFonts w:ascii="Times New Roman" w:eastAsia="Verdana" w:hAnsi="Times New Roman" w:cs="Times New Roman"/>
                <w:b/>
                <w:color w:val="000000" w:themeColor="text1"/>
                <w:kern w:val="24"/>
                <w:sz w:val="20"/>
                <w:szCs w:val="20"/>
                <w:lang w:val="en-US" w:eastAsia="bg-BG"/>
              </w:rPr>
              <w:t>2</w:t>
            </w:r>
            <w:r w:rsidRPr="00AD69AB">
              <w:rPr>
                <w:rFonts w:ascii="Times New Roman" w:eastAsia="Verdana" w:hAnsi="Times New Roman" w:cs="Times New Roman"/>
                <w:b/>
                <w:color w:val="000000" w:themeColor="text1"/>
                <w:kern w:val="24"/>
                <w:sz w:val="20"/>
                <w:szCs w:val="20"/>
                <w:lang w:eastAsia="bg-BG"/>
              </w:rPr>
              <w:t>)</w:t>
            </w:r>
          </w:p>
        </w:tc>
        <w:tc>
          <w:tcPr>
            <w:tcW w:w="567" w:type="dxa"/>
            <w:vAlign w:val="center"/>
          </w:tcPr>
          <w:p w:rsidR="00AD69AB" w:rsidRPr="00AD69AB" w:rsidRDefault="00AD69AB" w:rsidP="006428A5">
            <w:pPr>
              <w:spacing w:line="276" w:lineRule="auto"/>
              <w:jc w:val="center"/>
              <w:rPr>
                <w:rFonts w:ascii="Times New Roman" w:eastAsia="Times New Roman" w:hAnsi="Times New Roman" w:cs="Times New Roman"/>
                <w:b/>
                <w:sz w:val="20"/>
                <w:szCs w:val="20"/>
                <w:lang w:eastAsia="bg-BG"/>
              </w:rPr>
            </w:pPr>
            <w:r w:rsidRPr="00AD69AB">
              <w:rPr>
                <w:rFonts w:ascii="Times New Roman" w:eastAsia="Verdana" w:hAnsi="Times New Roman" w:cs="Times New Roman"/>
                <w:b/>
                <w:color w:val="000000" w:themeColor="text1"/>
                <w:kern w:val="24"/>
                <w:sz w:val="20"/>
                <w:szCs w:val="20"/>
                <w:lang w:eastAsia="bg-BG"/>
              </w:rPr>
              <w:t>(3)</w:t>
            </w:r>
          </w:p>
        </w:tc>
        <w:tc>
          <w:tcPr>
            <w:tcW w:w="567" w:type="dxa"/>
            <w:vAlign w:val="center"/>
          </w:tcPr>
          <w:p w:rsidR="00AD69AB" w:rsidRPr="00AD69AB" w:rsidRDefault="00AD69AB" w:rsidP="006428A5">
            <w:pPr>
              <w:spacing w:line="276" w:lineRule="auto"/>
              <w:jc w:val="center"/>
              <w:rPr>
                <w:rFonts w:ascii="Times New Roman" w:eastAsia="Times New Roman" w:hAnsi="Times New Roman" w:cs="Times New Roman"/>
                <w:b/>
                <w:sz w:val="20"/>
                <w:szCs w:val="20"/>
                <w:lang w:eastAsia="bg-BG"/>
              </w:rPr>
            </w:pPr>
            <w:r w:rsidRPr="00AD69AB">
              <w:rPr>
                <w:rFonts w:ascii="Times New Roman" w:eastAsia="Verdana" w:hAnsi="Times New Roman" w:cs="Times New Roman"/>
                <w:b/>
                <w:color w:val="000000" w:themeColor="text1"/>
                <w:kern w:val="24"/>
                <w:sz w:val="20"/>
                <w:szCs w:val="20"/>
                <w:lang w:eastAsia="bg-BG"/>
              </w:rPr>
              <w:t>(</w:t>
            </w:r>
            <w:r w:rsidRPr="00AD69AB">
              <w:rPr>
                <w:rFonts w:ascii="Times New Roman" w:eastAsia="Verdana" w:hAnsi="Times New Roman" w:cs="Times New Roman"/>
                <w:b/>
                <w:color w:val="000000" w:themeColor="text1"/>
                <w:kern w:val="24"/>
                <w:sz w:val="20"/>
                <w:szCs w:val="20"/>
                <w:lang w:val="en-US" w:eastAsia="bg-BG"/>
              </w:rPr>
              <w:t>4</w:t>
            </w:r>
            <w:r w:rsidRPr="00AD69AB">
              <w:rPr>
                <w:rFonts w:ascii="Times New Roman" w:eastAsia="Verdana" w:hAnsi="Times New Roman" w:cs="Times New Roman"/>
                <w:b/>
                <w:color w:val="000000" w:themeColor="text1"/>
                <w:kern w:val="24"/>
                <w:sz w:val="20"/>
                <w:szCs w:val="20"/>
                <w:lang w:eastAsia="bg-BG"/>
              </w:rPr>
              <w:t>)</w:t>
            </w:r>
          </w:p>
        </w:tc>
        <w:tc>
          <w:tcPr>
            <w:tcW w:w="567" w:type="dxa"/>
            <w:vAlign w:val="center"/>
          </w:tcPr>
          <w:p w:rsidR="00AD69AB" w:rsidRPr="00AD69AB" w:rsidRDefault="00AD69AB" w:rsidP="006428A5">
            <w:pPr>
              <w:spacing w:line="276" w:lineRule="auto"/>
              <w:jc w:val="center"/>
              <w:rPr>
                <w:rFonts w:ascii="Times New Roman" w:eastAsia="Times New Roman" w:hAnsi="Times New Roman" w:cs="Times New Roman"/>
                <w:b/>
                <w:sz w:val="20"/>
                <w:szCs w:val="20"/>
                <w:lang w:eastAsia="bg-BG"/>
              </w:rPr>
            </w:pPr>
            <w:r w:rsidRPr="00AD69AB">
              <w:rPr>
                <w:rFonts w:ascii="Times New Roman" w:eastAsia="Verdana" w:hAnsi="Times New Roman" w:cs="Times New Roman"/>
                <w:b/>
                <w:color w:val="000000" w:themeColor="text1"/>
                <w:kern w:val="24"/>
                <w:sz w:val="20"/>
                <w:szCs w:val="20"/>
                <w:lang w:eastAsia="bg-BG"/>
              </w:rPr>
              <w:t>(</w:t>
            </w:r>
            <w:r w:rsidRPr="00AD69AB">
              <w:rPr>
                <w:rFonts w:ascii="Times New Roman" w:eastAsia="Verdana" w:hAnsi="Times New Roman" w:cs="Times New Roman"/>
                <w:b/>
                <w:color w:val="000000" w:themeColor="text1"/>
                <w:kern w:val="24"/>
                <w:sz w:val="20"/>
                <w:szCs w:val="20"/>
                <w:lang w:val="en-US" w:eastAsia="bg-BG"/>
              </w:rPr>
              <w:t>5</w:t>
            </w:r>
            <w:r w:rsidRPr="00AD69AB">
              <w:rPr>
                <w:rFonts w:ascii="Times New Roman" w:eastAsia="Verdana" w:hAnsi="Times New Roman" w:cs="Times New Roman"/>
                <w:b/>
                <w:color w:val="000000" w:themeColor="text1"/>
                <w:kern w:val="24"/>
                <w:sz w:val="20"/>
                <w:szCs w:val="20"/>
                <w:lang w:eastAsia="bg-BG"/>
              </w:rPr>
              <w:t>)</w:t>
            </w:r>
          </w:p>
        </w:tc>
        <w:tc>
          <w:tcPr>
            <w:tcW w:w="567" w:type="dxa"/>
            <w:vAlign w:val="center"/>
          </w:tcPr>
          <w:p w:rsidR="00AD69AB" w:rsidRPr="00AD69AB" w:rsidRDefault="00AD69AB" w:rsidP="006428A5">
            <w:pPr>
              <w:spacing w:line="276" w:lineRule="auto"/>
              <w:jc w:val="center"/>
              <w:rPr>
                <w:rFonts w:ascii="Times New Roman" w:eastAsia="Times New Roman" w:hAnsi="Times New Roman" w:cs="Times New Roman"/>
                <w:i/>
                <w:sz w:val="20"/>
                <w:szCs w:val="20"/>
                <w:lang w:val="en-US" w:eastAsia="bg-BG"/>
              </w:rPr>
            </w:pPr>
            <w:r w:rsidRPr="00AD69AB">
              <w:rPr>
                <w:rFonts w:ascii="Times New Roman" w:eastAsia="Verdana" w:hAnsi="Times New Roman" w:cs="Times New Roman"/>
                <w:i/>
                <w:kern w:val="24"/>
                <w:sz w:val="20"/>
                <w:szCs w:val="20"/>
                <w:lang w:val="en-US" w:eastAsia="bg-BG"/>
              </w:rPr>
              <w:t>(0)</w:t>
            </w:r>
          </w:p>
        </w:tc>
        <w:tc>
          <w:tcPr>
            <w:tcW w:w="1560" w:type="dxa"/>
            <w:vMerge/>
            <w:vAlign w:val="center"/>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
        </w:tc>
        <w:tc>
          <w:tcPr>
            <w:tcW w:w="1275" w:type="dxa"/>
            <w:vMerge/>
            <w:vAlign w:val="center"/>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
        </w:tc>
      </w:tr>
      <w:tr w:rsidR="00AD69AB" w:rsidRPr="00AD69AB" w:rsidTr="00594D9D">
        <w:trPr>
          <w:trHeight w:val="1214"/>
        </w:trPr>
        <w:tc>
          <w:tcPr>
            <w:tcW w:w="2830" w:type="dxa"/>
            <w:vAlign w:val="center"/>
            <w:hideMark/>
          </w:tcPr>
          <w:p w:rsidR="00AD69AB" w:rsidRPr="00AD69AB" w:rsidRDefault="00AD69AB" w:rsidP="006428A5">
            <w:pPr>
              <w:spacing w:line="276" w:lineRule="auto"/>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А1. Предприемане на мерки спрямо страните, нежелаещи да участват в сътрудничество в рамките на ЕПС, посредством по-широкия контекст на ОВППС*</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60</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116</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189</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242</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69</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i/>
                <w:sz w:val="20"/>
                <w:szCs w:val="20"/>
                <w:lang w:val="en-US" w:eastAsia="bg-BG"/>
              </w:rPr>
            </w:pPr>
            <w:r w:rsidRPr="00AD69AB">
              <w:rPr>
                <w:rFonts w:ascii="Times New Roman" w:eastAsia="Verdana" w:hAnsi="Times New Roman" w:cs="Times New Roman"/>
                <w:i/>
                <w:kern w:val="24"/>
                <w:sz w:val="20"/>
                <w:szCs w:val="20"/>
                <w:lang w:eastAsia="bg-BG"/>
              </w:rPr>
              <w:t>84</w:t>
            </w:r>
          </w:p>
        </w:tc>
        <w:tc>
          <w:tcPr>
            <w:tcW w:w="1560" w:type="dxa"/>
            <w:vAlign w:val="center"/>
            <w:hideMark/>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r w:rsidRPr="00AD69AB">
              <w:rPr>
                <w:rFonts w:ascii="Times New Roman" w:eastAsia="Verdana" w:hAnsi="Times New Roman" w:cs="Times New Roman"/>
                <w:color w:val="000000" w:themeColor="text1"/>
                <w:kern w:val="24"/>
                <w:sz w:val="20"/>
                <w:szCs w:val="20"/>
                <w:lang w:eastAsia="bg-BG"/>
              </w:rPr>
              <w:t>Възходяща, средна степен на зависимост</w:t>
            </w:r>
          </w:p>
        </w:tc>
        <w:tc>
          <w:tcPr>
            <w:tcW w:w="1275" w:type="dxa"/>
            <w:vAlign w:val="center"/>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val="en-US" w:eastAsia="bg-BG"/>
              </w:rPr>
            </w:pPr>
            <w:proofErr w:type="gramStart"/>
            <w:r w:rsidRPr="00AD69AB">
              <w:rPr>
                <w:rFonts w:ascii="Times New Roman" w:eastAsia="Verdana" w:hAnsi="Times New Roman" w:cs="Times New Roman"/>
                <w:color w:val="000000" w:themeColor="text1"/>
                <w:kern w:val="24"/>
                <w:sz w:val="20"/>
                <w:szCs w:val="20"/>
                <w:lang w:val="en-US" w:eastAsia="bg-BG"/>
              </w:rPr>
              <w:t>r</w:t>
            </w:r>
            <w:proofErr w:type="spellStart"/>
            <w:r w:rsidRPr="00AD69AB">
              <w:rPr>
                <w:rFonts w:ascii="Times New Roman" w:eastAsia="Verdana" w:hAnsi="Times New Roman" w:cs="Times New Roman"/>
                <w:color w:val="000000" w:themeColor="text1"/>
                <w:kern w:val="24"/>
                <w:sz w:val="16"/>
                <w:szCs w:val="16"/>
                <w:lang w:eastAsia="bg-BG"/>
              </w:rPr>
              <w:t>emp</w:t>
            </w:r>
            <w:proofErr w:type="spellEnd"/>
            <w:r w:rsidRPr="00AD69AB">
              <w:rPr>
                <w:rFonts w:ascii="Times New Roman" w:eastAsia="Verdana" w:hAnsi="Times New Roman" w:cs="Times New Roman"/>
                <w:color w:val="000000" w:themeColor="text1"/>
                <w:kern w:val="24"/>
                <w:sz w:val="16"/>
                <w:szCs w:val="16"/>
                <w:lang w:eastAsia="bg-BG"/>
              </w:rPr>
              <w:t>.</w:t>
            </w:r>
            <w:r w:rsidRPr="00AD69AB">
              <w:rPr>
                <w:rFonts w:ascii="Times New Roman" w:eastAsia="Verdana" w:hAnsi="Times New Roman" w:cs="Times New Roman"/>
                <w:color w:val="000000" w:themeColor="text1"/>
                <w:kern w:val="24"/>
                <w:sz w:val="20"/>
                <w:szCs w:val="20"/>
                <w:lang w:eastAsia="bg-BG"/>
              </w:rPr>
              <w:t>(</w:t>
            </w:r>
            <w:proofErr w:type="gramEnd"/>
            <w:r w:rsidRPr="00AD69AB">
              <w:rPr>
                <w:rFonts w:ascii="Times New Roman" w:eastAsia="Verdana" w:hAnsi="Times New Roman" w:cs="Times New Roman"/>
                <w:color w:val="000000" w:themeColor="text1"/>
                <w:kern w:val="24"/>
                <w:sz w:val="20"/>
                <w:szCs w:val="20"/>
                <w:lang w:eastAsia="bg-BG"/>
              </w:rPr>
              <w:t xml:space="preserve">0,397) </w:t>
            </w:r>
            <w:r w:rsidRPr="00AD69AB">
              <w:rPr>
                <w:rFonts w:ascii="Times New Roman" w:eastAsia="Verdana" w:hAnsi="Times New Roman" w:cs="Times New Roman"/>
                <w:b/>
                <w:color w:val="000000" w:themeColor="text1"/>
                <w:kern w:val="24"/>
                <w:sz w:val="20"/>
                <w:szCs w:val="20"/>
                <w:lang w:eastAsia="bg-BG"/>
              </w:rPr>
              <w:t>&lt;</w:t>
            </w:r>
            <w:r w:rsidRPr="00AD69AB">
              <w:rPr>
                <w:rFonts w:ascii="Times New Roman" w:eastAsia="Verdana" w:hAnsi="Times New Roman" w:cs="Times New Roman"/>
                <w:color w:val="000000" w:themeColor="text1"/>
                <w:kern w:val="24"/>
                <w:sz w:val="20"/>
                <w:szCs w:val="20"/>
                <w:lang w:eastAsia="bg-BG"/>
              </w:rPr>
              <w:t xml:space="preserve"> </w:t>
            </w:r>
            <w:proofErr w:type="spellStart"/>
            <w:r w:rsidRPr="00AD69AB">
              <w:rPr>
                <w:rFonts w:ascii="Times New Roman" w:eastAsia="Verdana" w:hAnsi="Times New Roman" w:cs="Times New Roman"/>
                <w:color w:val="000000" w:themeColor="text1"/>
                <w:kern w:val="24"/>
                <w:sz w:val="20"/>
                <w:szCs w:val="20"/>
                <w:lang w:eastAsia="bg-BG"/>
              </w:rPr>
              <w:t>r</w:t>
            </w:r>
            <w:r w:rsidRPr="00AD69AB">
              <w:rPr>
                <w:rFonts w:ascii="Times New Roman" w:eastAsia="Verdana" w:hAnsi="Times New Roman" w:cs="Times New Roman"/>
                <w:color w:val="000000" w:themeColor="text1"/>
                <w:kern w:val="24"/>
                <w:sz w:val="16"/>
                <w:szCs w:val="16"/>
                <w:lang w:eastAsia="bg-BG"/>
              </w:rPr>
              <w:t>crit</w:t>
            </w:r>
            <w:proofErr w:type="spellEnd"/>
            <w:r w:rsidRPr="00AD69AB">
              <w:rPr>
                <w:rFonts w:ascii="Times New Roman" w:eastAsia="Verdana" w:hAnsi="Times New Roman" w:cs="Times New Roman"/>
                <w:color w:val="000000" w:themeColor="text1"/>
                <w:kern w:val="24"/>
                <w:sz w:val="16"/>
                <w:szCs w:val="16"/>
                <w:lang w:val="en-US" w:eastAsia="bg-BG"/>
              </w:rPr>
              <w:t>.</w:t>
            </w:r>
          </w:p>
        </w:tc>
      </w:tr>
      <w:tr w:rsidR="00AD69AB" w:rsidRPr="00AD69AB" w:rsidTr="00594D9D">
        <w:trPr>
          <w:trHeight w:val="864"/>
        </w:trPr>
        <w:tc>
          <w:tcPr>
            <w:tcW w:w="2830" w:type="dxa"/>
            <w:vAlign w:val="center"/>
            <w:hideMark/>
          </w:tcPr>
          <w:p w:rsidR="00AD69AB" w:rsidRPr="00AD69AB" w:rsidRDefault="00AD69AB" w:rsidP="006428A5">
            <w:pPr>
              <w:spacing w:line="276" w:lineRule="auto"/>
              <w:rPr>
                <w:rFonts w:ascii="Times New Roman" w:eastAsia="Times New Roman" w:hAnsi="Times New Roman" w:cs="Times New Roman"/>
                <w:b/>
                <w:sz w:val="20"/>
                <w:szCs w:val="20"/>
                <w:lang w:eastAsia="bg-BG"/>
              </w:rPr>
            </w:pPr>
            <w:r w:rsidRPr="00AD69AB">
              <w:rPr>
                <w:rFonts w:ascii="Times New Roman" w:eastAsia="Verdana" w:hAnsi="Times New Roman" w:cs="Times New Roman"/>
                <w:color w:val="000000" w:themeColor="text1"/>
                <w:kern w:val="24"/>
                <w:sz w:val="20"/>
                <w:szCs w:val="20"/>
                <w:lang w:eastAsia="bg-BG"/>
              </w:rPr>
              <w:t>А2.</w:t>
            </w:r>
            <w:r w:rsidRPr="00AD69AB">
              <w:rPr>
                <w:rFonts w:ascii="Times New Roman" w:eastAsia="Verdana" w:hAnsi="Times New Roman" w:cs="Times New Roman"/>
                <w:b/>
                <w:color w:val="000000" w:themeColor="text1"/>
                <w:kern w:val="24"/>
                <w:sz w:val="20"/>
                <w:szCs w:val="20"/>
                <w:lang w:eastAsia="bg-BG"/>
              </w:rPr>
              <w:t xml:space="preserve"> </w:t>
            </w:r>
            <w:r w:rsidRPr="00AD69AB">
              <w:rPr>
                <w:rFonts w:ascii="Times New Roman" w:eastAsia="Verdana" w:hAnsi="Times New Roman" w:cs="Times New Roman"/>
                <w:color w:val="000000" w:themeColor="text1"/>
                <w:kern w:val="24"/>
                <w:sz w:val="20"/>
                <w:szCs w:val="20"/>
                <w:lang w:eastAsia="bg-BG"/>
              </w:rPr>
              <w:t>Предлагане на варианти за сътрудничество, съобразени с променящите се интереси на партньорите от региона</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10</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39</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115</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376</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188</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i/>
                <w:sz w:val="20"/>
                <w:szCs w:val="20"/>
                <w:lang w:eastAsia="bg-BG"/>
              </w:rPr>
            </w:pPr>
            <w:r w:rsidRPr="00AD69AB">
              <w:rPr>
                <w:rFonts w:ascii="Times New Roman" w:eastAsia="Verdana" w:hAnsi="Times New Roman" w:cs="Times New Roman"/>
                <w:i/>
                <w:kern w:val="24"/>
                <w:sz w:val="20"/>
                <w:szCs w:val="20"/>
                <w:lang w:eastAsia="bg-BG"/>
              </w:rPr>
              <w:t>32</w:t>
            </w:r>
          </w:p>
        </w:tc>
        <w:tc>
          <w:tcPr>
            <w:tcW w:w="1560" w:type="dxa"/>
            <w:vAlign w:val="center"/>
            <w:hideMark/>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r w:rsidRPr="00AD69AB">
              <w:rPr>
                <w:rFonts w:ascii="Times New Roman" w:eastAsia="Verdana" w:hAnsi="Times New Roman" w:cs="Times New Roman"/>
                <w:color w:val="000000" w:themeColor="text1"/>
                <w:kern w:val="24"/>
                <w:sz w:val="20"/>
                <w:szCs w:val="20"/>
                <w:lang w:eastAsia="bg-BG"/>
              </w:rPr>
              <w:t>Възходяща, средна степен на зависимост</w:t>
            </w:r>
          </w:p>
        </w:tc>
        <w:tc>
          <w:tcPr>
            <w:tcW w:w="1275" w:type="dxa"/>
            <w:vAlign w:val="center"/>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AD69AB">
              <w:rPr>
                <w:rFonts w:ascii="Times New Roman" w:eastAsia="Verdana" w:hAnsi="Times New Roman" w:cs="Times New Roman"/>
                <w:color w:val="000000" w:themeColor="text1"/>
                <w:kern w:val="24"/>
                <w:sz w:val="20"/>
                <w:szCs w:val="20"/>
                <w:lang w:eastAsia="bg-BG"/>
              </w:rPr>
              <w:t>r</w:t>
            </w:r>
            <w:r w:rsidRPr="00AD69AB">
              <w:rPr>
                <w:rFonts w:ascii="Times New Roman" w:eastAsia="Verdana" w:hAnsi="Times New Roman" w:cs="Times New Roman"/>
                <w:color w:val="000000" w:themeColor="text1"/>
                <w:kern w:val="24"/>
                <w:sz w:val="16"/>
                <w:szCs w:val="16"/>
                <w:lang w:eastAsia="bg-BG"/>
              </w:rPr>
              <w:t>emp</w:t>
            </w:r>
            <w:proofErr w:type="spellEnd"/>
            <w:r w:rsidRPr="00AD69AB">
              <w:rPr>
                <w:rFonts w:ascii="Times New Roman" w:eastAsia="Verdana" w:hAnsi="Times New Roman" w:cs="Times New Roman"/>
                <w:color w:val="000000" w:themeColor="text1"/>
                <w:kern w:val="24"/>
                <w:sz w:val="20"/>
                <w:szCs w:val="20"/>
                <w:lang w:eastAsia="bg-BG"/>
              </w:rPr>
              <w:t xml:space="preserve">.(0,753) &lt; </w:t>
            </w:r>
            <w:proofErr w:type="spellStart"/>
            <w:r w:rsidRPr="00AD69AB">
              <w:rPr>
                <w:rFonts w:ascii="Times New Roman" w:eastAsia="Verdana" w:hAnsi="Times New Roman" w:cs="Times New Roman"/>
                <w:color w:val="000000" w:themeColor="text1"/>
                <w:kern w:val="24"/>
                <w:sz w:val="20"/>
                <w:szCs w:val="20"/>
                <w:lang w:eastAsia="bg-BG"/>
              </w:rPr>
              <w:t>r</w:t>
            </w:r>
            <w:r w:rsidRPr="00AD69AB">
              <w:rPr>
                <w:rFonts w:ascii="Times New Roman" w:eastAsia="Verdana" w:hAnsi="Times New Roman" w:cs="Times New Roman"/>
                <w:color w:val="000000" w:themeColor="text1"/>
                <w:kern w:val="24"/>
                <w:sz w:val="16"/>
                <w:szCs w:val="16"/>
                <w:lang w:eastAsia="bg-BG"/>
              </w:rPr>
              <w:t>crit</w:t>
            </w:r>
            <w:proofErr w:type="spellEnd"/>
            <w:r w:rsidRPr="00AD69AB">
              <w:rPr>
                <w:rFonts w:ascii="Times New Roman" w:eastAsia="Verdana" w:hAnsi="Times New Roman" w:cs="Times New Roman"/>
                <w:color w:val="000000" w:themeColor="text1"/>
                <w:kern w:val="24"/>
                <w:sz w:val="20"/>
                <w:szCs w:val="20"/>
                <w:lang w:eastAsia="bg-BG"/>
              </w:rPr>
              <w:t>.</w:t>
            </w:r>
          </w:p>
        </w:tc>
      </w:tr>
      <w:tr w:rsidR="00AD69AB" w:rsidRPr="00AD69AB" w:rsidTr="00594D9D">
        <w:trPr>
          <w:trHeight w:val="410"/>
        </w:trPr>
        <w:tc>
          <w:tcPr>
            <w:tcW w:w="2830" w:type="dxa"/>
            <w:vAlign w:val="center"/>
            <w:hideMark/>
          </w:tcPr>
          <w:p w:rsidR="00AD69AB" w:rsidRPr="00AD69AB" w:rsidRDefault="00AD69AB" w:rsidP="006428A5">
            <w:pPr>
              <w:spacing w:line="276" w:lineRule="auto"/>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А3. Инициативите на ЕС трябва да бъдат по-малко бюрократични</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12</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18</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57</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238</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415</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i/>
                <w:sz w:val="20"/>
                <w:szCs w:val="20"/>
                <w:lang w:val="en-US" w:eastAsia="bg-BG"/>
              </w:rPr>
            </w:pPr>
            <w:r w:rsidRPr="00AD69AB">
              <w:rPr>
                <w:rFonts w:ascii="Times New Roman" w:eastAsia="Verdana" w:hAnsi="Times New Roman" w:cs="Times New Roman"/>
                <w:i/>
                <w:kern w:val="24"/>
                <w:sz w:val="20"/>
                <w:szCs w:val="20"/>
                <w:lang w:eastAsia="bg-BG"/>
              </w:rPr>
              <w:t>20</w:t>
            </w:r>
          </w:p>
        </w:tc>
        <w:tc>
          <w:tcPr>
            <w:tcW w:w="1560" w:type="dxa"/>
            <w:vAlign w:val="center"/>
            <w:hideMark/>
          </w:tcPr>
          <w:p w:rsidR="00AD69AB" w:rsidRPr="00AD69AB" w:rsidRDefault="00AD69AB" w:rsidP="006428A5">
            <w:pPr>
              <w:spacing w:line="276" w:lineRule="auto"/>
              <w:jc w:val="center"/>
              <w:rPr>
                <w:rFonts w:ascii="Times New Roman" w:hAnsi="Times New Roman" w:cs="Times New Roman"/>
                <w:sz w:val="20"/>
                <w:szCs w:val="20"/>
              </w:rPr>
            </w:pPr>
            <w:r w:rsidRPr="00AD69AB">
              <w:rPr>
                <w:rFonts w:ascii="Times New Roman" w:hAnsi="Times New Roman" w:cs="Times New Roman"/>
                <w:sz w:val="20"/>
                <w:szCs w:val="20"/>
              </w:rPr>
              <w:t>Възходяща, силна степен на зависимост</w:t>
            </w:r>
          </w:p>
        </w:tc>
        <w:tc>
          <w:tcPr>
            <w:tcW w:w="1275" w:type="dxa"/>
            <w:vAlign w:val="center"/>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AD69AB">
              <w:rPr>
                <w:rFonts w:ascii="Times New Roman" w:eastAsia="Verdana" w:hAnsi="Times New Roman" w:cs="Times New Roman"/>
                <w:color w:val="000000" w:themeColor="text1"/>
                <w:kern w:val="24"/>
                <w:sz w:val="20"/>
                <w:szCs w:val="20"/>
                <w:lang w:eastAsia="bg-BG"/>
              </w:rPr>
              <w:t>r</w:t>
            </w:r>
            <w:r w:rsidRPr="00AD69AB">
              <w:rPr>
                <w:rFonts w:ascii="Times New Roman" w:eastAsia="Verdana" w:hAnsi="Times New Roman" w:cs="Times New Roman"/>
                <w:color w:val="000000" w:themeColor="text1"/>
                <w:kern w:val="24"/>
                <w:sz w:val="16"/>
                <w:szCs w:val="16"/>
                <w:lang w:eastAsia="bg-BG"/>
              </w:rPr>
              <w:t>emp</w:t>
            </w:r>
            <w:proofErr w:type="spellEnd"/>
            <w:r w:rsidRPr="00AD69AB">
              <w:rPr>
                <w:rFonts w:ascii="Times New Roman" w:eastAsia="Verdana" w:hAnsi="Times New Roman" w:cs="Times New Roman"/>
                <w:color w:val="000000" w:themeColor="text1"/>
                <w:kern w:val="24"/>
                <w:sz w:val="20"/>
                <w:szCs w:val="20"/>
                <w:lang w:eastAsia="bg-BG"/>
              </w:rPr>
              <w:t xml:space="preserve">.(0,870) &gt; </w:t>
            </w:r>
            <w:proofErr w:type="spellStart"/>
            <w:r w:rsidRPr="00AD69AB">
              <w:rPr>
                <w:rFonts w:ascii="Times New Roman" w:eastAsia="Verdana" w:hAnsi="Times New Roman" w:cs="Times New Roman"/>
                <w:color w:val="000000" w:themeColor="text1"/>
                <w:kern w:val="24"/>
                <w:sz w:val="20"/>
                <w:szCs w:val="20"/>
                <w:lang w:eastAsia="bg-BG"/>
              </w:rPr>
              <w:t>r</w:t>
            </w:r>
            <w:r w:rsidRPr="00AD69AB">
              <w:rPr>
                <w:rFonts w:ascii="Times New Roman" w:eastAsia="Verdana" w:hAnsi="Times New Roman" w:cs="Times New Roman"/>
                <w:color w:val="000000" w:themeColor="text1"/>
                <w:kern w:val="24"/>
                <w:sz w:val="16"/>
                <w:szCs w:val="16"/>
                <w:lang w:eastAsia="bg-BG"/>
              </w:rPr>
              <w:t>crit</w:t>
            </w:r>
            <w:proofErr w:type="spellEnd"/>
            <w:r w:rsidRPr="00AD69AB">
              <w:rPr>
                <w:rFonts w:ascii="Times New Roman" w:eastAsia="Verdana" w:hAnsi="Times New Roman" w:cs="Times New Roman"/>
                <w:color w:val="000000" w:themeColor="text1"/>
                <w:kern w:val="24"/>
                <w:sz w:val="16"/>
                <w:szCs w:val="16"/>
                <w:lang w:eastAsia="bg-BG"/>
              </w:rPr>
              <w:t>.</w:t>
            </w:r>
          </w:p>
        </w:tc>
      </w:tr>
      <w:tr w:rsidR="00AD69AB" w:rsidRPr="00AD69AB" w:rsidTr="00594D9D">
        <w:trPr>
          <w:trHeight w:val="478"/>
        </w:trPr>
        <w:tc>
          <w:tcPr>
            <w:tcW w:w="2830" w:type="dxa"/>
            <w:vAlign w:val="center"/>
            <w:hideMark/>
          </w:tcPr>
          <w:p w:rsidR="00AD69AB" w:rsidRPr="00AD69AB" w:rsidRDefault="00AD69AB" w:rsidP="006428A5">
            <w:pPr>
              <w:spacing w:line="276" w:lineRule="auto"/>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 xml:space="preserve">А4. Инициативите на ЕС трябва да бъдат насочени към конкретни резултати </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9</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17</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53</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248</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413</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i/>
                <w:sz w:val="20"/>
                <w:szCs w:val="20"/>
                <w:lang w:eastAsia="bg-BG"/>
              </w:rPr>
            </w:pPr>
            <w:r w:rsidRPr="00AD69AB">
              <w:rPr>
                <w:rFonts w:ascii="Times New Roman" w:eastAsia="Verdana" w:hAnsi="Times New Roman" w:cs="Times New Roman"/>
                <w:i/>
                <w:kern w:val="24"/>
                <w:sz w:val="20"/>
                <w:szCs w:val="20"/>
                <w:lang w:eastAsia="bg-BG"/>
              </w:rPr>
              <w:t>20</w:t>
            </w:r>
          </w:p>
        </w:tc>
        <w:tc>
          <w:tcPr>
            <w:tcW w:w="1560" w:type="dxa"/>
            <w:vAlign w:val="center"/>
            <w:hideMark/>
          </w:tcPr>
          <w:p w:rsidR="00AD69AB" w:rsidRPr="00AD69AB" w:rsidRDefault="00AD69AB" w:rsidP="006428A5">
            <w:pPr>
              <w:spacing w:line="276" w:lineRule="auto"/>
              <w:jc w:val="center"/>
              <w:rPr>
                <w:rFonts w:ascii="Times New Roman" w:hAnsi="Times New Roman" w:cs="Times New Roman"/>
                <w:sz w:val="20"/>
                <w:szCs w:val="20"/>
              </w:rPr>
            </w:pPr>
            <w:r w:rsidRPr="00AD69AB">
              <w:rPr>
                <w:rFonts w:ascii="Times New Roman" w:hAnsi="Times New Roman" w:cs="Times New Roman"/>
                <w:sz w:val="20"/>
                <w:szCs w:val="20"/>
              </w:rPr>
              <w:t>Възходяща, силна степен на зависимост</w:t>
            </w:r>
          </w:p>
        </w:tc>
        <w:tc>
          <w:tcPr>
            <w:tcW w:w="1275" w:type="dxa"/>
            <w:vAlign w:val="center"/>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AD69AB">
              <w:rPr>
                <w:rFonts w:ascii="Times New Roman" w:eastAsia="Verdana" w:hAnsi="Times New Roman" w:cs="Times New Roman"/>
                <w:color w:val="000000" w:themeColor="text1"/>
                <w:kern w:val="24"/>
                <w:sz w:val="20"/>
                <w:szCs w:val="20"/>
                <w:lang w:eastAsia="bg-BG"/>
              </w:rPr>
              <w:t>r</w:t>
            </w:r>
            <w:r w:rsidRPr="00AD69AB">
              <w:rPr>
                <w:rFonts w:ascii="Times New Roman" w:eastAsia="Verdana" w:hAnsi="Times New Roman" w:cs="Times New Roman"/>
                <w:color w:val="000000" w:themeColor="text1"/>
                <w:kern w:val="24"/>
                <w:sz w:val="16"/>
                <w:szCs w:val="16"/>
                <w:lang w:eastAsia="bg-BG"/>
              </w:rPr>
              <w:t>emp</w:t>
            </w:r>
            <w:proofErr w:type="spellEnd"/>
            <w:r w:rsidRPr="00AD69AB">
              <w:rPr>
                <w:rFonts w:ascii="Times New Roman" w:eastAsia="Verdana" w:hAnsi="Times New Roman" w:cs="Times New Roman"/>
                <w:color w:val="000000" w:themeColor="text1"/>
                <w:kern w:val="24"/>
                <w:sz w:val="16"/>
                <w:szCs w:val="16"/>
                <w:lang w:eastAsia="bg-BG"/>
              </w:rPr>
              <w:t>.(</w:t>
            </w:r>
            <w:r w:rsidRPr="00AD69AB">
              <w:rPr>
                <w:rFonts w:ascii="Times New Roman" w:eastAsia="Verdana" w:hAnsi="Times New Roman" w:cs="Times New Roman"/>
                <w:color w:val="000000" w:themeColor="text1"/>
                <w:kern w:val="24"/>
                <w:sz w:val="20"/>
                <w:szCs w:val="20"/>
                <w:lang w:eastAsia="bg-BG"/>
              </w:rPr>
              <w:t xml:space="preserve">0,870) &gt; </w:t>
            </w:r>
            <w:proofErr w:type="spellStart"/>
            <w:r w:rsidRPr="00AD69AB">
              <w:rPr>
                <w:rFonts w:ascii="Times New Roman" w:eastAsia="Verdana" w:hAnsi="Times New Roman" w:cs="Times New Roman"/>
                <w:color w:val="000000" w:themeColor="text1"/>
                <w:kern w:val="24"/>
                <w:sz w:val="20"/>
                <w:szCs w:val="20"/>
                <w:lang w:eastAsia="bg-BG"/>
              </w:rPr>
              <w:t>r</w:t>
            </w:r>
            <w:r w:rsidRPr="00AD69AB">
              <w:rPr>
                <w:rFonts w:ascii="Times New Roman" w:eastAsia="Verdana" w:hAnsi="Times New Roman" w:cs="Times New Roman"/>
                <w:color w:val="000000" w:themeColor="text1"/>
                <w:kern w:val="24"/>
                <w:sz w:val="16"/>
                <w:szCs w:val="16"/>
                <w:lang w:eastAsia="bg-BG"/>
              </w:rPr>
              <w:t>crit</w:t>
            </w:r>
            <w:proofErr w:type="spellEnd"/>
            <w:r w:rsidRPr="00AD69AB">
              <w:rPr>
                <w:rFonts w:ascii="Times New Roman" w:eastAsia="Verdana" w:hAnsi="Times New Roman" w:cs="Times New Roman"/>
                <w:color w:val="000000" w:themeColor="text1"/>
                <w:kern w:val="24"/>
                <w:sz w:val="16"/>
                <w:szCs w:val="16"/>
                <w:lang w:eastAsia="bg-BG"/>
              </w:rPr>
              <w:t>.</w:t>
            </w:r>
          </w:p>
        </w:tc>
      </w:tr>
      <w:tr w:rsidR="00AD69AB" w:rsidRPr="00AD69AB" w:rsidTr="00594D9D">
        <w:trPr>
          <w:trHeight w:val="630"/>
        </w:trPr>
        <w:tc>
          <w:tcPr>
            <w:tcW w:w="2830" w:type="dxa"/>
            <w:vAlign w:val="center"/>
            <w:hideMark/>
          </w:tcPr>
          <w:p w:rsidR="00AD69AB" w:rsidRPr="00AD69AB" w:rsidRDefault="00AD69AB" w:rsidP="006428A5">
            <w:pPr>
              <w:spacing w:line="276" w:lineRule="auto"/>
              <w:rPr>
                <w:rFonts w:ascii="Times New Roman" w:eastAsia="Times New Roman" w:hAnsi="Times New Roman" w:cs="Times New Roman"/>
                <w:b/>
                <w:sz w:val="20"/>
                <w:szCs w:val="20"/>
                <w:lang w:eastAsia="bg-BG"/>
              </w:rPr>
            </w:pPr>
            <w:r w:rsidRPr="00AD69AB">
              <w:rPr>
                <w:rFonts w:ascii="Times New Roman" w:eastAsia="Verdana" w:hAnsi="Times New Roman" w:cs="Times New Roman"/>
                <w:b/>
                <w:color w:val="000000" w:themeColor="text1"/>
                <w:kern w:val="24"/>
                <w:sz w:val="20"/>
                <w:szCs w:val="20"/>
                <w:lang w:eastAsia="bg-BG"/>
              </w:rPr>
              <w:t xml:space="preserve">А5. Ефективно включване на неправителствени актьори в по-широк кръг от дейности </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7</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35</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88</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207</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404</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i/>
                <w:sz w:val="20"/>
                <w:szCs w:val="20"/>
                <w:lang w:val="en-US" w:eastAsia="bg-BG"/>
              </w:rPr>
            </w:pPr>
            <w:r w:rsidRPr="00AD69AB">
              <w:rPr>
                <w:rFonts w:ascii="Times New Roman" w:eastAsia="Verdana" w:hAnsi="Times New Roman" w:cs="Times New Roman"/>
                <w:i/>
                <w:kern w:val="24"/>
                <w:sz w:val="20"/>
                <w:szCs w:val="20"/>
                <w:lang w:eastAsia="bg-BG"/>
              </w:rPr>
              <w:t>19</w:t>
            </w:r>
          </w:p>
        </w:tc>
        <w:tc>
          <w:tcPr>
            <w:tcW w:w="1560" w:type="dxa"/>
            <w:vAlign w:val="center"/>
            <w:hideMark/>
          </w:tcPr>
          <w:p w:rsidR="00AD69AB" w:rsidRPr="00AD69AB" w:rsidRDefault="00AD69AB" w:rsidP="006428A5">
            <w:pPr>
              <w:spacing w:line="276" w:lineRule="auto"/>
              <w:jc w:val="center"/>
              <w:rPr>
                <w:rFonts w:ascii="Times New Roman" w:hAnsi="Times New Roman" w:cs="Times New Roman"/>
                <w:sz w:val="20"/>
                <w:szCs w:val="20"/>
              </w:rPr>
            </w:pPr>
            <w:r w:rsidRPr="00AD69AB">
              <w:rPr>
                <w:rFonts w:ascii="Times New Roman" w:hAnsi="Times New Roman" w:cs="Times New Roman"/>
                <w:sz w:val="20"/>
                <w:szCs w:val="20"/>
              </w:rPr>
              <w:t>Възходяща, силна степен на зависимост</w:t>
            </w:r>
          </w:p>
        </w:tc>
        <w:tc>
          <w:tcPr>
            <w:tcW w:w="1275" w:type="dxa"/>
            <w:vAlign w:val="center"/>
          </w:tcPr>
          <w:p w:rsidR="00AD69AB" w:rsidRPr="00AD69AB" w:rsidRDefault="00AD69AB" w:rsidP="006428A5">
            <w:pPr>
              <w:spacing w:line="276" w:lineRule="auto"/>
              <w:jc w:val="center"/>
              <w:rPr>
                <w:rFonts w:ascii="Times New Roman" w:eastAsia="Verdana" w:hAnsi="Times New Roman" w:cs="Times New Roman"/>
                <w:b/>
                <w:color w:val="000000" w:themeColor="text1"/>
                <w:kern w:val="24"/>
                <w:sz w:val="20"/>
                <w:szCs w:val="20"/>
                <w:lang w:eastAsia="bg-BG"/>
              </w:rPr>
            </w:pPr>
            <w:proofErr w:type="spellStart"/>
            <w:r w:rsidRPr="00AD69AB">
              <w:rPr>
                <w:rFonts w:ascii="Times New Roman" w:eastAsia="Verdana" w:hAnsi="Times New Roman" w:cs="Times New Roman"/>
                <w:b/>
                <w:color w:val="000000" w:themeColor="text1"/>
                <w:kern w:val="24"/>
                <w:sz w:val="20"/>
                <w:szCs w:val="20"/>
                <w:lang w:eastAsia="bg-BG"/>
              </w:rPr>
              <w:t>r</w:t>
            </w:r>
            <w:r w:rsidRPr="00AD69AB">
              <w:rPr>
                <w:rFonts w:ascii="Times New Roman" w:eastAsia="Verdana" w:hAnsi="Times New Roman" w:cs="Times New Roman"/>
                <w:b/>
                <w:color w:val="000000" w:themeColor="text1"/>
                <w:kern w:val="24"/>
                <w:sz w:val="16"/>
                <w:szCs w:val="16"/>
                <w:lang w:eastAsia="bg-BG"/>
              </w:rPr>
              <w:t>emp</w:t>
            </w:r>
            <w:proofErr w:type="spellEnd"/>
            <w:r w:rsidRPr="00AD69AB">
              <w:rPr>
                <w:rFonts w:ascii="Times New Roman" w:eastAsia="Verdana" w:hAnsi="Times New Roman" w:cs="Times New Roman"/>
                <w:b/>
                <w:color w:val="000000" w:themeColor="text1"/>
                <w:kern w:val="24"/>
                <w:sz w:val="16"/>
                <w:szCs w:val="16"/>
                <w:lang w:eastAsia="bg-BG"/>
              </w:rPr>
              <w:t>.(</w:t>
            </w:r>
            <w:r w:rsidRPr="00AD69AB">
              <w:rPr>
                <w:rFonts w:ascii="Times New Roman" w:eastAsia="Verdana" w:hAnsi="Times New Roman" w:cs="Times New Roman"/>
                <w:b/>
                <w:color w:val="000000" w:themeColor="text1"/>
                <w:kern w:val="24"/>
                <w:sz w:val="20"/>
                <w:szCs w:val="20"/>
                <w:lang w:eastAsia="bg-BG"/>
              </w:rPr>
              <w:t xml:space="preserve">0,893) &gt; </w:t>
            </w:r>
            <w:proofErr w:type="spellStart"/>
            <w:r w:rsidRPr="00AD69AB">
              <w:rPr>
                <w:rFonts w:ascii="Times New Roman" w:eastAsia="Verdana" w:hAnsi="Times New Roman" w:cs="Times New Roman"/>
                <w:b/>
                <w:color w:val="000000" w:themeColor="text1"/>
                <w:kern w:val="24"/>
                <w:sz w:val="20"/>
                <w:szCs w:val="20"/>
                <w:lang w:eastAsia="bg-BG"/>
              </w:rPr>
              <w:t>r</w:t>
            </w:r>
            <w:r w:rsidRPr="00AD69AB">
              <w:rPr>
                <w:rFonts w:ascii="Times New Roman" w:eastAsia="Verdana" w:hAnsi="Times New Roman" w:cs="Times New Roman"/>
                <w:b/>
                <w:color w:val="000000" w:themeColor="text1"/>
                <w:kern w:val="24"/>
                <w:sz w:val="16"/>
                <w:szCs w:val="16"/>
                <w:lang w:eastAsia="bg-BG"/>
              </w:rPr>
              <w:t>crit</w:t>
            </w:r>
            <w:proofErr w:type="spellEnd"/>
            <w:r w:rsidRPr="00AD69AB">
              <w:rPr>
                <w:rFonts w:ascii="Times New Roman" w:eastAsia="Verdana" w:hAnsi="Times New Roman" w:cs="Times New Roman"/>
                <w:b/>
                <w:color w:val="000000" w:themeColor="text1"/>
                <w:kern w:val="24"/>
                <w:sz w:val="16"/>
                <w:szCs w:val="16"/>
                <w:lang w:eastAsia="bg-BG"/>
              </w:rPr>
              <w:t>.</w:t>
            </w:r>
          </w:p>
        </w:tc>
      </w:tr>
      <w:tr w:rsidR="00AD69AB" w:rsidRPr="00AD69AB" w:rsidTr="00594D9D">
        <w:trPr>
          <w:trHeight w:val="1026"/>
        </w:trPr>
        <w:tc>
          <w:tcPr>
            <w:tcW w:w="2830" w:type="dxa"/>
            <w:vAlign w:val="center"/>
            <w:hideMark/>
          </w:tcPr>
          <w:p w:rsidR="00AD69AB" w:rsidRPr="00AD69AB" w:rsidRDefault="00AD69AB" w:rsidP="006428A5">
            <w:pPr>
              <w:spacing w:line="276" w:lineRule="auto"/>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А6. Възобновяване на дългосрочното многостранни и двустранни отношения с държавите от Персийския залив</w:t>
            </w:r>
            <w:r w:rsidRPr="00AD69AB">
              <w:rPr>
                <w:rFonts w:ascii="Times New Roman" w:eastAsia="Verdana" w:hAnsi="Times New Roman" w:cs="Times New Roman"/>
                <w:color w:val="000000" w:themeColor="text1"/>
                <w:kern w:val="24"/>
                <w:sz w:val="20"/>
                <w:szCs w:val="20"/>
                <w:lang w:val="en-US" w:eastAsia="bg-BG"/>
              </w:rPr>
              <w:t xml:space="preserve">, </w:t>
            </w:r>
            <w:proofErr w:type="spellStart"/>
            <w:r w:rsidRPr="00AD69AB">
              <w:rPr>
                <w:rFonts w:ascii="Times New Roman" w:eastAsia="Verdana" w:hAnsi="Times New Roman" w:cs="Times New Roman"/>
                <w:color w:val="000000" w:themeColor="text1"/>
                <w:kern w:val="24"/>
                <w:sz w:val="20"/>
                <w:szCs w:val="20"/>
                <w:lang w:eastAsia="bg-BG"/>
              </w:rPr>
              <w:t>Сахел</w:t>
            </w:r>
            <w:proofErr w:type="spellEnd"/>
            <w:r w:rsidRPr="00AD69AB">
              <w:rPr>
                <w:rFonts w:ascii="Times New Roman" w:eastAsia="Verdana" w:hAnsi="Times New Roman" w:cs="Times New Roman"/>
                <w:color w:val="000000" w:themeColor="text1"/>
                <w:kern w:val="24"/>
                <w:sz w:val="20"/>
                <w:szCs w:val="20"/>
                <w:lang w:val="en-US" w:eastAsia="bg-BG"/>
              </w:rPr>
              <w:t xml:space="preserve"> </w:t>
            </w:r>
            <w:r w:rsidRPr="00AD69AB">
              <w:rPr>
                <w:rFonts w:ascii="Times New Roman" w:eastAsia="Verdana" w:hAnsi="Times New Roman" w:cs="Times New Roman"/>
                <w:color w:val="000000" w:themeColor="text1"/>
                <w:kern w:val="24"/>
                <w:sz w:val="20"/>
                <w:szCs w:val="20"/>
                <w:lang w:eastAsia="bg-BG"/>
              </w:rPr>
              <w:t>и Африканския рог</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41</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69</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178</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250</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sz w:val="20"/>
                <w:szCs w:val="20"/>
                <w:lang w:eastAsia="bg-BG"/>
              </w:rPr>
            </w:pPr>
            <w:r w:rsidRPr="00AD69AB">
              <w:rPr>
                <w:rFonts w:ascii="Times New Roman" w:eastAsia="Verdana" w:hAnsi="Times New Roman" w:cs="Times New Roman"/>
                <w:color w:val="000000" w:themeColor="text1"/>
                <w:kern w:val="24"/>
                <w:sz w:val="20"/>
                <w:szCs w:val="20"/>
                <w:lang w:eastAsia="bg-BG"/>
              </w:rPr>
              <w:t>183</w:t>
            </w:r>
          </w:p>
        </w:tc>
        <w:tc>
          <w:tcPr>
            <w:tcW w:w="567" w:type="dxa"/>
            <w:vAlign w:val="center"/>
            <w:hideMark/>
          </w:tcPr>
          <w:p w:rsidR="00AD69AB" w:rsidRPr="00AD69AB" w:rsidRDefault="00AD69AB" w:rsidP="006428A5">
            <w:pPr>
              <w:spacing w:line="276" w:lineRule="auto"/>
              <w:jc w:val="center"/>
              <w:rPr>
                <w:rFonts w:ascii="Times New Roman" w:eastAsia="Times New Roman" w:hAnsi="Times New Roman" w:cs="Times New Roman"/>
                <w:i/>
                <w:sz w:val="20"/>
                <w:szCs w:val="20"/>
                <w:lang w:eastAsia="bg-BG"/>
              </w:rPr>
            </w:pPr>
            <w:r w:rsidRPr="00AD69AB">
              <w:rPr>
                <w:rFonts w:ascii="Times New Roman" w:eastAsia="Verdana" w:hAnsi="Times New Roman" w:cs="Times New Roman"/>
                <w:i/>
                <w:kern w:val="24"/>
                <w:sz w:val="20"/>
                <w:szCs w:val="20"/>
                <w:lang w:eastAsia="bg-BG"/>
              </w:rPr>
              <w:t>39</w:t>
            </w:r>
          </w:p>
        </w:tc>
        <w:tc>
          <w:tcPr>
            <w:tcW w:w="1560" w:type="dxa"/>
            <w:vAlign w:val="center"/>
            <w:hideMark/>
          </w:tcPr>
          <w:p w:rsidR="00AD69AB" w:rsidRPr="00AD69AB" w:rsidRDefault="00AD69AB" w:rsidP="006428A5">
            <w:pPr>
              <w:spacing w:line="276" w:lineRule="auto"/>
              <w:jc w:val="center"/>
              <w:rPr>
                <w:rFonts w:ascii="Times New Roman" w:hAnsi="Times New Roman" w:cs="Times New Roman"/>
                <w:sz w:val="20"/>
                <w:szCs w:val="20"/>
              </w:rPr>
            </w:pPr>
            <w:r w:rsidRPr="00AD69AB">
              <w:rPr>
                <w:rFonts w:ascii="Times New Roman" w:hAnsi="Times New Roman" w:cs="Times New Roman"/>
                <w:sz w:val="20"/>
                <w:szCs w:val="20"/>
              </w:rPr>
              <w:t>Възходяща, силна степен на зависимост</w:t>
            </w:r>
          </w:p>
        </w:tc>
        <w:tc>
          <w:tcPr>
            <w:tcW w:w="1275" w:type="dxa"/>
            <w:vAlign w:val="center"/>
          </w:tcPr>
          <w:p w:rsidR="00AD69AB" w:rsidRP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AD69AB">
              <w:rPr>
                <w:rFonts w:ascii="Times New Roman" w:eastAsia="Verdana" w:hAnsi="Times New Roman" w:cs="Times New Roman"/>
                <w:color w:val="000000" w:themeColor="text1"/>
                <w:kern w:val="24"/>
                <w:sz w:val="20"/>
                <w:szCs w:val="20"/>
                <w:lang w:eastAsia="bg-BG"/>
              </w:rPr>
              <w:t>r</w:t>
            </w:r>
            <w:r w:rsidRPr="00AD69AB">
              <w:rPr>
                <w:rFonts w:ascii="Times New Roman" w:eastAsia="Verdana" w:hAnsi="Times New Roman" w:cs="Times New Roman"/>
                <w:color w:val="000000" w:themeColor="text1"/>
                <w:kern w:val="24"/>
                <w:sz w:val="16"/>
                <w:szCs w:val="16"/>
                <w:lang w:eastAsia="bg-BG"/>
              </w:rPr>
              <w:t>emp</w:t>
            </w:r>
            <w:proofErr w:type="spellEnd"/>
            <w:r w:rsidRPr="00AD69AB">
              <w:rPr>
                <w:rFonts w:ascii="Times New Roman" w:eastAsia="Verdana" w:hAnsi="Times New Roman" w:cs="Times New Roman"/>
                <w:color w:val="000000" w:themeColor="text1"/>
                <w:kern w:val="24"/>
                <w:sz w:val="20"/>
                <w:szCs w:val="20"/>
                <w:lang w:eastAsia="bg-BG"/>
              </w:rPr>
              <w:t xml:space="preserve">.(0,877) &gt; </w:t>
            </w:r>
            <w:proofErr w:type="spellStart"/>
            <w:r w:rsidRPr="00AD69AB">
              <w:rPr>
                <w:rFonts w:ascii="Times New Roman" w:eastAsia="Verdana" w:hAnsi="Times New Roman" w:cs="Times New Roman"/>
                <w:color w:val="000000" w:themeColor="text1"/>
                <w:kern w:val="24"/>
                <w:sz w:val="20"/>
                <w:szCs w:val="20"/>
                <w:lang w:eastAsia="bg-BG"/>
              </w:rPr>
              <w:t>r</w:t>
            </w:r>
            <w:r w:rsidRPr="00AD69AB">
              <w:rPr>
                <w:rFonts w:ascii="Times New Roman" w:eastAsia="Verdana" w:hAnsi="Times New Roman" w:cs="Times New Roman"/>
                <w:color w:val="000000" w:themeColor="text1"/>
                <w:kern w:val="24"/>
                <w:sz w:val="16"/>
                <w:szCs w:val="16"/>
                <w:lang w:eastAsia="bg-BG"/>
              </w:rPr>
              <w:t>crit</w:t>
            </w:r>
            <w:proofErr w:type="spellEnd"/>
            <w:r w:rsidRPr="00AD69AB">
              <w:rPr>
                <w:rFonts w:ascii="Times New Roman" w:eastAsia="Verdana" w:hAnsi="Times New Roman" w:cs="Times New Roman"/>
                <w:color w:val="000000" w:themeColor="text1"/>
                <w:kern w:val="24"/>
                <w:sz w:val="16"/>
                <w:szCs w:val="16"/>
                <w:lang w:eastAsia="bg-BG"/>
              </w:rPr>
              <w:t>.</w:t>
            </w:r>
          </w:p>
        </w:tc>
      </w:tr>
    </w:tbl>
    <w:p w:rsidR="00AD69AB" w:rsidRPr="00FA0D2B" w:rsidRDefault="00AD69AB" w:rsidP="006428A5">
      <w:pPr>
        <w:spacing w:after="0" w:line="276" w:lineRule="auto"/>
        <w:jc w:val="both"/>
        <w:rPr>
          <w:rFonts w:ascii="Times New Roman" w:hAnsi="Times New Roman" w:cs="Times New Roman"/>
          <w:sz w:val="20"/>
          <w:szCs w:val="20"/>
        </w:rPr>
      </w:pPr>
      <w:r w:rsidRPr="00896278">
        <w:rPr>
          <w:rFonts w:ascii="Times New Roman" w:hAnsi="Times New Roman" w:cs="Times New Roman"/>
          <w:sz w:val="20"/>
          <w:szCs w:val="20"/>
        </w:rPr>
        <w:t>Степени:</w:t>
      </w:r>
      <w:r w:rsidRPr="00FA0D2B">
        <w:rPr>
          <w:rFonts w:ascii="Times New Roman" w:hAnsi="Times New Roman" w:cs="Times New Roman"/>
          <w:sz w:val="20"/>
          <w:szCs w:val="20"/>
        </w:rPr>
        <w:t xml:space="preserve"> 1- много ниска; 2 – ниска; 3 – средна; 4 – висока; 5 – много висока; 0 – отговорили с „не знам“</w:t>
      </w:r>
    </w:p>
    <w:p w:rsidR="00AD69AB" w:rsidRDefault="00AD69AB" w:rsidP="006428A5">
      <w:pPr>
        <w:spacing w:after="0" w:line="276" w:lineRule="auto"/>
        <w:jc w:val="both"/>
        <w:rPr>
          <w:rFonts w:ascii="Times New Roman" w:hAnsi="Times New Roman" w:cs="Times New Roman"/>
          <w:sz w:val="20"/>
          <w:szCs w:val="20"/>
          <w:lang w:val="en-US"/>
        </w:rPr>
      </w:pPr>
      <w:r w:rsidRPr="009A02B3">
        <w:rPr>
          <w:rFonts w:ascii="Times New Roman" w:hAnsi="Times New Roman" w:cs="Times New Roman"/>
          <w:sz w:val="20"/>
          <w:szCs w:val="20"/>
        </w:rPr>
        <w:t xml:space="preserve">α = 0,05; </w:t>
      </w:r>
      <w:proofErr w:type="spellStart"/>
      <w:r>
        <w:rPr>
          <w:rFonts w:ascii="Times New Roman" w:hAnsi="Times New Roman" w:cs="Times New Roman"/>
          <w:sz w:val="20"/>
          <w:szCs w:val="20"/>
          <w:lang w:val="en-US"/>
        </w:rPr>
        <w:t>df</w:t>
      </w:r>
      <w:proofErr w:type="spellEnd"/>
      <w:r>
        <w:rPr>
          <w:rFonts w:ascii="Times New Roman" w:hAnsi="Times New Roman" w:cs="Times New Roman"/>
          <w:sz w:val="20"/>
          <w:szCs w:val="20"/>
        </w:rPr>
        <w:t xml:space="preserve"> </w:t>
      </w:r>
      <w:r>
        <w:rPr>
          <w:rFonts w:ascii="Times New Roman" w:hAnsi="Times New Roman" w:cs="Times New Roman"/>
          <w:sz w:val="20"/>
          <w:szCs w:val="20"/>
          <w:lang w:val="en-US"/>
        </w:rPr>
        <w:t xml:space="preserve"> = </w:t>
      </w:r>
      <w:r>
        <w:rPr>
          <w:rFonts w:ascii="Times New Roman" w:hAnsi="Times New Roman" w:cs="Times New Roman"/>
          <w:sz w:val="20"/>
          <w:szCs w:val="20"/>
        </w:rPr>
        <w:t xml:space="preserve">6-2 = </w:t>
      </w:r>
      <w:r>
        <w:rPr>
          <w:rFonts w:ascii="Times New Roman" w:hAnsi="Times New Roman" w:cs="Times New Roman"/>
          <w:sz w:val="20"/>
          <w:szCs w:val="20"/>
          <w:lang w:val="en-US"/>
        </w:rPr>
        <w:t>4</w:t>
      </w:r>
      <w:r w:rsidRPr="009A02B3">
        <w:rPr>
          <w:rFonts w:ascii="Times New Roman" w:hAnsi="Times New Roman" w:cs="Times New Roman"/>
          <w:sz w:val="20"/>
          <w:szCs w:val="20"/>
          <w:lang w:val="en-US"/>
        </w:rPr>
        <w:t xml:space="preserve">; </w:t>
      </w:r>
      <w:proofErr w:type="spellStart"/>
      <w:r w:rsidRPr="009A02B3">
        <w:rPr>
          <w:rFonts w:ascii="Times New Roman" w:hAnsi="Times New Roman" w:cs="Times New Roman"/>
          <w:sz w:val="20"/>
          <w:szCs w:val="20"/>
          <w:lang w:val="en-US"/>
        </w:rPr>
        <w:t>r</w:t>
      </w:r>
      <w:r w:rsidRPr="009A02B3">
        <w:rPr>
          <w:rFonts w:ascii="Times New Roman" w:hAnsi="Times New Roman" w:cs="Times New Roman"/>
          <w:sz w:val="16"/>
          <w:szCs w:val="16"/>
          <w:lang w:val="en-US"/>
        </w:rPr>
        <w:t>crit</w:t>
      </w:r>
      <w:proofErr w:type="spellEnd"/>
      <w:r w:rsidRPr="009A02B3">
        <w:rPr>
          <w:rFonts w:ascii="Times New Roman" w:hAnsi="Times New Roman" w:cs="Times New Roman"/>
          <w:sz w:val="16"/>
          <w:szCs w:val="16"/>
          <w:lang w:val="en-US"/>
        </w:rPr>
        <w:t>.</w:t>
      </w:r>
      <w:r>
        <w:rPr>
          <w:rFonts w:ascii="Times New Roman" w:hAnsi="Times New Roman" w:cs="Times New Roman"/>
          <w:sz w:val="20"/>
          <w:szCs w:val="20"/>
          <w:lang w:val="en-US"/>
        </w:rPr>
        <w:t xml:space="preserve"> = 0,811</w:t>
      </w:r>
    </w:p>
    <w:p w:rsidR="00AD69AB" w:rsidRPr="00F32E91" w:rsidRDefault="00AD69AB" w:rsidP="006428A5">
      <w:pPr>
        <w:spacing w:after="0" w:line="276" w:lineRule="auto"/>
        <w:jc w:val="both"/>
        <w:rPr>
          <w:rFonts w:ascii="Times New Roman" w:hAnsi="Times New Roman" w:cs="Times New Roman"/>
          <w:sz w:val="20"/>
          <w:szCs w:val="20"/>
        </w:rPr>
      </w:pPr>
      <w:r>
        <w:rPr>
          <w:rFonts w:ascii="Times New Roman" w:hAnsi="Times New Roman" w:cs="Times New Roman"/>
          <w:sz w:val="20"/>
          <w:szCs w:val="20"/>
          <w:lang w:val="en-US"/>
        </w:rPr>
        <w:t>*</w:t>
      </w:r>
      <w:r>
        <w:rPr>
          <w:rFonts w:ascii="Times New Roman" w:hAnsi="Times New Roman" w:cs="Times New Roman"/>
          <w:sz w:val="20"/>
          <w:szCs w:val="20"/>
        </w:rPr>
        <w:t>ОВППС – Обща външна политика и политика на сигурност</w:t>
      </w:r>
    </w:p>
    <w:p w:rsidR="00AD69AB" w:rsidRDefault="00AD69AB" w:rsidP="006428A5">
      <w:pPr>
        <w:spacing w:after="0" w:line="276" w:lineRule="auto"/>
        <w:jc w:val="both"/>
        <w:rPr>
          <w:rFonts w:ascii="Times New Roman" w:hAnsi="Times New Roman" w:cs="Times New Roman"/>
        </w:rPr>
      </w:pPr>
    </w:p>
    <w:p w:rsidR="00627C91" w:rsidRDefault="00627C91" w:rsidP="006428A5">
      <w:pPr>
        <w:spacing w:after="0" w:line="276" w:lineRule="auto"/>
        <w:jc w:val="both"/>
        <w:rPr>
          <w:rFonts w:ascii="Times New Roman" w:hAnsi="Times New Roman" w:cs="Times New Roman"/>
        </w:rPr>
      </w:pPr>
    </w:p>
    <w:p w:rsidR="00465E60" w:rsidRDefault="000853EA" w:rsidP="006428A5">
      <w:pPr>
        <w:spacing w:after="0" w:line="276" w:lineRule="auto"/>
        <w:ind w:firstLine="709"/>
        <w:jc w:val="both"/>
        <w:rPr>
          <w:rFonts w:ascii="Times New Roman" w:eastAsia="Verdana" w:hAnsi="Times New Roman" w:cs="Times New Roman"/>
          <w:color w:val="000000" w:themeColor="text1"/>
          <w:kern w:val="24"/>
          <w:sz w:val="24"/>
          <w:szCs w:val="24"/>
          <w:lang w:eastAsia="bg-BG"/>
        </w:rPr>
      </w:pPr>
      <w:r>
        <w:rPr>
          <w:rFonts w:ascii="Times New Roman" w:hAnsi="Times New Roman" w:cs="Times New Roman"/>
          <w:sz w:val="24"/>
          <w:szCs w:val="24"/>
        </w:rPr>
        <w:t>В рамките на въпроса, отнасящ се към КЕ 2 (таблица 2), с най-</w:t>
      </w:r>
      <w:r w:rsidR="005B3BF1">
        <w:rPr>
          <w:rFonts w:ascii="Times New Roman" w:hAnsi="Times New Roman" w:cs="Times New Roman"/>
          <w:sz w:val="24"/>
          <w:szCs w:val="24"/>
        </w:rPr>
        <w:t xml:space="preserve">значима </w:t>
      </w:r>
      <w:proofErr w:type="spellStart"/>
      <w:r w:rsidR="005B3BF1">
        <w:rPr>
          <w:rFonts w:ascii="Times New Roman" w:hAnsi="Times New Roman" w:cs="Times New Roman"/>
          <w:sz w:val="24"/>
          <w:szCs w:val="24"/>
        </w:rPr>
        <w:t>корелационна</w:t>
      </w:r>
      <w:proofErr w:type="spellEnd"/>
      <w:r w:rsidR="005B3BF1">
        <w:rPr>
          <w:rFonts w:ascii="Times New Roman" w:hAnsi="Times New Roman" w:cs="Times New Roman"/>
          <w:sz w:val="24"/>
          <w:szCs w:val="24"/>
        </w:rPr>
        <w:t xml:space="preserve"> връзка е А2</w:t>
      </w:r>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Pr="000853EA">
        <w:rPr>
          <w:rFonts w:ascii="Times New Roman" w:hAnsi="Times New Roman" w:cs="Times New Roman"/>
          <w:sz w:val="20"/>
          <w:szCs w:val="20"/>
        </w:rPr>
        <w:t>emp</w:t>
      </w:r>
      <w:proofErr w:type="spellEnd"/>
      <w:r w:rsidRPr="000853EA">
        <w:rPr>
          <w:rFonts w:ascii="Times New Roman" w:hAnsi="Times New Roman" w:cs="Times New Roman"/>
          <w:sz w:val="20"/>
          <w:szCs w:val="20"/>
        </w:rPr>
        <w:t xml:space="preserve">. </w:t>
      </w:r>
      <w:r w:rsidR="005B3BF1">
        <w:rPr>
          <w:rFonts w:ascii="Times New Roman" w:hAnsi="Times New Roman" w:cs="Times New Roman"/>
          <w:sz w:val="24"/>
          <w:szCs w:val="24"/>
        </w:rPr>
        <w:t>= 0,84</w:t>
      </w:r>
      <w:r>
        <w:rPr>
          <w:rFonts w:ascii="Times New Roman" w:hAnsi="Times New Roman" w:cs="Times New Roman"/>
          <w:sz w:val="24"/>
          <w:szCs w:val="24"/>
        </w:rPr>
        <w:t xml:space="preserve">3). Що се касае до КЕ 3 и релевантния на него въпрос, петият алтернативен отговор притежава най-висока степен на значимост на корелация, където </w:t>
      </w:r>
      <w:proofErr w:type="spellStart"/>
      <w:r w:rsidR="00465E60" w:rsidRPr="00465E60">
        <w:rPr>
          <w:rFonts w:ascii="Times New Roman" w:eastAsia="Verdana" w:hAnsi="Times New Roman" w:cs="Times New Roman"/>
          <w:color w:val="000000" w:themeColor="text1"/>
          <w:kern w:val="24"/>
          <w:sz w:val="24"/>
          <w:szCs w:val="24"/>
          <w:lang w:eastAsia="bg-BG"/>
        </w:rPr>
        <w:t>r</w:t>
      </w:r>
      <w:r w:rsidR="00465E60" w:rsidRPr="00465E60">
        <w:rPr>
          <w:rFonts w:ascii="Times New Roman" w:eastAsia="Verdana" w:hAnsi="Times New Roman" w:cs="Times New Roman"/>
          <w:color w:val="000000" w:themeColor="text1"/>
          <w:kern w:val="24"/>
          <w:sz w:val="20"/>
          <w:szCs w:val="20"/>
          <w:lang w:eastAsia="bg-BG"/>
        </w:rPr>
        <w:t>emp</w:t>
      </w:r>
      <w:proofErr w:type="spellEnd"/>
      <w:r w:rsidR="00465E60" w:rsidRPr="00465E60">
        <w:rPr>
          <w:rFonts w:ascii="Times New Roman" w:eastAsia="Verdana" w:hAnsi="Times New Roman" w:cs="Times New Roman"/>
          <w:color w:val="000000" w:themeColor="text1"/>
          <w:kern w:val="24"/>
          <w:sz w:val="20"/>
          <w:szCs w:val="20"/>
          <w:lang w:eastAsia="bg-BG"/>
        </w:rPr>
        <w:t xml:space="preserve">. </w:t>
      </w:r>
      <w:r w:rsidR="00465E60">
        <w:rPr>
          <w:rFonts w:ascii="Times New Roman" w:eastAsia="Verdana" w:hAnsi="Times New Roman" w:cs="Times New Roman"/>
          <w:color w:val="000000" w:themeColor="text1"/>
          <w:kern w:val="24"/>
          <w:sz w:val="24"/>
          <w:szCs w:val="24"/>
          <w:lang w:eastAsia="bg-BG"/>
        </w:rPr>
        <w:t xml:space="preserve">= </w:t>
      </w:r>
      <w:r w:rsidR="00465E60" w:rsidRPr="00465E60">
        <w:rPr>
          <w:rFonts w:ascii="Times New Roman" w:eastAsia="Verdana" w:hAnsi="Times New Roman" w:cs="Times New Roman"/>
          <w:color w:val="000000" w:themeColor="text1"/>
          <w:kern w:val="24"/>
          <w:sz w:val="24"/>
          <w:szCs w:val="24"/>
          <w:lang w:eastAsia="bg-BG"/>
        </w:rPr>
        <w:t>0,</w:t>
      </w:r>
      <w:r w:rsidR="00465E60">
        <w:rPr>
          <w:rFonts w:ascii="Times New Roman" w:eastAsia="Verdana" w:hAnsi="Times New Roman" w:cs="Times New Roman"/>
          <w:color w:val="000000" w:themeColor="text1"/>
          <w:kern w:val="24"/>
          <w:sz w:val="24"/>
          <w:szCs w:val="24"/>
          <w:lang w:eastAsia="bg-BG"/>
        </w:rPr>
        <w:t>925 (таблица 3).</w:t>
      </w:r>
    </w:p>
    <w:p w:rsidR="00465E60" w:rsidRPr="00465E60" w:rsidRDefault="00465E60" w:rsidP="006428A5">
      <w:pPr>
        <w:spacing w:after="0" w:line="276" w:lineRule="auto"/>
        <w:ind w:firstLine="709"/>
        <w:jc w:val="both"/>
        <w:rPr>
          <w:rFonts w:ascii="Times New Roman" w:eastAsia="Verdana" w:hAnsi="Times New Roman" w:cs="Times New Roman"/>
          <w:color w:val="000000" w:themeColor="text1"/>
          <w:kern w:val="24"/>
          <w:sz w:val="24"/>
          <w:szCs w:val="24"/>
          <w:lang w:eastAsia="bg-BG"/>
        </w:rPr>
      </w:pPr>
    </w:p>
    <w:p w:rsidR="00627C91" w:rsidRPr="00896278" w:rsidRDefault="006825B7" w:rsidP="006428A5">
      <w:pPr>
        <w:spacing w:after="0" w:line="276" w:lineRule="auto"/>
        <w:jc w:val="right"/>
        <w:rPr>
          <w:rFonts w:ascii="Times New Roman" w:hAnsi="Times New Roman" w:cs="Times New Roman"/>
          <w:i/>
          <w:sz w:val="20"/>
          <w:szCs w:val="20"/>
        </w:rPr>
      </w:pPr>
      <w:r w:rsidRPr="00896278">
        <w:rPr>
          <w:rFonts w:ascii="Times New Roman" w:hAnsi="Times New Roman" w:cs="Times New Roman"/>
          <w:i/>
          <w:sz w:val="20"/>
          <w:szCs w:val="20"/>
        </w:rPr>
        <w:t xml:space="preserve">Таблица 2. Степен на зависимост и </w:t>
      </w:r>
      <w:r w:rsidR="00EC1F49" w:rsidRPr="00896278">
        <w:rPr>
          <w:rFonts w:ascii="Times New Roman" w:hAnsi="Times New Roman" w:cs="Times New Roman"/>
          <w:i/>
          <w:sz w:val="20"/>
          <w:szCs w:val="20"/>
        </w:rPr>
        <w:t xml:space="preserve">равнище на </w:t>
      </w:r>
      <w:r w:rsidRPr="00896278">
        <w:rPr>
          <w:rFonts w:ascii="Times New Roman" w:hAnsi="Times New Roman" w:cs="Times New Roman"/>
          <w:i/>
          <w:sz w:val="20"/>
          <w:szCs w:val="20"/>
        </w:rPr>
        <w:t xml:space="preserve">значимост на </w:t>
      </w:r>
      <w:proofErr w:type="spellStart"/>
      <w:r w:rsidRPr="00896278">
        <w:rPr>
          <w:rFonts w:ascii="Times New Roman" w:hAnsi="Times New Roman" w:cs="Times New Roman"/>
          <w:i/>
          <w:sz w:val="20"/>
          <w:szCs w:val="20"/>
        </w:rPr>
        <w:t>корелационната</w:t>
      </w:r>
      <w:proofErr w:type="spellEnd"/>
      <w:r w:rsidRPr="00896278">
        <w:rPr>
          <w:rFonts w:ascii="Times New Roman" w:hAnsi="Times New Roman" w:cs="Times New Roman"/>
          <w:i/>
          <w:sz w:val="20"/>
          <w:szCs w:val="20"/>
        </w:rPr>
        <w:t xml:space="preserve"> връзка в рамките на въпроса, отнасящ се към КЕ 2</w:t>
      </w:r>
    </w:p>
    <w:tbl>
      <w:tblPr>
        <w:tblStyle w:val="af0"/>
        <w:tblW w:w="9067" w:type="dxa"/>
        <w:tblLayout w:type="fixed"/>
        <w:tblLook w:val="0420" w:firstRow="1" w:lastRow="0" w:firstColumn="0" w:lastColumn="0" w:noHBand="0" w:noVBand="1"/>
      </w:tblPr>
      <w:tblGrid>
        <w:gridCol w:w="2547"/>
        <w:gridCol w:w="567"/>
        <w:gridCol w:w="567"/>
        <w:gridCol w:w="567"/>
        <w:gridCol w:w="567"/>
        <w:gridCol w:w="567"/>
        <w:gridCol w:w="567"/>
        <w:gridCol w:w="1843"/>
        <w:gridCol w:w="1275"/>
      </w:tblGrid>
      <w:tr w:rsidR="00AD69AB" w:rsidRPr="003750BE" w:rsidTr="00594D9D">
        <w:trPr>
          <w:trHeight w:val="269"/>
        </w:trPr>
        <w:tc>
          <w:tcPr>
            <w:tcW w:w="9067" w:type="dxa"/>
            <w:gridSpan w:val="9"/>
            <w:vAlign w:val="center"/>
            <w:hideMark/>
          </w:tcPr>
          <w:p w:rsidR="00AD69AB" w:rsidRPr="00314FF4" w:rsidRDefault="00AD69AB" w:rsidP="006428A5">
            <w:pPr>
              <w:spacing w:line="276" w:lineRule="auto"/>
              <w:jc w:val="center"/>
              <w:rPr>
                <w:rFonts w:ascii="Times New Roman" w:eastAsia="Verdana" w:hAnsi="Times New Roman" w:cs="Times New Roman"/>
                <w:b/>
                <w:bCs/>
                <w:color w:val="000000" w:themeColor="text1"/>
                <w:kern w:val="24"/>
                <w:sz w:val="20"/>
                <w:szCs w:val="20"/>
                <w:lang w:eastAsia="bg-BG"/>
              </w:rPr>
            </w:pPr>
            <w:r w:rsidRPr="00314FF4">
              <w:rPr>
                <w:rFonts w:ascii="Times New Roman" w:eastAsia="Verdana" w:hAnsi="Times New Roman" w:cs="Times New Roman"/>
                <w:b/>
                <w:bCs/>
                <w:color w:val="000000" w:themeColor="text1"/>
                <w:kern w:val="24"/>
                <w:sz w:val="20"/>
                <w:szCs w:val="20"/>
                <w:lang w:eastAsia="bg-BG"/>
              </w:rPr>
              <w:t>В развитието на форми, инструменти и критерии за сътрудничество с държавите партньори, в каква степен следните предложение би трябвало да бъдат привилегировани?</w:t>
            </w:r>
          </w:p>
        </w:tc>
      </w:tr>
      <w:tr w:rsidR="00AD69AB" w:rsidRPr="003750BE" w:rsidTr="00AE7C28">
        <w:trPr>
          <w:trHeight w:val="192"/>
        </w:trPr>
        <w:tc>
          <w:tcPr>
            <w:tcW w:w="2547" w:type="dxa"/>
            <w:vMerge w:val="restart"/>
            <w:hideMark/>
          </w:tcPr>
          <w:p w:rsidR="00AD69AB" w:rsidRPr="003750BE" w:rsidRDefault="00AD69AB" w:rsidP="006428A5">
            <w:pPr>
              <w:spacing w:line="276" w:lineRule="auto"/>
              <w:rPr>
                <w:rFonts w:ascii="Times New Roman" w:eastAsia="Times New Roman" w:hAnsi="Times New Roman" w:cs="Times New Roman"/>
                <w:sz w:val="20"/>
                <w:szCs w:val="20"/>
                <w:lang w:eastAsia="bg-BG"/>
              </w:rPr>
            </w:pPr>
          </w:p>
        </w:tc>
        <w:tc>
          <w:tcPr>
            <w:tcW w:w="3402" w:type="dxa"/>
            <w:gridSpan w:val="6"/>
            <w:vAlign w:val="center"/>
            <w:hideMark/>
          </w:tcPr>
          <w:p w:rsidR="00AD69AB" w:rsidRPr="003750BE" w:rsidRDefault="00AD69AB" w:rsidP="006428A5">
            <w:pPr>
              <w:spacing w:line="276" w:lineRule="auto"/>
              <w:jc w:val="center"/>
              <w:rPr>
                <w:rFonts w:ascii="Times New Roman" w:eastAsia="Times New Roman" w:hAnsi="Times New Roman" w:cs="Times New Roman"/>
                <w:i/>
                <w:sz w:val="20"/>
                <w:szCs w:val="20"/>
                <w:lang w:val="en-US" w:eastAsia="bg-BG"/>
              </w:rPr>
            </w:pPr>
            <w:r>
              <w:rPr>
                <w:rFonts w:ascii="Times New Roman" w:eastAsia="Verdana" w:hAnsi="Times New Roman" w:cs="Times New Roman"/>
                <w:color w:val="000000" w:themeColor="text1"/>
                <w:kern w:val="24"/>
                <w:sz w:val="20"/>
                <w:szCs w:val="20"/>
                <w:lang w:eastAsia="bg-BG"/>
              </w:rPr>
              <w:t>Числова стойност на степента</w:t>
            </w:r>
          </w:p>
        </w:tc>
        <w:tc>
          <w:tcPr>
            <w:tcW w:w="1843" w:type="dxa"/>
            <w:vMerge w:val="restart"/>
            <w:vAlign w:val="center"/>
            <w:hideMark/>
          </w:tcPr>
          <w:p w:rsidR="00AD69AB" w:rsidRPr="007D67DD" w:rsidRDefault="00AD69AB" w:rsidP="006428A5">
            <w:pPr>
              <w:spacing w:line="276" w:lineRule="auto"/>
              <w:jc w:val="center"/>
              <w:rPr>
                <w:rFonts w:ascii="Times New Roman" w:eastAsia="Verdana" w:hAnsi="Times New Roman" w:cs="Times New Roman"/>
                <w:color w:val="000000" w:themeColor="text1"/>
                <w:kern w:val="24"/>
                <w:sz w:val="20"/>
                <w:szCs w:val="20"/>
                <w:lang w:val="en-US" w:eastAsia="bg-BG"/>
              </w:rPr>
            </w:pPr>
            <w:r>
              <w:rPr>
                <w:rFonts w:ascii="Times New Roman" w:eastAsia="Verdana" w:hAnsi="Times New Roman" w:cs="Times New Roman"/>
                <w:color w:val="000000" w:themeColor="text1"/>
                <w:kern w:val="24"/>
                <w:sz w:val="20"/>
                <w:szCs w:val="20"/>
                <w:lang w:eastAsia="bg-BG"/>
              </w:rPr>
              <w:t xml:space="preserve">Корелация </w:t>
            </w: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r)</w:t>
            </w:r>
          </w:p>
        </w:tc>
        <w:tc>
          <w:tcPr>
            <w:tcW w:w="1275" w:type="dxa"/>
            <w:vMerge w:val="restart"/>
            <w:vAlign w:val="center"/>
          </w:tcPr>
          <w:p w:rsidR="00AD69AB" w:rsidRPr="00FB6DDC"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r>
              <w:rPr>
                <w:rFonts w:ascii="Times New Roman" w:eastAsia="Verdana" w:hAnsi="Times New Roman" w:cs="Times New Roman"/>
                <w:color w:val="000000" w:themeColor="text1"/>
                <w:kern w:val="24"/>
                <w:sz w:val="20"/>
                <w:szCs w:val="20"/>
                <w:lang w:eastAsia="bg-BG"/>
              </w:rPr>
              <w:t xml:space="preserve">Равнище на значимост </w:t>
            </w:r>
            <w:r w:rsidRPr="00314FF4">
              <w:rPr>
                <w:rFonts w:ascii="Times New Roman" w:eastAsia="Verdana" w:hAnsi="Times New Roman" w:cs="Times New Roman"/>
                <w:b/>
                <w:color w:val="000000" w:themeColor="text1"/>
                <w:kern w:val="24"/>
                <w:sz w:val="20"/>
                <w:szCs w:val="20"/>
                <w:lang w:eastAsia="bg-BG"/>
              </w:rPr>
              <w:t>(α)</w:t>
            </w:r>
          </w:p>
        </w:tc>
      </w:tr>
      <w:tr w:rsidR="00AD69AB" w:rsidRPr="003750BE" w:rsidTr="00AE7C28">
        <w:trPr>
          <w:trHeight w:val="419"/>
        </w:trPr>
        <w:tc>
          <w:tcPr>
            <w:tcW w:w="2547" w:type="dxa"/>
            <w:vMerge/>
          </w:tcPr>
          <w:p w:rsidR="00AD69AB" w:rsidRPr="003750BE" w:rsidRDefault="00AD69AB" w:rsidP="006428A5">
            <w:pPr>
              <w:spacing w:line="276" w:lineRule="auto"/>
              <w:rPr>
                <w:rFonts w:ascii="Times New Roman" w:eastAsia="Times New Roman" w:hAnsi="Times New Roman" w:cs="Times New Roman"/>
                <w:sz w:val="20"/>
                <w:szCs w:val="20"/>
                <w:lang w:eastAsia="bg-BG"/>
              </w:rPr>
            </w:pPr>
          </w:p>
        </w:tc>
        <w:tc>
          <w:tcPr>
            <w:tcW w:w="567" w:type="dxa"/>
            <w:vAlign w:val="center"/>
          </w:tcPr>
          <w:p w:rsidR="00AD69AB" w:rsidRPr="00314FF4" w:rsidRDefault="00AD69AB"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1</w:t>
            </w:r>
            <w:r w:rsidRPr="00314FF4">
              <w:rPr>
                <w:rFonts w:ascii="Times New Roman" w:eastAsia="Verdana" w:hAnsi="Times New Roman" w:cs="Times New Roman"/>
                <w:b/>
                <w:color w:val="000000" w:themeColor="text1"/>
                <w:kern w:val="24"/>
                <w:sz w:val="20"/>
                <w:szCs w:val="20"/>
                <w:lang w:eastAsia="bg-BG"/>
              </w:rPr>
              <w:t>)</w:t>
            </w:r>
          </w:p>
        </w:tc>
        <w:tc>
          <w:tcPr>
            <w:tcW w:w="567" w:type="dxa"/>
            <w:vAlign w:val="center"/>
          </w:tcPr>
          <w:p w:rsidR="00AD69AB" w:rsidRPr="00314FF4" w:rsidRDefault="00AD69AB"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2</w:t>
            </w:r>
            <w:r w:rsidRPr="00314FF4">
              <w:rPr>
                <w:rFonts w:ascii="Times New Roman" w:eastAsia="Verdana" w:hAnsi="Times New Roman" w:cs="Times New Roman"/>
                <w:b/>
                <w:color w:val="000000" w:themeColor="text1"/>
                <w:kern w:val="24"/>
                <w:sz w:val="20"/>
                <w:szCs w:val="20"/>
                <w:lang w:eastAsia="bg-BG"/>
              </w:rPr>
              <w:t>)</w:t>
            </w:r>
          </w:p>
        </w:tc>
        <w:tc>
          <w:tcPr>
            <w:tcW w:w="567" w:type="dxa"/>
            <w:vAlign w:val="center"/>
          </w:tcPr>
          <w:p w:rsidR="00AD69AB" w:rsidRPr="00314FF4" w:rsidRDefault="00AD69AB"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(3)</w:t>
            </w:r>
          </w:p>
        </w:tc>
        <w:tc>
          <w:tcPr>
            <w:tcW w:w="567" w:type="dxa"/>
            <w:vAlign w:val="center"/>
          </w:tcPr>
          <w:p w:rsidR="00AD69AB" w:rsidRPr="00314FF4" w:rsidRDefault="00AD69AB"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4</w:t>
            </w:r>
            <w:r w:rsidRPr="00314FF4">
              <w:rPr>
                <w:rFonts w:ascii="Times New Roman" w:eastAsia="Verdana" w:hAnsi="Times New Roman" w:cs="Times New Roman"/>
                <w:b/>
                <w:color w:val="000000" w:themeColor="text1"/>
                <w:kern w:val="24"/>
                <w:sz w:val="20"/>
                <w:szCs w:val="20"/>
                <w:lang w:eastAsia="bg-BG"/>
              </w:rPr>
              <w:t>)</w:t>
            </w:r>
          </w:p>
        </w:tc>
        <w:tc>
          <w:tcPr>
            <w:tcW w:w="567" w:type="dxa"/>
            <w:vAlign w:val="center"/>
          </w:tcPr>
          <w:p w:rsidR="00AD69AB" w:rsidRPr="00314FF4" w:rsidRDefault="00AD69AB"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5</w:t>
            </w:r>
            <w:r w:rsidRPr="00314FF4">
              <w:rPr>
                <w:rFonts w:ascii="Times New Roman" w:eastAsia="Verdana" w:hAnsi="Times New Roman" w:cs="Times New Roman"/>
                <w:b/>
                <w:color w:val="000000" w:themeColor="text1"/>
                <w:kern w:val="24"/>
                <w:sz w:val="20"/>
                <w:szCs w:val="20"/>
                <w:lang w:eastAsia="bg-BG"/>
              </w:rPr>
              <w:t>)</w:t>
            </w:r>
          </w:p>
        </w:tc>
        <w:tc>
          <w:tcPr>
            <w:tcW w:w="567" w:type="dxa"/>
            <w:vAlign w:val="center"/>
          </w:tcPr>
          <w:p w:rsidR="00AD69AB" w:rsidRPr="00314FF4" w:rsidRDefault="00AD69AB" w:rsidP="006428A5">
            <w:pPr>
              <w:spacing w:line="276" w:lineRule="auto"/>
              <w:jc w:val="center"/>
              <w:rPr>
                <w:rFonts w:ascii="Times New Roman" w:eastAsia="Times New Roman" w:hAnsi="Times New Roman" w:cs="Times New Roman"/>
                <w:i/>
                <w:sz w:val="20"/>
                <w:szCs w:val="20"/>
                <w:lang w:val="en-US" w:eastAsia="bg-BG"/>
              </w:rPr>
            </w:pPr>
            <w:r w:rsidRPr="00314FF4">
              <w:rPr>
                <w:rFonts w:ascii="Times New Roman" w:eastAsia="Verdana" w:hAnsi="Times New Roman" w:cs="Times New Roman"/>
                <w:i/>
                <w:kern w:val="24"/>
                <w:sz w:val="20"/>
                <w:szCs w:val="20"/>
                <w:lang w:val="en-US" w:eastAsia="bg-BG"/>
              </w:rPr>
              <w:t>(0)</w:t>
            </w:r>
          </w:p>
        </w:tc>
        <w:tc>
          <w:tcPr>
            <w:tcW w:w="1843" w:type="dxa"/>
            <w:vMerge/>
            <w:vAlign w:val="center"/>
          </w:tcPr>
          <w:p w:rsid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
        </w:tc>
        <w:tc>
          <w:tcPr>
            <w:tcW w:w="1275" w:type="dxa"/>
            <w:vMerge/>
            <w:vAlign w:val="center"/>
          </w:tcPr>
          <w:p w:rsidR="00AD69A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
        </w:tc>
      </w:tr>
      <w:tr w:rsidR="00AD69AB" w:rsidRPr="003750BE" w:rsidTr="00AE7C28">
        <w:trPr>
          <w:trHeight w:val="429"/>
        </w:trPr>
        <w:tc>
          <w:tcPr>
            <w:tcW w:w="2547" w:type="dxa"/>
            <w:vAlign w:val="center"/>
            <w:hideMark/>
          </w:tcPr>
          <w:p w:rsidR="00AD69AB" w:rsidRPr="003750BE" w:rsidRDefault="00AD69AB"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 xml:space="preserve">А1. </w:t>
            </w:r>
            <w:r>
              <w:rPr>
                <w:rFonts w:ascii="Times New Roman" w:eastAsia="Verdana" w:hAnsi="Times New Roman" w:cs="Times New Roman"/>
                <w:color w:val="000000" w:themeColor="text1"/>
                <w:kern w:val="24"/>
                <w:sz w:val="20"/>
                <w:szCs w:val="20"/>
                <w:lang w:eastAsia="bg-BG"/>
              </w:rPr>
              <w:t>Споразумения за асоцииране</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22</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5</w:t>
            </w:r>
            <w:r w:rsidRPr="003750BE">
              <w:rPr>
                <w:rFonts w:ascii="Times New Roman" w:eastAsia="Verdana" w:hAnsi="Times New Roman" w:cs="Times New Roman"/>
                <w:color w:val="000000" w:themeColor="text1"/>
                <w:kern w:val="24"/>
                <w:sz w:val="20"/>
                <w:szCs w:val="20"/>
                <w:lang w:eastAsia="bg-BG"/>
              </w:rPr>
              <w:t>4</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134</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w:t>
            </w:r>
            <w:r>
              <w:rPr>
                <w:rFonts w:ascii="Times New Roman" w:eastAsia="Verdana" w:hAnsi="Times New Roman" w:cs="Times New Roman"/>
                <w:color w:val="000000" w:themeColor="text1"/>
                <w:kern w:val="24"/>
                <w:sz w:val="20"/>
                <w:szCs w:val="20"/>
                <w:lang w:eastAsia="bg-BG"/>
              </w:rPr>
              <w:t>47</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161</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i/>
                <w:sz w:val="20"/>
                <w:szCs w:val="20"/>
                <w:lang w:eastAsia="bg-BG"/>
              </w:rPr>
            </w:pPr>
            <w:r>
              <w:rPr>
                <w:rFonts w:ascii="Times New Roman" w:eastAsia="Verdana" w:hAnsi="Times New Roman" w:cs="Times New Roman"/>
                <w:i/>
                <w:kern w:val="24"/>
                <w:sz w:val="20"/>
                <w:szCs w:val="20"/>
                <w:lang w:eastAsia="bg-BG"/>
              </w:rPr>
              <w:t>42</w:t>
            </w:r>
          </w:p>
        </w:tc>
        <w:tc>
          <w:tcPr>
            <w:tcW w:w="1843" w:type="dxa"/>
            <w:vAlign w:val="center"/>
            <w:hideMark/>
          </w:tcPr>
          <w:p w:rsidR="00AD69AB" w:rsidRPr="00FA0D2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r w:rsidRPr="00FA0D2B">
              <w:rPr>
                <w:rFonts w:ascii="Times New Roman" w:eastAsia="Verdana" w:hAnsi="Times New Roman" w:cs="Times New Roman"/>
                <w:color w:val="000000" w:themeColor="text1"/>
                <w:kern w:val="24"/>
                <w:sz w:val="20"/>
                <w:szCs w:val="20"/>
                <w:lang w:eastAsia="bg-BG"/>
              </w:rPr>
              <w:t xml:space="preserve">Възходяща, </w:t>
            </w:r>
            <w:r>
              <w:rPr>
                <w:rFonts w:ascii="Times New Roman" w:eastAsia="Verdana" w:hAnsi="Times New Roman" w:cs="Times New Roman"/>
                <w:color w:val="000000" w:themeColor="text1"/>
                <w:kern w:val="24"/>
                <w:sz w:val="20"/>
                <w:szCs w:val="20"/>
                <w:lang w:eastAsia="bg-BG"/>
              </w:rPr>
              <w:t>средна</w:t>
            </w:r>
            <w:r w:rsidRPr="00FA0D2B">
              <w:rPr>
                <w:rFonts w:ascii="Times New Roman" w:eastAsia="Verdana" w:hAnsi="Times New Roman" w:cs="Times New Roman"/>
                <w:color w:val="000000" w:themeColor="text1"/>
                <w:kern w:val="24"/>
                <w:sz w:val="20"/>
                <w:szCs w:val="20"/>
                <w:lang w:eastAsia="bg-BG"/>
              </w:rPr>
              <w:t xml:space="preserve"> степен на зависимост</w:t>
            </w:r>
          </w:p>
        </w:tc>
        <w:tc>
          <w:tcPr>
            <w:tcW w:w="1275" w:type="dxa"/>
            <w:vAlign w:val="center"/>
          </w:tcPr>
          <w:p w:rsidR="00AD69AB" w:rsidRPr="007B1969" w:rsidRDefault="00AD69AB" w:rsidP="006428A5">
            <w:pPr>
              <w:spacing w:line="276" w:lineRule="auto"/>
              <w:jc w:val="center"/>
              <w:rPr>
                <w:rFonts w:ascii="Times New Roman" w:eastAsia="Verdana" w:hAnsi="Times New Roman" w:cs="Times New Roman"/>
                <w:color w:val="000000" w:themeColor="text1"/>
                <w:kern w:val="24"/>
                <w:sz w:val="20"/>
                <w:szCs w:val="20"/>
                <w:lang w:val="en-US" w:eastAsia="bg-BG"/>
              </w:rPr>
            </w:pPr>
            <w:proofErr w:type="gramStart"/>
            <w:r>
              <w:rPr>
                <w:rFonts w:ascii="Times New Roman" w:eastAsia="Verdana" w:hAnsi="Times New Roman" w:cs="Times New Roman"/>
                <w:color w:val="000000" w:themeColor="text1"/>
                <w:kern w:val="24"/>
                <w:sz w:val="20"/>
                <w:szCs w:val="20"/>
                <w:lang w:val="en-US" w:eastAsia="bg-BG"/>
              </w:rPr>
              <w:t>r</w:t>
            </w:r>
            <w:proofErr w:type="spellStart"/>
            <w:r w:rsidRPr="007B1969">
              <w:rPr>
                <w:rFonts w:ascii="Times New Roman" w:eastAsia="Verdana" w:hAnsi="Times New Roman" w:cs="Times New Roman"/>
                <w:color w:val="000000" w:themeColor="text1"/>
                <w:kern w:val="24"/>
                <w:sz w:val="16"/>
                <w:szCs w:val="16"/>
                <w:lang w:eastAsia="bg-BG"/>
              </w:rPr>
              <w:t>emp</w:t>
            </w:r>
            <w:proofErr w:type="spellEnd"/>
            <w:r>
              <w:rPr>
                <w:rFonts w:ascii="Times New Roman" w:eastAsia="Verdana" w:hAnsi="Times New Roman" w:cs="Times New Roman"/>
                <w:color w:val="000000" w:themeColor="text1"/>
                <w:kern w:val="24"/>
                <w:sz w:val="16"/>
                <w:szCs w:val="16"/>
                <w:lang w:eastAsia="bg-BG"/>
              </w:rPr>
              <w:t>.</w:t>
            </w:r>
            <w:r w:rsidRPr="007B1969">
              <w:rPr>
                <w:rFonts w:ascii="Times New Roman" w:eastAsia="Verdana" w:hAnsi="Times New Roman" w:cs="Times New Roman"/>
                <w:color w:val="000000" w:themeColor="text1"/>
                <w:kern w:val="24"/>
                <w:sz w:val="20"/>
                <w:szCs w:val="20"/>
                <w:lang w:eastAsia="bg-BG"/>
              </w:rPr>
              <w:t>(</w:t>
            </w:r>
            <w:proofErr w:type="gramEnd"/>
            <w:r>
              <w:rPr>
                <w:rFonts w:ascii="Times New Roman" w:eastAsia="Verdana" w:hAnsi="Times New Roman" w:cs="Times New Roman"/>
                <w:color w:val="000000" w:themeColor="text1"/>
                <w:kern w:val="24"/>
                <w:sz w:val="20"/>
                <w:szCs w:val="20"/>
                <w:lang w:eastAsia="bg-BG"/>
              </w:rPr>
              <w:t>0,729</w:t>
            </w:r>
            <w:r w:rsidRPr="007B1969">
              <w:rPr>
                <w:rFonts w:ascii="Times New Roman" w:eastAsia="Verdana" w:hAnsi="Times New Roman" w:cs="Times New Roman"/>
                <w:color w:val="000000" w:themeColor="text1"/>
                <w:kern w:val="24"/>
                <w:sz w:val="20"/>
                <w:szCs w:val="20"/>
                <w:lang w:eastAsia="bg-BG"/>
              </w:rPr>
              <w:t>)</w:t>
            </w:r>
            <w:r>
              <w:rPr>
                <w:rFonts w:ascii="Times New Roman" w:eastAsia="Verdana" w:hAnsi="Times New Roman" w:cs="Times New Roman"/>
                <w:color w:val="000000" w:themeColor="text1"/>
                <w:kern w:val="24"/>
                <w:sz w:val="20"/>
                <w:szCs w:val="20"/>
                <w:lang w:eastAsia="bg-BG"/>
              </w:rPr>
              <w:t xml:space="preserve"> </w:t>
            </w:r>
            <w:r>
              <w:rPr>
                <w:rFonts w:ascii="Times New Roman" w:eastAsia="Verdana" w:hAnsi="Times New Roman" w:cs="Times New Roman"/>
                <w:b/>
                <w:color w:val="000000" w:themeColor="text1"/>
                <w:kern w:val="24"/>
                <w:sz w:val="20"/>
                <w:szCs w:val="20"/>
                <w:lang w:eastAsia="bg-BG"/>
              </w:rPr>
              <w:t>&lt;</w:t>
            </w:r>
            <w:r>
              <w:rPr>
                <w:rFonts w:ascii="Times New Roman" w:eastAsia="Verdana" w:hAnsi="Times New Roman" w:cs="Times New Roman"/>
                <w:color w:val="000000" w:themeColor="text1"/>
                <w:kern w:val="24"/>
                <w:sz w:val="20"/>
                <w:szCs w:val="20"/>
                <w:lang w:eastAsia="bg-BG"/>
              </w:rPr>
              <w:t xml:space="preserve"> </w:t>
            </w:r>
            <w:proofErr w:type="spellStart"/>
            <w:r w:rsidRPr="007B1969">
              <w:rPr>
                <w:rFonts w:ascii="Times New Roman" w:eastAsia="Verdana" w:hAnsi="Times New Roman" w:cs="Times New Roman"/>
                <w:color w:val="000000" w:themeColor="text1"/>
                <w:kern w:val="24"/>
                <w:sz w:val="20"/>
                <w:szCs w:val="20"/>
                <w:lang w:eastAsia="bg-BG"/>
              </w:rPr>
              <w:t>r</w:t>
            </w:r>
            <w:r w:rsidRPr="007B1969">
              <w:rPr>
                <w:rFonts w:ascii="Times New Roman" w:eastAsia="Verdana" w:hAnsi="Times New Roman" w:cs="Times New Roman"/>
                <w:color w:val="000000" w:themeColor="text1"/>
                <w:kern w:val="24"/>
                <w:sz w:val="16"/>
                <w:szCs w:val="16"/>
                <w:lang w:eastAsia="bg-BG"/>
              </w:rPr>
              <w:t>crit</w:t>
            </w:r>
            <w:proofErr w:type="spellEnd"/>
            <w:r>
              <w:rPr>
                <w:rFonts w:ascii="Times New Roman" w:eastAsia="Verdana" w:hAnsi="Times New Roman" w:cs="Times New Roman"/>
                <w:color w:val="000000" w:themeColor="text1"/>
                <w:kern w:val="24"/>
                <w:sz w:val="16"/>
                <w:szCs w:val="16"/>
                <w:lang w:val="en-US" w:eastAsia="bg-BG"/>
              </w:rPr>
              <w:t>.</w:t>
            </w:r>
          </w:p>
        </w:tc>
      </w:tr>
      <w:tr w:rsidR="00AD69AB" w:rsidRPr="003750BE" w:rsidTr="00AE7C28">
        <w:trPr>
          <w:trHeight w:val="606"/>
        </w:trPr>
        <w:tc>
          <w:tcPr>
            <w:tcW w:w="2547" w:type="dxa"/>
            <w:vAlign w:val="center"/>
            <w:hideMark/>
          </w:tcPr>
          <w:p w:rsidR="00AD69AB" w:rsidRPr="006825B7" w:rsidRDefault="00AD69AB" w:rsidP="006428A5">
            <w:pPr>
              <w:spacing w:line="276" w:lineRule="auto"/>
              <w:rPr>
                <w:rFonts w:ascii="Times New Roman" w:eastAsia="Times New Roman" w:hAnsi="Times New Roman" w:cs="Times New Roman"/>
                <w:b/>
                <w:sz w:val="20"/>
                <w:szCs w:val="20"/>
                <w:lang w:eastAsia="bg-BG"/>
              </w:rPr>
            </w:pPr>
            <w:r w:rsidRPr="006825B7">
              <w:rPr>
                <w:rFonts w:ascii="Times New Roman" w:eastAsia="Verdana" w:hAnsi="Times New Roman" w:cs="Times New Roman"/>
                <w:b/>
                <w:color w:val="000000" w:themeColor="text1"/>
                <w:kern w:val="24"/>
                <w:sz w:val="20"/>
                <w:szCs w:val="20"/>
                <w:lang w:eastAsia="bg-BG"/>
              </w:rPr>
              <w:t>А2. Споразумения за дълбока и обхватна свободна търговия</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26</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73</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134</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291</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192</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i/>
                <w:sz w:val="20"/>
                <w:szCs w:val="20"/>
                <w:lang w:eastAsia="bg-BG"/>
              </w:rPr>
            </w:pPr>
            <w:r>
              <w:rPr>
                <w:rFonts w:ascii="Times New Roman" w:eastAsia="Verdana" w:hAnsi="Times New Roman" w:cs="Times New Roman"/>
                <w:i/>
                <w:kern w:val="24"/>
                <w:sz w:val="20"/>
                <w:szCs w:val="20"/>
                <w:lang w:eastAsia="bg-BG"/>
              </w:rPr>
              <w:t>44</w:t>
            </w:r>
          </w:p>
        </w:tc>
        <w:tc>
          <w:tcPr>
            <w:tcW w:w="1843" w:type="dxa"/>
            <w:vAlign w:val="center"/>
            <w:hideMark/>
          </w:tcPr>
          <w:p w:rsidR="00AD69AB" w:rsidRPr="00FA0D2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r w:rsidRPr="00FA0D2B">
              <w:rPr>
                <w:rFonts w:ascii="Times New Roman" w:eastAsia="Verdana" w:hAnsi="Times New Roman" w:cs="Times New Roman"/>
                <w:color w:val="000000" w:themeColor="text1"/>
                <w:kern w:val="24"/>
                <w:sz w:val="20"/>
                <w:szCs w:val="20"/>
                <w:lang w:eastAsia="bg-BG"/>
              </w:rPr>
              <w:t>Възходяща, силна степен на зависимост</w:t>
            </w:r>
          </w:p>
        </w:tc>
        <w:tc>
          <w:tcPr>
            <w:tcW w:w="1275" w:type="dxa"/>
            <w:vAlign w:val="center"/>
          </w:tcPr>
          <w:p w:rsidR="00AD69AB" w:rsidRPr="006825B7" w:rsidRDefault="00AD69AB" w:rsidP="006428A5">
            <w:pPr>
              <w:spacing w:line="276" w:lineRule="auto"/>
              <w:jc w:val="center"/>
              <w:rPr>
                <w:rFonts w:ascii="Times New Roman" w:eastAsia="Verdana" w:hAnsi="Times New Roman" w:cs="Times New Roman"/>
                <w:b/>
                <w:color w:val="000000" w:themeColor="text1"/>
                <w:kern w:val="24"/>
                <w:sz w:val="20"/>
                <w:szCs w:val="20"/>
                <w:lang w:eastAsia="bg-BG"/>
              </w:rPr>
            </w:pPr>
            <w:proofErr w:type="spellStart"/>
            <w:r w:rsidRPr="006825B7">
              <w:rPr>
                <w:rFonts w:ascii="Times New Roman" w:eastAsia="Verdana" w:hAnsi="Times New Roman" w:cs="Times New Roman"/>
                <w:b/>
                <w:color w:val="000000" w:themeColor="text1"/>
                <w:kern w:val="24"/>
                <w:sz w:val="20"/>
                <w:szCs w:val="20"/>
                <w:lang w:eastAsia="bg-BG"/>
              </w:rPr>
              <w:t>r</w:t>
            </w:r>
            <w:r w:rsidRPr="006825B7">
              <w:rPr>
                <w:rFonts w:ascii="Times New Roman" w:eastAsia="Verdana" w:hAnsi="Times New Roman" w:cs="Times New Roman"/>
                <w:b/>
                <w:color w:val="000000" w:themeColor="text1"/>
                <w:kern w:val="24"/>
                <w:sz w:val="16"/>
                <w:szCs w:val="16"/>
                <w:lang w:eastAsia="bg-BG"/>
              </w:rPr>
              <w:t>emp</w:t>
            </w:r>
            <w:proofErr w:type="spellEnd"/>
            <w:r>
              <w:rPr>
                <w:rFonts w:ascii="Times New Roman" w:eastAsia="Verdana" w:hAnsi="Times New Roman" w:cs="Times New Roman"/>
                <w:b/>
                <w:color w:val="000000" w:themeColor="text1"/>
                <w:kern w:val="24"/>
                <w:sz w:val="20"/>
                <w:szCs w:val="20"/>
                <w:lang w:eastAsia="bg-BG"/>
              </w:rPr>
              <w:t>.(0,843) &gt;</w:t>
            </w:r>
            <w:r w:rsidRPr="006825B7">
              <w:rPr>
                <w:rFonts w:ascii="Times New Roman" w:eastAsia="Verdana" w:hAnsi="Times New Roman" w:cs="Times New Roman"/>
                <w:b/>
                <w:color w:val="000000" w:themeColor="text1"/>
                <w:kern w:val="24"/>
                <w:sz w:val="20"/>
                <w:szCs w:val="20"/>
                <w:lang w:eastAsia="bg-BG"/>
              </w:rPr>
              <w:t xml:space="preserve"> </w:t>
            </w:r>
            <w:proofErr w:type="spellStart"/>
            <w:r w:rsidRPr="006825B7">
              <w:rPr>
                <w:rFonts w:ascii="Times New Roman" w:eastAsia="Verdana" w:hAnsi="Times New Roman" w:cs="Times New Roman"/>
                <w:b/>
                <w:color w:val="000000" w:themeColor="text1"/>
                <w:kern w:val="24"/>
                <w:sz w:val="20"/>
                <w:szCs w:val="20"/>
                <w:lang w:eastAsia="bg-BG"/>
              </w:rPr>
              <w:t>r</w:t>
            </w:r>
            <w:r w:rsidRPr="006825B7">
              <w:rPr>
                <w:rFonts w:ascii="Times New Roman" w:eastAsia="Verdana" w:hAnsi="Times New Roman" w:cs="Times New Roman"/>
                <w:b/>
                <w:color w:val="000000" w:themeColor="text1"/>
                <w:kern w:val="24"/>
                <w:sz w:val="16"/>
                <w:szCs w:val="16"/>
                <w:lang w:eastAsia="bg-BG"/>
              </w:rPr>
              <w:t>crit</w:t>
            </w:r>
            <w:proofErr w:type="spellEnd"/>
            <w:r w:rsidRPr="006825B7">
              <w:rPr>
                <w:rFonts w:ascii="Times New Roman" w:eastAsia="Verdana" w:hAnsi="Times New Roman" w:cs="Times New Roman"/>
                <w:b/>
                <w:color w:val="000000" w:themeColor="text1"/>
                <w:kern w:val="24"/>
                <w:sz w:val="20"/>
                <w:szCs w:val="20"/>
                <w:lang w:eastAsia="bg-BG"/>
              </w:rPr>
              <w:t>.</w:t>
            </w:r>
          </w:p>
        </w:tc>
      </w:tr>
      <w:tr w:rsidR="00AD69AB" w:rsidRPr="003750BE" w:rsidTr="00AE7C28">
        <w:trPr>
          <w:trHeight w:val="410"/>
        </w:trPr>
        <w:tc>
          <w:tcPr>
            <w:tcW w:w="2547" w:type="dxa"/>
            <w:vAlign w:val="center"/>
            <w:hideMark/>
          </w:tcPr>
          <w:p w:rsidR="00AD69AB" w:rsidRPr="003750BE" w:rsidRDefault="00AD69AB"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 xml:space="preserve">А3. </w:t>
            </w:r>
            <w:r>
              <w:rPr>
                <w:rFonts w:ascii="Times New Roman" w:eastAsia="Verdana" w:hAnsi="Times New Roman" w:cs="Times New Roman"/>
                <w:color w:val="000000" w:themeColor="text1"/>
                <w:kern w:val="24"/>
                <w:sz w:val="20"/>
                <w:szCs w:val="20"/>
                <w:lang w:eastAsia="bg-BG"/>
              </w:rPr>
              <w:t xml:space="preserve">Споразумения за сътрудничество, основаващи се на </w:t>
            </w:r>
            <w:r>
              <w:rPr>
                <w:rFonts w:ascii="Times New Roman" w:eastAsia="Verdana" w:hAnsi="Times New Roman" w:cs="Times New Roman"/>
                <w:color w:val="000000" w:themeColor="text1"/>
                <w:kern w:val="24"/>
                <w:sz w:val="20"/>
                <w:szCs w:val="20"/>
                <w:lang w:val="en-US" w:eastAsia="bg-BG"/>
              </w:rPr>
              <w:t xml:space="preserve">ad-hoc </w:t>
            </w:r>
            <w:r>
              <w:rPr>
                <w:rFonts w:ascii="Times New Roman" w:eastAsia="Verdana" w:hAnsi="Times New Roman" w:cs="Times New Roman"/>
                <w:color w:val="000000" w:themeColor="text1"/>
                <w:kern w:val="24"/>
                <w:sz w:val="20"/>
                <w:szCs w:val="20"/>
                <w:lang w:eastAsia="bg-BG"/>
              </w:rPr>
              <w:t>дейности</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10</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37</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106</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333</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231</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i/>
                <w:sz w:val="20"/>
                <w:szCs w:val="20"/>
                <w:lang w:eastAsia="bg-BG"/>
              </w:rPr>
            </w:pPr>
            <w:r>
              <w:rPr>
                <w:rFonts w:ascii="Times New Roman" w:eastAsia="Verdana" w:hAnsi="Times New Roman" w:cs="Times New Roman"/>
                <w:i/>
                <w:kern w:val="24"/>
                <w:sz w:val="20"/>
                <w:szCs w:val="20"/>
                <w:lang w:eastAsia="bg-BG"/>
              </w:rPr>
              <w:t>43</w:t>
            </w:r>
          </w:p>
        </w:tc>
        <w:tc>
          <w:tcPr>
            <w:tcW w:w="1843" w:type="dxa"/>
            <w:vAlign w:val="center"/>
            <w:hideMark/>
          </w:tcPr>
          <w:p w:rsidR="00AD69AB" w:rsidRPr="00FA0D2B" w:rsidRDefault="00AD69AB"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Възходяща, силна степен на зависимост</w:t>
            </w:r>
          </w:p>
        </w:tc>
        <w:tc>
          <w:tcPr>
            <w:tcW w:w="1275" w:type="dxa"/>
            <w:vAlign w:val="center"/>
          </w:tcPr>
          <w:p w:rsidR="00AD69AB" w:rsidRPr="003750BE"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9A02B3">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emp</w:t>
            </w:r>
            <w:proofErr w:type="spellEnd"/>
            <w:r w:rsidRPr="009A02B3">
              <w:rPr>
                <w:rFonts w:ascii="Times New Roman" w:eastAsia="Verdana" w:hAnsi="Times New Roman" w:cs="Times New Roman"/>
                <w:color w:val="000000" w:themeColor="text1"/>
                <w:kern w:val="24"/>
                <w:sz w:val="20"/>
                <w:szCs w:val="20"/>
                <w:lang w:eastAsia="bg-BG"/>
              </w:rPr>
              <w:t>.(0,</w:t>
            </w:r>
            <w:r>
              <w:rPr>
                <w:rFonts w:ascii="Times New Roman" w:eastAsia="Verdana" w:hAnsi="Times New Roman" w:cs="Times New Roman"/>
                <w:color w:val="000000" w:themeColor="text1"/>
                <w:kern w:val="24"/>
                <w:sz w:val="20"/>
                <w:szCs w:val="20"/>
                <w:lang w:eastAsia="bg-BG"/>
              </w:rPr>
              <w:t>823</w:t>
            </w:r>
            <w:r w:rsidRPr="009A02B3">
              <w:rPr>
                <w:rFonts w:ascii="Times New Roman" w:eastAsia="Verdana" w:hAnsi="Times New Roman" w:cs="Times New Roman"/>
                <w:color w:val="000000" w:themeColor="text1"/>
                <w:kern w:val="24"/>
                <w:sz w:val="20"/>
                <w:szCs w:val="20"/>
                <w:lang w:eastAsia="bg-BG"/>
              </w:rPr>
              <w:t xml:space="preserve">) </w:t>
            </w:r>
            <w:r>
              <w:rPr>
                <w:rFonts w:ascii="Times New Roman" w:eastAsia="Verdana" w:hAnsi="Times New Roman" w:cs="Times New Roman"/>
                <w:color w:val="000000" w:themeColor="text1"/>
                <w:kern w:val="24"/>
                <w:sz w:val="20"/>
                <w:szCs w:val="20"/>
                <w:lang w:eastAsia="bg-BG"/>
              </w:rPr>
              <w:t>&gt;</w:t>
            </w:r>
            <w:r w:rsidRPr="009A02B3">
              <w:rPr>
                <w:rFonts w:ascii="Times New Roman" w:eastAsia="Verdana" w:hAnsi="Times New Roman" w:cs="Times New Roman"/>
                <w:color w:val="000000" w:themeColor="text1"/>
                <w:kern w:val="24"/>
                <w:sz w:val="20"/>
                <w:szCs w:val="20"/>
                <w:lang w:eastAsia="bg-BG"/>
              </w:rPr>
              <w:t xml:space="preserve"> </w:t>
            </w:r>
            <w:proofErr w:type="spellStart"/>
            <w:r w:rsidRPr="009A02B3">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crit</w:t>
            </w:r>
            <w:proofErr w:type="spellEnd"/>
            <w:r w:rsidRPr="000528DF">
              <w:rPr>
                <w:rFonts w:ascii="Times New Roman" w:eastAsia="Verdana" w:hAnsi="Times New Roman" w:cs="Times New Roman"/>
                <w:color w:val="000000" w:themeColor="text1"/>
                <w:kern w:val="24"/>
                <w:sz w:val="16"/>
                <w:szCs w:val="16"/>
                <w:lang w:eastAsia="bg-BG"/>
              </w:rPr>
              <w:t>.</w:t>
            </w:r>
          </w:p>
        </w:tc>
      </w:tr>
      <w:tr w:rsidR="00AD69AB" w:rsidRPr="003750BE" w:rsidTr="00AE7C28">
        <w:trPr>
          <w:trHeight w:val="499"/>
        </w:trPr>
        <w:tc>
          <w:tcPr>
            <w:tcW w:w="2547" w:type="dxa"/>
            <w:vAlign w:val="center"/>
            <w:hideMark/>
          </w:tcPr>
          <w:p w:rsidR="00AD69AB" w:rsidRPr="003750BE" w:rsidRDefault="00AD69AB"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 xml:space="preserve">А4. </w:t>
            </w:r>
            <w:r>
              <w:rPr>
                <w:rFonts w:ascii="Times New Roman" w:eastAsia="Verdana" w:hAnsi="Times New Roman" w:cs="Times New Roman"/>
                <w:color w:val="000000" w:themeColor="text1"/>
                <w:kern w:val="24"/>
                <w:sz w:val="20"/>
                <w:szCs w:val="20"/>
                <w:lang w:eastAsia="bg-BG"/>
              </w:rPr>
              <w:t xml:space="preserve">Планове за действие </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21</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45</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158</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310</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174</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i/>
                <w:sz w:val="20"/>
                <w:szCs w:val="20"/>
                <w:lang w:eastAsia="bg-BG"/>
              </w:rPr>
            </w:pPr>
            <w:r>
              <w:rPr>
                <w:rFonts w:ascii="Times New Roman" w:eastAsia="Verdana" w:hAnsi="Times New Roman" w:cs="Times New Roman"/>
                <w:i/>
                <w:kern w:val="24"/>
                <w:sz w:val="20"/>
                <w:szCs w:val="20"/>
                <w:lang w:eastAsia="bg-BG"/>
              </w:rPr>
              <w:t>52</w:t>
            </w:r>
          </w:p>
        </w:tc>
        <w:tc>
          <w:tcPr>
            <w:tcW w:w="1843" w:type="dxa"/>
            <w:vAlign w:val="center"/>
            <w:hideMark/>
          </w:tcPr>
          <w:p w:rsidR="00AD69AB" w:rsidRPr="00FA0D2B" w:rsidRDefault="00AD69AB"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 xml:space="preserve">Възходяща, </w:t>
            </w:r>
            <w:r>
              <w:rPr>
                <w:rFonts w:ascii="Times New Roman" w:hAnsi="Times New Roman" w:cs="Times New Roman"/>
                <w:sz w:val="20"/>
                <w:szCs w:val="20"/>
              </w:rPr>
              <w:t>средна</w:t>
            </w:r>
            <w:r w:rsidRPr="00FA0D2B">
              <w:rPr>
                <w:rFonts w:ascii="Times New Roman" w:hAnsi="Times New Roman" w:cs="Times New Roman"/>
                <w:sz w:val="20"/>
                <w:szCs w:val="20"/>
              </w:rPr>
              <w:t xml:space="preserve"> степен на зависимост</w:t>
            </w:r>
          </w:p>
        </w:tc>
        <w:tc>
          <w:tcPr>
            <w:tcW w:w="1275" w:type="dxa"/>
            <w:vAlign w:val="center"/>
          </w:tcPr>
          <w:p w:rsidR="00AD69AB" w:rsidRPr="003750BE"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emp</w:t>
            </w:r>
            <w:proofErr w:type="spellEnd"/>
            <w:r w:rsidRPr="000528DF">
              <w:rPr>
                <w:rFonts w:ascii="Times New Roman" w:eastAsia="Verdana" w:hAnsi="Times New Roman" w:cs="Times New Roman"/>
                <w:color w:val="000000" w:themeColor="text1"/>
                <w:kern w:val="24"/>
                <w:sz w:val="16"/>
                <w:szCs w:val="16"/>
                <w:lang w:eastAsia="bg-BG"/>
              </w:rPr>
              <w:t>.(</w:t>
            </w:r>
            <w:r>
              <w:rPr>
                <w:rFonts w:ascii="Times New Roman" w:eastAsia="Verdana" w:hAnsi="Times New Roman" w:cs="Times New Roman"/>
                <w:color w:val="000000" w:themeColor="text1"/>
                <w:kern w:val="24"/>
                <w:sz w:val="20"/>
                <w:szCs w:val="20"/>
                <w:lang w:eastAsia="bg-BG"/>
              </w:rPr>
              <w:t>0,774</w:t>
            </w:r>
            <w:r w:rsidRPr="009A02B3">
              <w:rPr>
                <w:rFonts w:ascii="Times New Roman" w:eastAsia="Verdana" w:hAnsi="Times New Roman" w:cs="Times New Roman"/>
                <w:color w:val="000000" w:themeColor="text1"/>
                <w:kern w:val="24"/>
                <w:sz w:val="20"/>
                <w:szCs w:val="20"/>
                <w:lang w:eastAsia="bg-BG"/>
              </w:rPr>
              <w:t xml:space="preserve">) </w:t>
            </w:r>
            <w:r>
              <w:rPr>
                <w:rFonts w:ascii="Times New Roman" w:eastAsia="Verdana" w:hAnsi="Times New Roman" w:cs="Times New Roman"/>
                <w:color w:val="000000" w:themeColor="text1"/>
                <w:kern w:val="24"/>
                <w:sz w:val="20"/>
                <w:szCs w:val="20"/>
                <w:lang w:eastAsia="bg-BG"/>
              </w:rPr>
              <w:t>&lt;</w:t>
            </w:r>
            <w:r w:rsidRPr="009A02B3">
              <w:rPr>
                <w:rFonts w:ascii="Times New Roman" w:eastAsia="Verdana" w:hAnsi="Times New Roman" w:cs="Times New Roman"/>
                <w:color w:val="000000" w:themeColor="text1"/>
                <w:kern w:val="24"/>
                <w:sz w:val="20"/>
                <w:szCs w:val="20"/>
                <w:lang w:eastAsia="bg-BG"/>
              </w:rPr>
              <w:t xml:space="preserve"> </w:t>
            </w:r>
            <w:proofErr w:type="spellStart"/>
            <w:r w:rsidRPr="009A02B3">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crit</w:t>
            </w:r>
            <w:proofErr w:type="spellEnd"/>
            <w:r w:rsidRPr="000528DF">
              <w:rPr>
                <w:rFonts w:ascii="Times New Roman" w:eastAsia="Verdana" w:hAnsi="Times New Roman" w:cs="Times New Roman"/>
                <w:color w:val="000000" w:themeColor="text1"/>
                <w:kern w:val="24"/>
                <w:sz w:val="16"/>
                <w:szCs w:val="16"/>
                <w:lang w:eastAsia="bg-BG"/>
              </w:rPr>
              <w:t>.</w:t>
            </w:r>
          </w:p>
        </w:tc>
      </w:tr>
      <w:tr w:rsidR="00AD69AB" w:rsidRPr="003750BE" w:rsidTr="00AE7C28">
        <w:trPr>
          <w:trHeight w:val="432"/>
        </w:trPr>
        <w:tc>
          <w:tcPr>
            <w:tcW w:w="2547" w:type="dxa"/>
            <w:vAlign w:val="center"/>
            <w:hideMark/>
          </w:tcPr>
          <w:p w:rsidR="00AD69AB" w:rsidRPr="009E68CB" w:rsidRDefault="00AD69AB" w:rsidP="006428A5">
            <w:pPr>
              <w:spacing w:line="276" w:lineRule="auto"/>
              <w:rPr>
                <w:rFonts w:ascii="Times New Roman" w:eastAsia="Times New Roman" w:hAnsi="Times New Roman" w:cs="Times New Roman"/>
                <w:sz w:val="20"/>
                <w:szCs w:val="20"/>
                <w:lang w:eastAsia="bg-BG"/>
              </w:rPr>
            </w:pPr>
            <w:r w:rsidRPr="009E68CB">
              <w:rPr>
                <w:rFonts w:ascii="Times New Roman" w:eastAsia="Verdana" w:hAnsi="Times New Roman" w:cs="Times New Roman"/>
                <w:color w:val="000000" w:themeColor="text1"/>
                <w:kern w:val="24"/>
                <w:sz w:val="20"/>
                <w:szCs w:val="20"/>
                <w:lang w:eastAsia="bg-BG"/>
              </w:rPr>
              <w:t xml:space="preserve">А5. Доклади за напредък </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24</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51</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171</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295</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165</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i/>
                <w:sz w:val="20"/>
                <w:szCs w:val="20"/>
                <w:lang w:eastAsia="bg-BG"/>
              </w:rPr>
            </w:pPr>
            <w:r>
              <w:rPr>
                <w:rFonts w:ascii="Times New Roman" w:eastAsia="Verdana" w:hAnsi="Times New Roman" w:cs="Times New Roman"/>
                <w:i/>
                <w:kern w:val="24"/>
                <w:sz w:val="20"/>
                <w:szCs w:val="20"/>
                <w:lang w:eastAsia="bg-BG"/>
              </w:rPr>
              <w:t>54</w:t>
            </w:r>
          </w:p>
        </w:tc>
        <w:tc>
          <w:tcPr>
            <w:tcW w:w="1843" w:type="dxa"/>
            <w:vAlign w:val="center"/>
            <w:hideMark/>
          </w:tcPr>
          <w:p w:rsidR="00AD69AB" w:rsidRPr="00FA0D2B" w:rsidRDefault="00AD69AB"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 xml:space="preserve">Възходяща, </w:t>
            </w:r>
            <w:r>
              <w:rPr>
                <w:rFonts w:ascii="Times New Roman" w:hAnsi="Times New Roman" w:cs="Times New Roman"/>
                <w:sz w:val="20"/>
                <w:szCs w:val="20"/>
              </w:rPr>
              <w:t>средна</w:t>
            </w:r>
            <w:r w:rsidRPr="00FA0D2B">
              <w:rPr>
                <w:rFonts w:ascii="Times New Roman" w:hAnsi="Times New Roman" w:cs="Times New Roman"/>
                <w:sz w:val="20"/>
                <w:szCs w:val="20"/>
              </w:rPr>
              <w:t xml:space="preserve"> степен на зависимост</w:t>
            </w:r>
          </w:p>
        </w:tc>
        <w:tc>
          <w:tcPr>
            <w:tcW w:w="1275" w:type="dxa"/>
            <w:vAlign w:val="center"/>
          </w:tcPr>
          <w:p w:rsidR="00AD69AB" w:rsidRPr="009E68CB"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9E68CB">
              <w:rPr>
                <w:rFonts w:ascii="Times New Roman" w:eastAsia="Verdana" w:hAnsi="Times New Roman" w:cs="Times New Roman"/>
                <w:color w:val="000000" w:themeColor="text1"/>
                <w:kern w:val="24"/>
                <w:sz w:val="20"/>
                <w:szCs w:val="20"/>
                <w:lang w:eastAsia="bg-BG"/>
              </w:rPr>
              <w:t>r</w:t>
            </w:r>
            <w:r w:rsidRPr="009E68CB">
              <w:rPr>
                <w:rFonts w:ascii="Times New Roman" w:eastAsia="Verdana" w:hAnsi="Times New Roman" w:cs="Times New Roman"/>
                <w:color w:val="000000" w:themeColor="text1"/>
                <w:kern w:val="24"/>
                <w:sz w:val="16"/>
                <w:szCs w:val="16"/>
                <w:lang w:eastAsia="bg-BG"/>
              </w:rPr>
              <w:t>emp</w:t>
            </w:r>
            <w:proofErr w:type="spellEnd"/>
            <w:r w:rsidRPr="009E68CB">
              <w:rPr>
                <w:rFonts w:ascii="Times New Roman" w:eastAsia="Verdana" w:hAnsi="Times New Roman" w:cs="Times New Roman"/>
                <w:color w:val="000000" w:themeColor="text1"/>
                <w:kern w:val="24"/>
                <w:sz w:val="16"/>
                <w:szCs w:val="16"/>
                <w:lang w:eastAsia="bg-BG"/>
              </w:rPr>
              <w:t>.(</w:t>
            </w:r>
            <w:r>
              <w:rPr>
                <w:rFonts w:ascii="Times New Roman" w:eastAsia="Verdana" w:hAnsi="Times New Roman" w:cs="Times New Roman"/>
                <w:color w:val="000000" w:themeColor="text1"/>
                <w:kern w:val="24"/>
                <w:sz w:val="20"/>
                <w:szCs w:val="20"/>
                <w:lang w:eastAsia="bg-BG"/>
              </w:rPr>
              <w:t>0,770</w:t>
            </w:r>
            <w:r w:rsidRPr="009E68CB">
              <w:rPr>
                <w:rFonts w:ascii="Times New Roman" w:eastAsia="Verdana" w:hAnsi="Times New Roman" w:cs="Times New Roman"/>
                <w:color w:val="000000" w:themeColor="text1"/>
                <w:kern w:val="24"/>
                <w:sz w:val="20"/>
                <w:szCs w:val="20"/>
                <w:lang w:eastAsia="bg-BG"/>
              </w:rPr>
              <w:t xml:space="preserve">) </w:t>
            </w:r>
            <w:r>
              <w:rPr>
                <w:rFonts w:ascii="Times New Roman" w:eastAsia="Verdana" w:hAnsi="Times New Roman" w:cs="Times New Roman"/>
                <w:color w:val="000000" w:themeColor="text1"/>
                <w:kern w:val="24"/>
                <w:sz w:val="20"/>
                <w:szCs w:val="20"/>
                <w:lang w:eastAsia="bg-BG"/>
              </w:rPr>
              <w:t>&lt;</w:t>
            </w:r>
            <w:r w:rsidRPr="009E68CB">
              <w:rPr>
                <w:rFonts w:ascii="Times New Roman" w:eastAsia="Verdana" w:hAnsi="Times New Roman" w:cs="Times New Roman"/>
                <w:color w:val="000000" w:themeColor="text1"/>
                <w:kern w:val="24"/>
                <w:sz w:val="20"/>
                <w:szCs w:val="20"/>
                <w:lang w:eastAsia="bg-BG"/>
              </w:rPr>
              <w:t xml:space="preserve"> </w:t>
            </w:r>
            <w:proofErr w:type="spellStart"/>
            <w:r w:rsidRPr="009E68CB">
              <w:rPr>
                <w:rFonts w:ascii="Times New Roman" w:eastAsia="Verdana" w:hAnsi="Times New Roman" w:cs="Times New Roman"/>
                <w:color w:val="000000" w:themeColor="text1"/>
                <w:kern w:val="24"/>
                <w:sz w:val="20"/>
                <w:szCs w:val="20"/>
                <w:lang w:eastAsia="bg-BG"/>
              </w:rPr>
              <w:t>r</w:t>
            </w:r>
            <w:r w:rsidRPr="009E68CB">
              <w:rPr>
                <w:rFonts w:ascii="Times New Roman" w:eastAsia="Verdana" w:hAnsi="Times New Roman" w:cs="Times New Roman"/>
                <w:color w:val="000000" w:themeColor="text1"/>
                <w:kern w:val="24"/>
                <w:sz w:val="16"/>
                <w:szCs w:val="16"/>
                <w:lang w:eastAsia="bg-BG"/>
              </w:rPr>
              <w:t>crit</w:t>
            </w:r>
            <w:proofErr w:type="spellEnd"/>
            <w:r w:rsidRPr="009E68CB">
              <w:rPr>
                <w:rFonts w:ascii="Times New Roman" w:eastAsia="Verdana" w:hAnsi="Times New Roman" w:cs="Times New Roman"/>
                <w:color w:val="000000" w:themeColor="text1"/>
                <w:kern w:val="24"/>
                <w:sz w:val="16"/>
                <w:szCs w:val="16"/>
                <w:lang w:eastAsia="bg-BG"/>
              </w:rPr>
              <w:t>.</w:t>
            </w:r>
          </w:p>
        </w:tc>
      </w:tr>
      <w:tr w:rsidR="00AD69AB" w:rsidRPr="003750BE" w:rsidTr="00AE7C28">
        <w:trPr>
          <w:trHeight w:val="410"/>
        </w:trPr>
        <w:tc>
          <w:tcPr>
            <w:tcW w:w="2547" w:type="dxa"/>
            <w:vAlign w:val="center"/>
            <w:hideMark/>
          </w:tcPr>
          <w:p w:rsidR="00AD69AB" w:rsidRPr="003750BE" w:rsidRDefault="00AD69AB"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 xml:space="preserve">А6. </w:t>
            </w:r>
            <w:r>
              <w:rPr>
                <w:rFonts w:ascii="Times New Roman" w:eastAsia="Verdana" w:hAnsi="Times New Roman" w:cs="Times New Roman"/>
                <w:color w:val="000000" w:themeColor="text1"/>
                <w:kern w:val="24"/>
                <w:sz w:val="20"/>
                <w:szCs w:val="20"/>
                <w:lang w:eastAsia="bg-BG"/>
              </w:rPr>
              <w:t>Приобщаване на страните, които не поемат ангажимент за вътрешнодържавни реформи</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84</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148</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148</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207</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123</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i/>
                <w:sz w:val="20"/>
                <w:szCs w:val="20"/>
                <w:lang w:eastAsia="bg-BG"/>
              </w:rPr>
            </w:pPr>
            <w:r>
              <w:rPr>
                <w:rFonts w:ascii="Times New Roman" w:eastAsia="Verdana" w:hAnsi="Times New Roman" w:cs="Times New Roman"/>
                <w:i/>
                <w:kern w:val="24"/>
                <w:sz w:val="20"/>
                <w:szCs w:val="20"/>
                <w:lang w:eastAsia="bg-BG"/>
              </w:rPr>
              <w:t>50</w:t>
            </w:r>
          </w:p>
        </w:tc>
        <w:tc>
          <w:tcPr>
            <w:tcW w:w="1843" w:type="dxa"/>
            <w:vAlign w:val="center"/>
            <w:hideMark/>
          </w:tcPr>
          <w:p w:rsidR="00AD69AB" w:rsidRPr="00FA0D2B" w:rsidRDefault="00AD69AB"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 xml:space="preserve">Възходяща, </w:t>
            </w:r>
            <w:r>
              <w:rPr>
                <w:rFonts w:ascii="Times New Roman" w:hAnsi="Times New Roman" w:cs="Times New Roman"/>
                <w:sz w:val="20"/>
                <w:szCs w:val="20"/>
              </w:rPr>
              <w:t>средна</w:t>
            </w:r>
            <w:r w:rsidRPr="00FA0D2B">
              <w:rPr>
                <w:rFonts w:ascii="Times New Roman" w:hAnsi="Times New Roman" w:cs="Times New Roman"/>
                <w:sz w:val="20"/>
                <w:szCs w:val="20"/>
              </w:rPr>
              <w:t xml:space="preserve"> степен на зависимост</w:t>
            </w:r>
          </w:p>
        </w:tc>
        <w:tc>
          <w:tcPr>
            <w:tcW w:w="1275" w:type="dxa"/>
            <w:vAlign w:val="center"/>
          </w:tcPr>
          <w:p w:rsidR="00AD69AB" w:rsidRPr="003750BE"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0528DF">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emp</w:t>
            </w:r>
            <w:proofErr w:type="spellEnd"/>
            <w:r w:rsidRPr="000528DF">
              <w:rPr>
                <w:rFonts w:ascii="Times New Roman" w:eastAsia="Verdana" w:hAnsi="Times New Roman" w:cs="Times New Roman"/>
                <w:color w:val="000000" w:themeColor="text1"/>
                <w:kern w:val="24"/>
                <w:sz w:val="20"/>
                <w:szCs w:val="20"/>
                <w:lang w:eastAsia="bg-BG"/>
              </w:rPr>
              <w:t>.(0,</w:t>
            </w:r>
            <w:r>
              <w:rPr>
                <w:rFonts w:ascii="Times New Roman" w:eastAsia="Verdana" w:hAnsi="Times New Roman" w:cs="Times New Roman"/>
                <w:color w:val="000000" w:themeColor="text1"/>
                <w:kern w:val="24"/>
                <w:sz w:val="20"/>
                <w:szCs w:val="20"/>
                <w:lang w:eastAsia="bg-BG"/>
              </w:rPr>
              <w:t>715) &lt;</w:t>
            </w:r>
            <w:r w:rsidRPr="000528DF">
              <w:rPr>
                <w:rFonts w:ascii="Times New Roman" w:eastAsia="Verdana" w:hAnsi="Times New Roman" w:cs="Times New Roman"/>
                <w:color w:val="000000" w:themeColor="text1"/>
                <w:kern w:val="24"/>
                <w:sz w:val="20"/>
                <w:szCs w:val="20"/>
                <w:lang w:eastAsia="bg-BG"/>
              </w:rPr>
              <w:t xml:space="preserve"> </w:t>
            </w:r>
            <w:proofErr w:type="spellStart"/>
            <w:r w:rsidRPr="000528DF">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crit</w:t>
            </w:r>
            <w:proofErr w:type="spellEnd"/>
            <w:r w:rsidRPr="000528DF">
              <w:rPr>
                <w:rFonts w:ascii="Times New Roman" w:eastAsia="Verdana" w:hAnsi="Times New Roman" w:cs="Times New Roman"/>
                <w:color w:val="000000" w:themeColor="text1"/>
                <w:kern w:val="24"/>
                <w:sz w:val="16"/>
                <w:szCs w:val="16"/>
                <w:lang w:eastAsia="bg-BG"/>
              </w:rPr>
              <w:t>.</w:t>
            </w:r>
          </w:p>
        </w:tc>
      </w:tr>
      <w:tr w:rsidR="00AD69AB" w:rsidRPr="003750BE" w:rsidTr="00AE7C28">
        <w:trPr>
          <w:trHeight w:val="672"/>
        </w:trPr>
        <w:tc>
          <w:tcPr>
            <w:tcW w:w="2547" w:type="dxa"/>
            <w:vAlign w:val="center"/>
            <w:hideMark/>
          </w:tcPr>
          <w:p w:rsidR="00AD69AB" w:rsidRPr="003750BE" w:rsidRDefault="00AD69AB"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 xml:space="preserve">А7. </w:t>
            </w:r>
            <w:r>
              <w:rPr>
                <w:rFonts w:ascii="Times New Roman" w:eastAsia="Verdana" w:hAnsi="Times New Roman" w:cs="Times New Roman"/>
                <w:color w:val="000000" w:themeColor="text1"/>
                <w:kern w:val="24"/>
                <w:sz w:val="20"/>
                <w:szCs w:val="20"/>
                <w:lang w:eastAsia="bg-BG"/>
              </w:rPr>
              <w:t>Изключване</w:t>
            </w:r>
            <w:r w:rsidRPr="00641A0F">
              <w:rPr>
                <w:rFonts w:ascii="Times New Roman" w:eastAsia="Verdana" w:hAnsi="Times New Roman" w:cs="Times New Roman"/>
                <w:color w:val="000000" w:themeColor="text1"/>
                <w:kern w:val="24"/>
                <w:sz w:val="20"/>
                <w:szCs w:val="20"/>
                <w:lang w:eastAsia="bg-BG"/>
              </w:rPr>
              <w:t xml:space="preserve"> на страните, които не поемат ангажимент за вътрешнодържавни реформи</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113</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173</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140</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134</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sz w:val="20"/>
                <w:szCs w:val="20"/>
                <w:lang w:eastAsia="bg-BG"/>
              </w:rPr>
            </w:pPr>
            <w:r>
              <w:rPr>
                <w:rFonts w:ascii="Times New Roman" w:eastAsia="Verdana" w:hAnsi="Times New Roman" w:cs="Times New Roman"/>
                <w:color w:val="000000" w:themeColor="text1"/>
                <w:kern w:val="24"/>
                <w:sz w:val="20"/>
                <w:szCs w:val="20"/>
                <w:lang w:eastAsia="bg-BG"/>
              </w:rPr>
              <w:t>141</w:t>
            </w:r>
          </w:p>
        </w:tc>
        <w:tc>
          <w:tcPr>
            <w:tcW w:w="567" w:type="dxa"/>
            <w:vAlign w:val="center"/>
            <w:hideMark/>
          </w:tcPr>
          <w:p w:rsidR="00AD69AB" w:rsidRPr="003750BE" w:rsidRDefault="00AD69AB" w:rsidP="006428A5">
            <w:pPr>
              <w:spacing w:line="276" w:lineRule="auto"/>
              <w:jc w:val="center"/>
              <w:rPr>
                <w:rFonts w:ascii="Times New Roman" w:eastAsia="Times New Roman" w:hAnsi="Times New Roman" w:cs="Times New Roman"/>
                <w:i/>
                <w:sz w:val="20"/>
                <w:szCs w:val="20"/>
                <w:lang w:eastAsia="bg-BG"/>
              </w:rPr>
            </w:pPr>
            <w:r>
              <w:rPr>
                <w:rFonts w:ascii="Times New Roman" w:eastAsia="Verdana" w:hAnsi="Times New Roman" w:cs="Times New Roman"/>
                <w:i/>
                <w:kern w:val="24"/>
                <w:sz w:val="20"/>
                <w:szCs w:val="20"/>
                <w:lang w:eastAsia="bg-BG"/>
              </w:rPr>
              <w:t>59</w:t>
            </w:r>
          </w:p>
        </w:tc>
        <w:tc>
          <w:tcPr>
            <w:tcW w:w="1843" w:type="dxa"/>
            <w:vAlign w:val="center"/>
            <w:hideMark/>
          </w:tcPr>
          <w:p w:rsidR="00AD69AB" w:rsidRPr="00FA0D2B" w:rsidRDefault="00AD69AB"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 xml:space="preserve">Възходяща, </w:t>
            </w:r>
            <w:r>
              <w:rPr>
                <w:rFonts w:ascii="Times New Roman" w:hAnsi="Times New Roman" w:cs="Times New Roman"/>
                <w:sz w:val="20"/>
                <w:szCs w:val="20"/>
              </w:rPr>
              <w:t>средна</w:t>
            </w:r>
            <w:r w:rsidRPr="00FA0D2B">
              <w:rPr>
                <w:rFonts w:ascii="Times New Roman" w:hAnsi="Times New Roman" w:cs="Times New Roman"/>
                <w:sz w:val="20"/>
                <w:szCs w:val="20"/>
              </w:rPr>
              <w:t xml:space="preserve"> степен на зависимост</w:t>
            </w:r>
          </w:p>
        </w:tc>
        <w:tc>
          <w:tcPr>
            <w:tcW w:w="1275" w:type="dxa"/>
            <w:vAlign w:val="center"/>
          </w:tcPr>
          <w:p w:rsidR="00AD69AB" w:rsidRPr="003750BE" w:rsidRDefault="00AD69AB"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0528DF">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emp</w:t>
            </w:r>
            <w:proofErr w:type="spellEnd"/>
            <w:r w:rsidRPr="000528DF">
              <w:rPr>
                <w:rFonts w:ascii="Times New Roman" w:eastAsia="Verdana" w:hAnsi="Times New Roman" w:cs="Times New Roman"/>
                <w:color w:val="000000" w:themeColor="text1"/>
                <w:kern w:val="24"/>
                <w:sz w:val="20"/>
                <w:szCs w:val="20"/>
                <w:lang w:eastAsia="bg-BG"/>
              </w:rPr>
              <w:t>.(0,</w:t>
            </w:r>
            <w:r>
              <w:rPr>
                <w:rFonts w:ascii="Times New Roman" w:eastAsia="Verdana" w:hAnsi="Times New Roman" w:cs="Times New Roman"/>
                <w:color w:val="000000" w:themeColor="text1"/>
                <w:kern w:val="24"/>
                <w:sz w:val="20"/>
                <w:szCs w:val="20"/>
                <w:lang w:eastAsia="bg-BG"/>
              </w:rPr>
              <w:t>614) &lt;</w:t>
            </w:r>
            <w:r w:rsidRPr="000528DF">
              <w:rPr>
                <w:rFonts w:ascii="Times New Roman" w:eastAsia="Verdana" w:hAnsi="Times New Roman" w:cs="Times New Roman"/>
                <w:color w:val="000000" w:themeColor="text1"/>
                <w:kern w:val="24"/>
                <w:sz w:val="20"/>
                <w:szCs w:val="20"/>
                <w:lang w:eastAsia="bg-BG"/>
              </w:rPr>
              <w:t xml:space="preserve"> </w:t>
            </w:r>
            <w:proofErr w:type="spellStart"/>
            <w:r w:rsidRPr="000528DF">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crit</w:t>
            </w:r>
            <w:proofErr w:type="spellEnd"/>
            <w:r w:rsidRPr="000528DF">
              <w:rPr>
                <w:rFonts w:ascii="Times New Roman" w:eastAsia="Verdana" w:hAnsi="Times New Roman" w:cs="Times New Roman"/>
                <w:color w:val="000000" w:themeColor="text1"/>
                <w:kern w:val="24"/>
                <w:sz w:val="16"/>
                <w:szCs w:val="16"/>
                <w:lang w:eastAsia="bg-BG"/>
              </w:rPr>
              <w:t>.</w:t>
            </w:r>
          </w:p>
        </w:tc>
      </w:tr>
    </w:tbl>
    <w:p w:rsidR="00AD69AB" w:rsidRPr="00FA0D2B" w:rsidRDefault="00AD69AB" w:rsidP="006428A5">
      <w:pPr>
        <w:spacing w:after="0" w:line="276" w:lineRule="auto"/>
        <w:jc w:val="both"/>
        <w:rPr>
          <w:rFonts w:ascii="Times New Roman" w:hAnsi="Times New Roman" w:cs="Times New Roman"/>
          <w:sz w:val="20"/>
          <w:szCs w:val="20"/>
        </w:rPr>
      </w:pPr>
      <w:r w:rsidRPr="00896278">
        <w:rPr>
          <w:rFonts w:ascii="Times New Roman" w:hAnsi="Times New Roman" w:cs="Times New Roman"/>
          <w:sz w:val="20"/>
          <w:szCs w:val="20"/>
        </w:rPr>
        <w:t>Степени:</w:t>
      </w:r>
      <w:r w:rsidRPr="00FA0D2B">
        <w:rPr>
          <w:rFonts w:ascii="Times New Roman" w:hAnsi="Times New Roman" w:cs="Times New Roman"/>
          <w:sz w:val="20"/>
          <w:szCs w:val="20"/>
        </w:rPr>
        <w:t xml:space="preserve"> 1- много ниска; 2 – ниска; 3 – средна; 4 – висока; 5 – много висока; 0 – отговорили с „не знам“</w:t>
      </w:r>
    </w:p>
    <w:p w:rsidR="00AD69AB" w:rsidRPr="0039155D" w:rsidRDefault="00AD69AB" w:rsidP="006428A5">
      <w:pPr>
        <w:spacing w:after="0" w:line="276" w:lineRule="auto"/>
        <w:jc w:val="both"/>
        <w:rPr>
          <w:rFonts w:ascii="Times New Roman" w:hAnsi="Times New Roman" w:cs="Times New Roman"/>
          <w:sz w:val="20"/>
          <w:szCs w:val="20"/>
        </w:rPr>
      </w:pPr>
      <w:r w:rsidRPr="009A02B3">
        <w:rPr>
          <w:rFonts w:ascii="Times New Roman" w:hAnsi="Times New Roman" w:cs="Times New Roman"/>
          <w:sz w:val="20"/>
          <w:szCs w:val="20"/>
        </w:rPr>
        <w:t xml:space="preserve">α = 0,05; </w:t>
      </w:r>
      <w:proofErr w:type="spellStart"/>
      <w:r>
        <w:rPr>
          <w:rFonts w:ascii="Times New Roman" w:hAnsi="Times New Roman" w:cs="Times New Roman"/>
          <w:sz w:val="20"/>
          <w:szCs w:val="20"/>
          <w:lang w:val="en-US"/>
        </w:rPr>
        <w:t>df</w:t>
      </w:r>
      <w:proofErr w:type="spellEnd"/>
      <w:r>
        <w:rPr>
          <w:rFonts w:ascii="Times New Roman" w:hAnsi="Times New Roman" w:cs="Times New Roman"/>
          <w:sz w:val="20"/>
          <w:szCs w:val="20"/>
        </w:rPr>
        <w:t xml:space="preserve"> </w:t>
      </w:r>
      <w:r>
        <w:rPr>
          <w:rFonts w:ascii="Times New Roman" w:hAnsi="Times New Roman" w:cs="Times New Roman"/>
          <w:sz w:val="20"/>
          <w:szCs w:val="20"/>
          <w:lang w:val="en-US"/>
        </w:rPr>
        <w:t xml:space="preserve"> = </w:t>
      </w:r>
      <w:r>
        <w:rPr>
          <w:rFonts w:ascii="Times New Roman" w:hAnsi="Times New Roman" w:cs="Times New Roman"/>
          <w:sz w:val="20"/>
          <w:szCs w:val="20"/>
        </w:rPr>
        <w:t xml:space="preserve">6-2 = </w:t>
      </w:r>
      <w:r>
        <w:rPr>
          <w:rFonts w:ascii="Times New Roman" w:hAnsi="Times New Roman" w:cs="Times New Roman"/>
          <w:sz w:val="20"/>
          <w:szCs w:val="20"/>
          <w:lang w:val="en-US"/>
        </w:rPr>
        <w:t>4</w:t>
      </w:r>
      <w:r w:rsidRPr="009A02B3">
        <w:rPr>
          <w:rFonts w:ascii="Times New Roman" w:hAnsi="Times New Roman" w:cs="Times New Roman"/>
          <w:sz w:val="20"/>
          <w:szCs w:val="20"/>
          <w:lang w:val="en-US"/>
        </w:rPr>
        <w:t xml:space="preserve">; </w:t>
      </w:r>
      <w:proofErr w:type="spellStart"/>
      <w:r w:rsidRPr="009A02B3">
        <w:rPr>
          <w:rFonts w:ascii="Times New Roman" w:hAnsi="Times New Roman" w:cs="Times New Roman"/>
          <w:sz w:val="20"/>
          <w:szCs w:val="20"/>
          <w:lang w:val="en-US"/>
        </w:rPr>
        <w:t>r</w:t>
      </w:r>
      <w:r w:rsidRPr="009A02B3">
        <w:rPr>
          <w:rFonts w:ascii="Times New Roman" w:hAnsi="Times New Roman" w:cs="Times New Roman"/>
          <w:sz w:val="16"/>
          <w:szCs w:val="16"/>
          <w:lang w:val="en-US"/>
        </w:rPr>
        <w:t>crit</w:t>
      </w:r>
      <w:proofErr w:type="spellEnd"/>
      <w:r w:rsidRPr="009A02B3">
        <w:rPr>
          <w:rFonts w:ascii="Times New Roman" w:hAnsi="Times New Roman" w:cs="Times New Roman"/>
          <w:sz w:val="16"/>
          <w:szCs w:val="16"/>
          <w:lang w:val="en-US"/>
        </w:rPr>
        <w:t>.</w:t>
      </w:r>
      <w:r w:rsidRPr="009A02B3">
        <w:rPr>
          <w:rFonts w:ascii="Times New Roman" w:hAnsi="Times New Roman" w:cs="Times New Roman"/>
          <w:sz w:val="20"/>
          <w:szCs w:val="20"/>
          <w:lang w:val="en-US"/>
        </w:rPr>
        <w:t xml:space="preserve"> = 0,8</w:t>
      </w:r>
      <w:r>
        <w:rPr>
          <w:rFonts w:ascii="Times New Roman" w:hAnsi="Times New Roman" w:cs="Times New Roman"/>
          <w:sz w:val="20"/>
          <w:szCs w:val="20"/>
        </w:rPr>
        <w:t>11</w:t>
      </w:r>
    </w:p>
    <w:p w:rsidR="00AD69AB" w:rsidRPr="007D67DD" w:rsidRDefault="00AD69AB" w:rsidP="006428A5">
      <w:pPr>
        <w:spacing w:after="0" w:line="276" w:lineRule="auto"/>
        <w:rPr>
          <w:rFonts w:ascii="Times New Roman" w:hAnsi="Times New Roman" w:cs="Times New Roman"/>
        </w:rPr>
      </w:pPr>
    </w:p>
    <w:p w:rsidR="009A02B3" w:rsidRPr="00896278" w:rsidRDefault="009A02B3" w:rsidP="006428A5">
      <w:pPr>
        <w:spacing w:after="0" w:line="276" w:lineRule="auto"/>
        <w:jc w:val="right"/>
        <w:rPr>
          <w:rFonts w:ascii="Times New Roman" w:hAnsi="Times New Roman" w:cs="Times New Roman"/>
          <w:i/>
          <w:sz w:val="20"/>
          <w:szCs w:val="20"/>
        </w:rPr>
      </w:pPr>
      <w:r w:rsidRPr="00896278">
        <w:rPr>
          <w:rFonts w:ascii="Times New Roman" w:hAnsi="Times New Roman" w:cs="Times New Roman"/>
          <w:i/>
          <w:sz w:val="20"/>
          <w:szCs w:val="20"/>
        </w:rPr>
        <w:t xml:space="preserve">Таблица 3. Степен на зависимост и </w:t>
      </w:r>
      <w:r w:rsidR="00EC1F49" w:rsidRPr="00896278">
        <w:rPr>
          <w:rFonts w:ascii="Times New Roman" w:hAnsi="Times New Roman" w:cs="Times New Roman"/>
          <w:i/>
          <w:sz w:val="20"/>
          <w:szCs w:val="20"/>
        </w:rPr>
        <w:t xml:space="preserve">равнище на </w:t>
      </w:r>
      <w:r w:rsidRPr="00896278">
        <w:rPr>
          <w:rFonts w:ascii="Times New Roman" w:hAnsi="Times New Roman" w:cs="Times New Roman"/>
          <w:i/>
          <w:sz w:val="20"/>
          <w:szCs w:val="20"/>
        </w:rPr>
        <w:t xml:space="preserve">значимост на </w:t>
      </w:r>
      <w:proofErr w:type="spellStart"/>
      <w:r w:rsidRPr="00896278">
        <w:rPr>
          <w:rFonts w:ascii="Times New Roman" w:hAnsi="Times New Roman" w:cs="Times New Roman"/>
          <w:i/>
          <w:sz w:val="20"/>
          <w:szCs w:val="20"/>
        </w:rPr>
        <w:t>корелационната</w:t>
      </w:r>
      <w:proofErr w:type="spellEnd"/>
      <w:r w:rsidRPr="00896278">
        <w:rPr>
          <w:rFonts w:ascii="Times New Roman" w:hAnsi="Times New Roman" w:cs="Times New Roman"/>
          <w:i/>
          <w:sz w:val="20"/>
          <w:szCs w:val="20"/>
        </w:rPr>
        <w:t xml:space="preserve"> връзка в рамките на въпроса, отнасящ се към КЕ 3</w:t>
      </w:r>
    </w:p>
    <w:tbl>
      <w:tblPr>
        <w:tblStyle w:val="af0"/>
        <w:tblW w:w="9067" w:type="dxa"/>
        <w:tblLayout w:type="fixed"/>
        <w:tblLook w:val="0420" w:firstRow="1" w:lastRow="0" w:firstColumn="0" w:lastColumn="0" w:noHBand="0" w:noVBand="1"/>
      </w:tblPr>
      <w:tblGrid>
        <w:gridCol w:w="2830"/>
        <w:gridCol w:w="567"/>
        <w:gridCol w:w="567"/>
        <w:gridCol w:w="567"/>
        <w:gridCol w:w="567"/>
        <w:gridCol w:w="567"/>
        <w:gridCol w:w="567"/>
        <w:gridCol w:w="1560"/>
        <w:gridCol w:w="1275"/>
      </w:tblGrid>
      <w:tr w:rsidR="007D67DD" w:rsidRPr="003750BE" w:rsidTr="009A02B3">
        <w:trPr>
          <w:trHeight w:val="269"/>
        </w:trPr>
        <w:tc>
          <w:tcPr>
            <w:tcW w:w="9067" w:type="dxa"/>
            <w:gridSpan w:val="9"/>
            <w:vAlign w:val="center"/>
            <w:hideMark/>
          </w:tcPr>
          <w:p w:rsidR="007D67DD" w:rsidRPr="00314FF4" w:rsidRDefault="007D67DD" w:rsidP="006428A5">
            <w:pPr>
              <w:spacing w:line="276" w:lineRule="auto"/>
              <w:jc w:val="center"/>
              <w:rPr>
                <w:rFonts w:ascii="Times New Roman" w:eastAsia="Verdana" w:hAnsi="Times New Roman" w:cs="Times New Roman"/>
                <w:b/>
                <w:bCs/>
                <w:color w:val="000000" w:themeColor="text1"/>
                <w:kern w:val="24"/>
                <w:sz w:val="20"/>
                <w:szCs w:val="20"/>
                <w:lang w:eastAsia="bg-BG"/>
              </w:rPr>
            </w:pPr>
            <w:r w:rsidRPr="00314FF4">
              <w:rPr>
                <w:rFonts w:ascii="Times New Roman" w:eastAsia="Verdana" w:hAnsi="Times New Roman" w:cs="Times New Roman"/>
                <w:b/>
                <w:bCs/>
                <w:color w:val="000000" w:themeColor="text1"/>
                <w:kern w:val="24"/>
                <w:sz w:val="20"/>
                <w:szCs w:val="20"/>
                <w:lang w:eastAsia="bg-BG"/>
              </w:rPr>
              <w:t>В каква степен следните сфери трябва да бъдат приоритетни за ЕПС?</w:t>
            </w:r>
          </w:p>
        </w:tc>
      </w:tr>
      <w:tr w:rsidR="00F32E91" w:rsidRPr="003750BE" w:rsidTr="00314FF4">
        <w:trPr>
          <w:trHeight w:val="301"/>
        </w:trPr>
        <w:tc>
          <w:tcPr>
            <w:tcW w:w="2830" w:type="dxa"/>
            <w:vMerge w:val="restart"/>
            <w:hideMark/>
          </w:tcPr>
          <w:p w:rsidR="00F32E91" w:rsidRPr="003750BE" w:rsidRDefault="00F32E91" w:rsidP="006428A5">
            <w:pPr>
              <w:spacing w:line="276" w:lineRule="auto"/>
              <w:rPr>
                <w:rFonts w:ascii="Times New Roman" w:eastAsia="Times New Roman" w:hAnsi="Times New Roman" w:cs="Times New Roman"/>
                <w:sz w:val="20"/>
                <w:szCs w:val="20"/>
                <w:lang w:eastAsia="bg-BG"/>
              </w:rPr>
            </w:pPr>
          </w:p>
        </w:tc>
        <w:tc>
          <w:tcPr>
            <w:tcW w:w="3402" w:type="dxa"/>
            <w:gridSpan w:val="6"/>
            <w:vAlign w:val="center"/>
            <w:hideMark/>
          </w:tcPr>
          <w:p w:rsidR="00F32E91" w:rsidRPr="003750BE" w:rsidRDefault="00F32E91" w:rsidP="006428A5">
            <w:pPr>
              <w:spacing w:line="276" w:lineRule="auto"/>
              <w:jc w:val="center"/>
              <w:rPr>
                <w:rFonts w:ascii="Times New Roman" w:eastAsia="Times New Roman" w:hAnsi="Times New Roman" w:cs="Times New Roman"/>
                <w:i/>
                <w:sz w:val="20"/>
                <w:szCs w:val="20"/>
                <w:lang w:val="en-US" w:eastAsia="bg-BG"/>
              </w:rPr>
            </w:pPr>
            <w:r>
              <w:rPr>
                <w:rFonts w:ascii="Times New Roman" w:eastAsia="Verdana" w:hAnsi="Times New Roman" w:cs="Times New Roman"/>
                <w:color w:val="000000" w:themeColor="text1"/>
                <w:kern w:val="24"/>
                <w:sz w:val="20"/>
                <w:szCs w:val="20"/>
                <w:lang w:eastAsia="bg-BG"/>
              </w:rPr>
              <w:t>Числова стойност на степента</w:t>
            </w:r>
          </w:p>
        </w:tc>
        <w:tc>
          <w:tcPr>
            <w:tcW w:w="1560" w:type="dxa"/>
            <w:vMerge w:val="restart"/>
            <w:vAlign w:val="center"/>
            <w:hideMark/>
          </w:tcPr>
          <w:p w:rsidR="00F32E91" w:rsidRPr="007D67DD" w:rsidRDefault="00F32E91" w:rsidP="006428A5">
            <w:pPr>
              <w:spacing w:line="276" w:lineRule="auto"/>
              <w:jc w:val="center"/>
              <w:rPr>
                <w:rFonts w:ascii="Times New Roman" w:eastAsia="Verdana" w:hAnsi="Times New Roman" w:cs="Times New Roman"/>
                <w:color w:val="000000" w:themeColor="text1"/>
                <w:kern w:val="24"/>
                <w:sz w:val="20"/>
                <w:szCs w:val="20"/>
                <w:lang w:val="en-US" w:eastAsia="bg-BG"/>
              </w:rPr>
            </w:pPr>
            <w:r>
              <w:rPr>
                <w:rFonts w:ascii="Times New Roman" w:eastAsia="Verdana" w:hAnsi="Times New Roman" w:cs="Times New Roman"/>
                <w:color w:val="000000" w:themeColor="text1"/>
                <w:kern w:val="24"/>
                <w:sz w:val="20"/>
                <w:szCs w:val="20"/>
                <w:lang w:eastAsia="bg-BG"/>
              </w:rPr>
              <w:t xml:space="preserve">Корелация </w:t>
            </w: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r)</w:t>
            </w:r>
          </w:p>
        </w:tc>
        <w:tc>
          <w:tcPr>
            <w:tcW w:w="1275" w:type="dxa"/>
            <w:vMerge w:val="restart"/>
            <w:vAlign w:val="center"/>
          </w:tcPr>
          <w:p w:rsidR="00F32E91"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r>
              <w:rPr>
                <w:rFonts w:ascii="Times New Roman" w:eastAsia="Verdana" w:hAnsi="Times New Roman" w:cs="Times New Roman"/>
                <w:color w:val="000000" w:themeColor="text1"/>
                <w:kern w:val="24"/>
                <w:sz w:val="20"/>
                <w:szCs w:val="20"/>
                <w:lang w:eastAsia="bg-BG"/>
              </w:rPr>
              <w:t>Равнище на значимост</w:t>
            </w:r>
          </w:p>
          <w:p w:rsidR="00F32E91" w:rsidRPr="00314FF4" w:rsidRDefault="00F32E91" w:rsidP="006428A5">
            <w:pPr>
              <w:spacing w:line="276" w:lineRule="auto"/>
              <w:jc w:val="center"/>
              <w:rPr>
                <w:rFonts w:ascii="Times New Roman" w:eastAsia="Verdana" w:hAnsi="Times New Roman" w:cs="Times New Roman"/>
                <w:b/>
                <w:color w:val="000000" w:themeColor="text1"/>
                <w:kern w:val="24"/>
                <w:sz w:val="20"/>
                <w:szCs w:val="20"/>
                <w:lang w:eastAsia="bg-BG"/>
              </w:rPr>
            </w:pPr>
            <w:r w:rsidRPr="00314FF4">
              <w:rPr>
                <w:rFonts w:ascii="Times New Roman" w:eastAsia="Verdana" w:hAnsi="Times New Roman" w:cs="Times New Roman"/>
                <w:b/>
                <w:color w:val="000000" w:themeColor="text1"/>
                <w:kern w:val="24"/>
                <w:sz w:val="20"/>
                <w:szCs w:val="20"/>
                <w:lang w:eastAsia="bg-BG"/>
              </w:rPr>
              <w:t>(α)</w:t>
            </w:r>
          </w:p>
        </w:tc>
      </w:tr>
      <w:tr w:rsidR="00F32E91" w:rsidRPr="003750BE" w:rsidTr="00314FF4">
        <w:trPr>
          <w:trHeight w:val="419"/>
        </w:trPr>
        <w:tc>
          <w:tcPr>
            <w:tcW w:w="2830" w:type="dxa"/>
            <w:vMerge/>
          </w:tcPr>
          <w:p w:rsidR="00F32E91" w:rsidRPr="003750BE" w:rsidRDefault="00F32E91" w:rsidP="006428A5">
            <w:pPr>
              <w:spacing w:line="276" w:lineRule="auto"/>
              <w:rPr>
                <w:rFonts w:ascii="Times New Roman" w:eastAsia="Times New Roman" w:hAnsi="Times New Roman" w:cs="Times New Roman"/>
                <w:sz w:val="20"/>
                <w:szCs w:val="20"/>
                <w:lang w:eastAsia="bg-BG"/>
              </w:rPr>
            </w:pPr>
          </w:p>
        </w:tc>
        <w:tc>
          <w:tcPr>
            <w:tcW w:w="567" w:type="dxa"/>
            <w:vAlign w:val="center"/>
          </w:tcPr>
          <w:p w:rsidR="00F32E91" w:rsidRPr="00314FF4" w:rsidRDefault="00F32E91"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1</w:t>
            </w:r>
            <w:r w:rsidRPr="00314FF4">
              <w:rPr>
                <w:rFonts w:ascii="Times New Roman" w:eastAsia="Verdana" w:hAnsi="Times New Roman" w:cs="Times New Roman"/>
                <w:b/>
                <w:color w:val="000000" w:themeColor="text1"/>
                <w:kern w:val="24"/>
                <w:sz w:val="20"/>
                <w:szCs w:val="20"/>
                <w:lang w:eastAsia="bg-BG"/>
              </w:rPr>
              <w:t>)</w:t>
            </w:r>
          </w:p>
        </w:tc>
        <w:tc>
          <w:tcPr>
            <w:tcW w:w="567" w:type="dxa"/>
            <w:vAlign w:val="center"/>
          </w:tcPr>
          <w:p w:rsidR="00F32E91" w:rsidRPr="00314FF4" w:rsidRDefault="00F32E91"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2</w:t>
            </w:r>
            <w:r w:rsidRPr="00314FF4">
              <w:rPr>
                <w:rFonts w:ascii="Times New Roman" w:eastAsia="Verdana" w:hAnsi="Times New Roman" w:cs="Times New Roman"/>
                <w:b/>
                <w:color w:val="000000" w:themeColor="text1"/>
                <w:kern w:val="24"/>
                <w:sz w:val="20"/>
                <w:szCs w:val="20"/>
                <w:lang w:eastAsia="bg-BG"/>
              </w:rPr>
              <w:t>)</w:t>
            </w:r>
          </w:p>
        </w:tc>
        <w:tc>
          <w:tcPr>
            <w:tcW w:w="567" w:type="dxa"/>
            <w:vAlign w:val="center"/>
          </w:tcPr>
          <w:p w:rsidR="00F32E91" w:rsidRPr="00314FF4" w:rsidRDefault="00F32E91"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(3)</w:t>
            </w:r>
          </w:p>
        </w:tc>
        <w:tc>
          <w:tcPr>
            <w:tcW w:w="567" w:type="dxa"/>
            <w:vAlign w:val="center"/>
          </w:tcPr>
          <w:p w:rsidR="00F32E91" w:rsidRPr="00314FF4" w:rsidRDefault="00F32E91"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4</w:t>
            </w:r>
            <w:r w:rsidRPr="00314FF4">
              <w:rPr>
                <w:rFonts w:ascii="Times New Roman" w:eastAsia="Verdana" w:hAnsi="Times New Roman" w:cs="Times New Roman"/>
                <w:b/>
                <w:color w:val="000000" w:themeColor="text1"/>
                <w:kern w:val="24"/>
                <w:sz w:val="20"/>
                <w:szCs w:val="20"/>
                <w:lang w:eastAsia="bg-BG"/>
              </w:rPr>
              <w:t>)</w:t>
            </w:r>
          </w:p>
        </w:tc>
        <w:tc>
          <w:tcPr>
            <w:tcW w:w="567" w:type="dxa"/>
            <w:vAlign w:val="center"/>
          </w:tcPr>
          <w:p w:rsidR="00F32E91" w:rsidRPr="00314FF4" w:rsidRDefault="00F32E91" w:rsidP="006428A5">
            <w:pPr>
              <w:spacing w:line="276" w:lineRule="auto"/>
              <w:jc w:val="center"/>
              <w:rPr>
                <w:rFonts w:ascii="Times New Roman" w:eastAsia="Times New Roman" w:hAnsi="Times New Roman" w:cs="Times New Roman"/>
                <w:b/>
                <w:sz w:val="20"/>
                <w:szCs w:val="20"/>
                <w:lang w:eastAsia="bg-BG"/>
              </w:rPr>
            </w:pPr>
            <w:r w:rsidRPr="00314FF4">
              <w:rPr>
                <w:rFonts w:ascii="Times New Roman" w:eastAsia="Verdana" w:hAnsi="Times New Roman" w:cs="Times New Roman"/>
                <w:b/>
                <w:color w:val="000000" w:themeColor="text1"/>
                <w:kern w:val="24"/>
                <w:sz w:val="20"/>
                <w:szCs w:val="20"/>
                <w:lang w:eastAsia="bg-BG"/>
              </w:rPr>
              <w:t>(</w:t>
            </w:r>
            <w:r w:rsidRPr="00314FF4">
              <w:rPr>
                <w:rFonts w:ascii="Times New Roman" w:eastAsia="Verdana" w:hAnsi="Times New Roman" w:cs="Times New Roman"/>
                <w:b/>
                <w:color w:val="000000" w:themeColor="text1"/>
                <w:kern w:val="24"/>
                <w:sz w:val="20"/>
                <w:szCs w:val="20"/>
                <w:lang w:val="en-US" w:eastAsia="bg-BG"/>
              </w:rPr>
              <w:t>5</w:t>
            </w:r>
            <w:r w:rsidRPr="00314FF4">
              <w:rPr>
                <w:rFonts w:ascii="Times New Roman" w:eastAsia="Verdana" w:hAnsi="Times New Roman" w:cs="Times New Roman"/>
                <w:b/>
                <w:color w:val="000000" w:themeColor="text1"/>
                <w:kern w:val="24"/>
                <w:sz w:val="20"/>
                <w:szCs w:val="20"/>
                <w:lang w:eastAsia="bg-BG"/>
              </w:rPr>
              <w:t>)</w:t>
            </w:r>
          </w:p>
        </w:tc>
        <w:tc>
          <w:tcPr>
            <w:tcW w:w="567" w:type="dxa"/>
            <w:vAlign w:val="center"/>
          </w:tcPr>
          <w:p w:rsidR="00F32E91" w:rsidRPr="003750BE" w:rsidRDefault="00F32E91" w:rsidP="006428A5">
            <w:pPr>
              <w:spacing w:line="276" w:lineRule="auto"/>
              <w:jc w:val="center"/>
              <w:rPr>
                <w:rFonts w:ascii="Times New Roman" w:eastAsia="Times New Roman" w:hAnsi="Times New Roman" w:cs="Times New Roman"/>
                <w:i/>
                <w:sz w:val="20"/>
                <w:szCs w:val="20"/>
                <w:lang w:val="en-US" w:eastAsia="bg-BG"/>
              </w:rPr>
            </w:pPr>
            <w:r>
              <w:rPr>
                <w:rFonts w:ascii="Times New Roman" w:eastAsia="Verdana" w:hAnsi="Times New Roman" w:cs="Times New Roman"/>
                <w:i/>
                <w:kern w:val="24"/>
                <w:sz w:val="20"/>
                <w:szCs w:val="20"/>
                <w:lang w:val="en-US" w:eastAsia="bg-BG"/>
              </w:rPr>
              <w:t>(0)</w:t>
            </w:r>
          </w:p>
        </w:tc>
        <w:tc>
          <w:tcPr>
            <w:tcW w:w="1560" w:type="dxa"/>
            <w:vMerge/>
            <w:vAlign w:val="center"/>
          </w:tcPr>
          <w:p w:rsidR="00F32E91"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p>
        </w:tc>
        <w:tc>
          <w:tcPr>
            <w:tcW w:w="1275" w:type="dxa"/>
            <w:vMerge/>
            <w:vAlign w:val="center"/>
          </w:tcPr>
          <w:p w:rsidR="00F32E91"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p>
        </w:tc>
      </w:tr>
      <w:tr w:rsidR="00F32E91" w:rsidRPr="003750BE" w:rsidTr="00314FF4">
        <w:trPr>
          <w:trHeight w:val="429"/>
        </w:trPr>
        <w:tc>
          <w:tcPr>
            <w:tcW w:w="2830" w:type="dxa"/>
            <w:vAlign w:val="center"/>
            <w:hideMark/>
          </w:tcPr>
          <w:p w:rsidR="00F32E91" w:rsidRPr="003750BE" w:rsidRDefault="00F32E91"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А1. Насърчаване на търговията и устойчиво икономическо развитие</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13</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14</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68</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330</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327</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i/>
                <w:sz w:val="20"/>
                <w:szCs w:val="20"/>
                <w:lang w:eastAsia="bg-BG"/>
              </w:rPr>
            </w:pPr>
            <w:r w:rsidRPr="003750BE">
              <w:rPr>
                <w:rFonts w:ascii="Times New Roman" w:eastAsia="Verdana" w:hAnsi="Times New Roman" w:cs="Times New Roman"/>
                <w:i/>
                <w:kern w:val="24"/>
                <w:sz w:val="20"/>
                <w:szCs w:val="20"/>
                <w:lang w:eastAsia="bg-BG"/>
              </w:rPr>
              <w:t>8</w:t>
            </w:r>
          </w:p>
        </w:tc>
        <w:tc>
          <w:tcPr>
            <w:tcW w:w="1560" w:type="dxa"/>
            <w:vAlign w:val="center"/>
            <w:hideMark/>
          </w:tcPr>
          <w:p w:rsidR="00F32E91" w:rsidRPr="00FA0D2B"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r w:rsidRPr="00FA0D2B">
              <w:rPr>
                <w:rFonts w:ascii="Times New Roman" w:eastAsia="Verdana" w:hAnsi="Times New Roman" w:cs="Times New Roman"/>
                <w:color w:val="000000" w:themeColor="text1"/>
                <w:kern w:val="24"/>
                <w:sz w:val="20"/>
                <w:szCs w:val="20"/>
                <w:lang w:eastAsia="bg-BG"/>
              </w:rPr>
              <w:t>Възходяща, силна степен на зависимост</w:t>
            </w:r>
          </w:p>
        </w:tc>
        <w:tc>
          <w:tcPr>
            <w:tcW w:w="1275" w:type="dxa"/>
            <w:vAlign w:val="center"/>
          </w:tcPr>
          <w:p w:rsidR="00F32E91" w:rsidRPr="007B1969" w:rsidRDefault="00F32E91" w:rsidP="006428A5">
            <w:pPr>
              <w:spacing w:line="276" w:lineRule="auto"/>
              <w:jc w:val="center"/>
              <w:rPr>
                <w:rFonts w:ascii="Times New Roman" w:eastAsia="Verdana" w:hAnsi="Times New Roman" w:cs="Times New Roman"/>
                <w:color w:val="000000" w:themeColor="text1"/>
                <w:kern w:val="24"/>
                <w:sz w:val="20"/>
                <w:szCs w:val="20"/>
                <w:lang w:val="en-US" w:eastAsia="bg-BG"/>
              </w:rPr>
            </w:pPr>
            <w:proofErr w:type="gramStart"/>
            <w:r>
              <w:rPr>
                <w:rFonts w:ascii="Times New Roman" w:eastAsia="Verdana" w:hAnsi="Times New Roman" w:cs="Times New Roman"/>
                <w:color w:val="000000" w:themeColor="text1"/>
                <w:kern w:val="24"/>
                <w:sz w:val="20"/>
                <w:szCs w:val="20"/>
                <w:lang w:val="en-US" w:eastAsia="bg-BG"/>
              </w:rPr>
              <w:t>r</w:t>
            </w:r>
            <w:proofErr w:type="spellStart"/>
            <w:r w:rsidRPr="007B1969">
              <w:rPr>
                <w:rFonts w:ascii="Times New Roman" w:eastAsia="Verdana" w:hAnsi="Times New Roman" w:cs="Times New Roman"/>
                <w:color w:val="000000" w:themeColor="text1"/>
                <w:kern w:val="24"/>
                <w:sz w:val="16"/>
                <w:szCs w:val="16"/>
                <w:lang w:eastAsia="bg-BG"/>
              </w:rPr>
              <w:t>emp</w:t>
            </w:r>
            <w:proofErr w:type="spellEnd"/>
            <w:r>
              <w:rPr>
                <w:rFonts w:ascii="Times New Roman" w:eastAsia="Verdana" w:hAnsi="Times New Roman" w:cs="Times New Roman"/>
                <w:color w:val="000000" w:themeColor="text1"/>
                <w:kern w:val="24"/>
                <w:sz w:val="16"/>
                <w:szCs w:val="16"/>
                <w:lang w:eastAsia="bg-BG"/>
              </w:rPr>
              <w:t>.</w:t>
            </w:r>
            <w:r w:rsidRPr="007B1969">
              <w:rPr>
                <w:rFonts w:ascii="Times New Roman" w:eastAsia="Verdana" w:hAnsi="Times New Roman" w:cs="Times New Roman"/>
                <w:color w:val="000000" w:themeColor="text1"/>
                <w:kern w:val="24"/>
                <w:sz w:val="20"/>
                <w:szCs w:val="20"/>
                <w:lang w:eastAsia="bg-BG"/>
              </w:rPr>
              <w:t>(</w:t>
            </w:r>
            <w:proofErr w:type="gramEnd"/>
            <w:r w:rsidRPr="007B1969">
              <w:rPr>
                <w:rFonts w:ascii="Times New Roman" w:eastAsia="Verdana" w:hAnsi="Times New Roman" w:cs="Times New Roman"/>
                <w:color w:val="000000" w:themeColor="text1"/>
                <w:kern w:val="24"/>
                <w:sz w:val="20"/>
                <w:szCs w:val="20"/>
                <w:lang w:eastAsia="bg-BG"/>
              </w:rPr>
              <w:t>0,</w:t>
            </w:r>
            <w:r w:rsidR="0039155D">
              <w:rPr>
                <w:rFonts w:ascii="Times New Roman" w:eastAsia="Verdana" w:hAnsi="Times New Roman" w:cs="Times New Roman"/>
                <w:color w:val="000000" w:themeColor="text1"/>
                <w:kern w:val="24"/>
                <w:sz w:val="20"/>
                <w:szCs w:val="20"/>
                <w:lang w:eastAsia="bg-BG"/>
              </w:rPr>
              <w:t>880</w:t>
            </w:r>
            <w:r w:rsidRPr="007B1969">
              <w:rPr>
                <w:rFonts w:ascii="Times New Roman" w:eastAsia="Verdana" w:hAnsi="Times New Roman" w:cs="Times New Roman"/>
                <w:color w:val="000000" w:themeColor="text1"/>
                <w:kern w:val="24"/>
                <w:sz w:val="20"/>
                <w:szCs w:val="20"/>
                <w:lang w:eastAsia="bg-BG"/>
              </w:rPr>
              <w:t>)</w:t>
            </w:r>
            <w:r>
              <w:rPr>
                <w:rFonts w:ascii="Times New Roman" w:eastAsia="Verdana" w:hAnsi="Times New Roman" w:cs="Times New Roman"/>
                <w:color w:val="000000" w:themeColor="text1"/>
                <w:kern w:val="24"/>
                <w:sz w:val="20"/>
                <w:szCs w:val="20"/>
                <w:lang w:eastAsia="bg-BG"/>
              </w:rPr>
              <w:t xml:space="preserve"> </w:t>
            </w:r>
            <w:r w:rsidRPr="00FA0D2B">
              <w:rPr>
                <w:rFonts w:ascii="Times New Roman" w:eastAsia="Verdana" w:hAnsi="Times New Roman" w:cs="Times New Roman"/>
                <w:b/>
                <w:color w:val="000000" w:themeColor="text1"/>
                <w:kern w:val="24"/>
                <w:sz w:val="20"/>
                <w:szCs w:val="20"/>
                <w:lang w:eastAsia="bg-BG"/>
              </w:rPr>
              <w:t>&gt;</w:t>
            </w:r>
            <w:r>
              <w:rPr>
                <w:rFonts w:ascii="Times New Roman" w:eastAsia="Verdana" w:hAnsi="Times New Roman" w:cs="Times New Roman"/>
                <w:color w:val="000000" w:themeColor="text1"/>
                <w:kern w:val="24"/>
                <w:sz w:val="20"/>
                <w:szCs w:val="20"/>
                <w:lang w:eastAsia="bg-BG"/>
              </w:rPr>
              <w:t xml:space="preserve"> </w:t>
            </w:r>
            <w:proofErr w:type="spellStart"/>
            <w:r w:rsidRPr="007B1969">
              <w:rPr>
                <w:rFonts w:ascii="Times New Roman" w:eastAsia="Verdana" w:hAnsi="Times New Roman" w:cs="Times New Roman"/>
                <w:color w:val="000000" w:themeColor="text1"/>
                <w:kern w:val="24"/>
                <w:sz w:val="20"/>
                <w:szCs w:val="20"/>
                <w:lang w:eastAsia="bg-BG"/>
              </w:rPr>
              <w:t>r</w:t>
            </w:r>
            <w:r w:rsidRPr="007B1969">
              <w:rPr>
                <w:rFonts w:ascii="Times New Roman" w:eastAsia="Verdana" w:hAnsi="Times New Roman" w:cs="Times New Roman"/>
                <w:color w:val="000000" w:themeColor="text1"/>
                <w:kern w:val="24"/>
                <w:sz w:val="16"/>
                <w:szCs w:val="16"/>
                <w:lang w:eastAsia="bg-BG"/>
              </w:rPr>
              <w:t>crit</w:t>
            </w:r>
            <w:proofErr w:type="spellEnd"/>
            <w:r>
              <w:rPr>
                <w:rFonts w:ascii="Times New Roman" w:eastAsia="Verdana" w:hAnsi="Times New Roman" w:cs="Times New Roman"/>
                <w:color w:val="000000" w:themeColor="text1"/>
                <w:kern w:val="24"/>
                <w:sz w:val="16"/>
                <w:szCs w:val="16"/>
                <w:lang w:val="en-US" w:eastAsia="bg-BG"/>
              </w:rPr>
              <w:t>.</w:t>
            </w:r>
          </w:p>
        </w:tc>
      </w:tr>
      <w:tr w:rsidR="00F32E91" w:rsidRPr="003750BE" w:rsidTr="00205DBC">
        <w:trPr>
          <w:trHeight w:val="552"/>
        </w:trPr>
        <w:tc>
          <w:tcPr>
            <w:tcW w:w="2830" w:type="dxa"/>
            <w:vAlign w:val="center"/>
            <w:hideMark/>
          </w:tcPr>
          <w:p w:rsidR="00F32E91" w:rsidRPr="003750BE" w:rsidRDefault="00F32E91"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А2. Подобряване на връзката между устойчив транспорт и енергийна ефективност</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11</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19</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104</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349</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262</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i/>
                <w:sz w:val="20"/>
                <w:szCs w:val="20"/>
                <w:lang w:eastAsia="bg-BG"/>
              </w:rPr>
            </w:pPr>
            <w:r w:rsidRPr="003750BE">
              <w:rPr>
                <w:rFonts w:ascii="Times New Roman" w:eastAsia="Verdana" w:hAnsi="Times New Roman" w:cs="Times New Roman"/>
                <w:i/>
                <w:kern w:val="24"/>
                <w:sz w:val="20"/>
                <w:szCs w:val="20"/>
                <w:lang w:eastAsia="bg-BG"/>
              </w:rPr>
              <w:t>15</w:t>
            </w:r>
          </w:p>
        </w:tc>
        <w:tc>
          <w:tcPr>
            <w:tcW w:w="1560" w:type="dxa"/>
            <w:vAlign w:val="center"/>
            <w:hideMark/>
          </w:tcPr>
          <w:p w:rsidR="00F32E91" w:rsidRPr="00FA0D2B"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r w:rsidRPr="00FA0D2B">
              <w:rPr>
                <w:rFonts w:ascii="Times New Roman" w:eastAsia="Verdana" w:hAnsi="Times New Roman" w:cs="Times New Roman"/>
                <w:color w:val="000000" w:themeColor="text1"/>
                <w:kern w:val="24"/>
                <w:sz w:val="20"/>
                <w:szCs w:val="20"/>
                <w:lang w:eastAsia="bg-BG"/>
              </w:rPr>
              <w:t>Възходяща, силна степен на зависимост</w:t>
            </w:r>
          </w:p>
        </w:tc>
        <w:tc>
          <w:tcPr>
            <w:tcW w:w="1275" w:type="dxa"/>
            <w:vAlign w:val="center"/>
          </w:tcPr>
          <w:p w:rsidR="00F32E91" w:rsidRPr="003750BE"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FA0D2B">
              <w:rPr>
                <w:rFonts w:ascii="Times New Roman" w:eastAsia="Verdana" w:hAnsi="Times New Roman" w:cs="Times New Roman"/>
                <w:color w:val="000000" w:themeColor="text1"/>
                <w:kern w:val="24"/>
                <w:sz w:val="20"/>
                <w:szCs w:val="20"/>
                <w:lang w:eastAsia="bg-BG"/>
              </w:rPr>
              <w:t>r</w:t>
            </w:r>
            <w:r w:rsidRPr="00FA0D2B">
              <w:rPr>
                <w:rFonts w:ascii="Times New Roman" w:eastAsia="Verdana" w:hAnsi="Times New Roman" w:cs="Times New Roman"/>
                <w:color w:val="000000" w:themeColor="text1"/>
                <w:kern w:val="24"/>
                <w:sz w:val="16"/>
                <w:szCs w:val="16"/>
                <w:lang w:eastAsia="bg-BG"/>
              </w:rPr>
              <w:t>emp</w:t>
            </w:r>
            <w:proofErr w:type="spellEnd"/>
            <w:r w:rsidRPr="00FA0D2B">
              <w:rPr>
                <w:rFonts w:ascii="Times New Roman" w:eastAsia="Verdana" w:hAnsi="Times New Roman" w:cs="Times New Roman"/>
                <w:color w:val="000000" w:themeColor="text1"/>
                <w:kern w:val="24"/>
                <w:sz w:val="20"/>
                <w:szCs w:val="20"/>
                <w:lang w:eastAsia="bg-BG"/>
              </w:rPr>
              <w:t>.(0,8</w:t>
            </w:r>
            <w:r w:rsidR="0039155D">
              <w:rPr>
                <w:rFonts w:ascii="Times New Roman" w:eastAsia="Verdana" w:hAnsi="Times New Roman" w:cs="Times New Roman"/>
                <w:color w:val="000000" w:themeColor="text1"/>
                <w:kern w:val="24"/>
                <w:sz w:val="20"/>
                <w:szCs w:val="20"/>
                <w:lang w:eastAsia="bg-BG"/>
              </w:rPr>
              <w:t>58</w:t>
            </w:r>
            <w:r w:rsidRPr="00FA0D2B">
              <w:rPr>
                <w:rFonts w:ascii="Times New Roman" w:eastAsia="Verdana" w:hAnsi="Times New Roman" w:cs="Times New Roman"/>
                <w:color w:val="000000" w:themeColor="text1"/>
                <w:kern w:val="24"/>
                <w:sz w:val="20"/>
                <w:szCs w:val="20"/>
                <w:lang w:eastAsia="bg-BG"/>
              </w:rPr>
              <w:t xml:space="preserve">) </w:t>
            </w:r>
            <w:r w:rsidR="0039155D">
              <w:rPr>
                <w:rFonts w:ascii="Times New Roman" w:eastAsia="Verdana" w:hAnsi="Times New Roman" w:cs="Times New Roman"/>
                <w:b/>
                <w:color w:val="000000" w:themeColor="text1"/>
                <w:kern w:val="24"/>
                <w:sz w:val="20"/>
                <w:szCs w:val="20"/>
                <w:lang w:eastAsia="bg-BG"/>
              </w:rPr>
              <w:t>&gt;</w:t>
            </w:r>
            <w:r w:rsidRPr="00FA0D2B">
              <w:rPr>
                <w:rFonts w:ascii="Times New Roman" w:eastAsia="Verdana" w:hAnsi="Times New Roman" w:cs="Times New Roman"/>
                <w:color w:val="000000" w:themeColor="text1"/>
                <w:kern w:val="24"/>
                <w:sz w:val="20"/>
                <w:szCs w:val="20"/>
                <w:lang w:eastAsia="bg-BG"/>
              </w:rPr>
              <w:t xml:space="preserve"> </w:t>
            </w:r>
            <w:proofErr w:type="spellStart"/>
            <w:r w:rsidRPr="00FA0D2B">
              <w:rPr>
                <w:rFonts w:ascii="Times New Roman" w:eastAsia="Verdana" w:hAnsi="Times New Roman" w:cs="Times New Roman"/>
                <w:color w:val="000000" w:themeColor="text1"/>
                <w:kern w:val="24"/>
                <w:sz w:val="20"/>
                <w:szCs w:val="20"/>
                <w:lang w:eastAsia="bg-BG"/>
              </w:rPr>
              <w:t>r</w:t>
            </w:r>
            <w:r w:rsidRPr="00FA0D2B">
              <w:rPr>
                <w:rFonts w:ascii="Times New Roman" w:eastAsia="Verdana" w:hAnsi="Times New Roman" w:cs="Times New Roman"/>
                <w:color w:val="000000" w:themeColor="text1"/>
                <w:kern w:val="24"/>
                <w:sz w:val="16"/>
                <w:szCs w:val="16"/>
                <w:lang w:eastAsia="bg-BG"/>
              </w:rPr>
              <w:t>crit</w:t>
            </w:r>
            <w:proofErr w:type="spellEnd"/>
            <w:r w:rsidRPr="00FA0D2B">
              <w:rPr>
                <w:rFonts w:ascii="Times New Roman" w:eastAsia="Verdana" w:hAnsi="Times New Roman" w:cs="Times New Roman"/>
                <w:color w:val="000000" w:themeColor="text1"/>
                <w:kern w:val="24"/>
                <w:sz w:val="20"/>
                <w:szCs w:val="20"/>
                <w:lang w:eastAsia="bg-BG"/>
              </w:rPr>
              <w:t>.</w:t>
            </w:r>
          </w:p>
        </w:tc>
      </w:tr>
      <w:tr w:rsidR="00F32E91" w:rsidRPr="003750BE" w:rsidTr="00805CFF">
        <w:trPr>
          <w:trHeight w:val="490"/>
        </w:trPr>
        <w:tc>
          <w:tcPr>
            <w:tcW w:w="2830" w:type="dxa"/>
            <w:vAlign w:val="center"/>
            <w:hideMark/>
          </w:tcPr>
          <w:p w:rsidR="00F32E91" w:rsidRPr="003750BE" w:rsidRDefault="00F32E91"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А3. Насоченост към заплахите за сигурността</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16</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33</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104</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220</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369</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i/>
                <w:sz w:val="20"/>
                <w:szCs w:val="20"/>
                <w:lang w:eastAsia="bg-BG"/>
              </w:rPr>
            </w:pPr>
            <w:r w:rsidRPr="003750BE">
              <w:rPr>
                <w:rFonts w:ascii="Times New Roman" w:eastAsia="Verdana" w:hAnsi="Times New Roman" w:cs="Times New Roman"/>
                <w:i/>
                <w:kern w:val="24"/>
                <w:sz w:val="20"/>
                <w:szCs w:val="20"/>
                <w:lang w:eastAsia="bg-BG"/>
              </w:rPr>
              <w:t>18</w:t>
            </w:r>
          </w:p>
        </w:tc>
        <w:tc>
          <w:tcPr>
            <w:tcW w:w="1560" w:type="dxa"/>
            <w:vAlign w:val="center"/>
            <w:hideMark/>
          </w:tcPr>
          <w:p w:rsidR="00F32E91" w:rsidRPr="00FA0D2B" w:rsidRDefault="00F32E91"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Възходяща, силна степен на зависимост</w:t>
            </w:r>
          </w:p>
        </w:tc>
        <w:tc>
          <w:tcPr>
            <w:tcW w:w="1275" w:type="dxa"/>
            <w:vAlign w:val="center"/>
          </w:tcPr>
          <w:p w:rsidR="00F32E91" w:rsidRPr="003750BE"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9A02B3">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emp</w:t>
            </w:r>
            <w:proofErr w:type="spellEnd"/>
            <w:r w:rsidRPr="009A02B3">
              <w:rPr>
                <w:rFonts w:ascii="Times New Roman" w:eastAsia="Verdana" w:hAnsi="Times New Roman" w:cs="Times New Roman"/>
                <w:color w:val="000000" w:themeColor="text1"/>
                <w:kern w:val="24"/>
                <w:sz w:val="20"/>
                <w:szCs w:val="20"/>
                <w:lang w:eastAsia="bg-BG"/>
              </w:rPr>
              <w:t>.(0,</w:t>
            </w:r>
            <w:r w:rsidR="0039155D">
              <w:rPr>
                <w:rFonts w:ascii="Times New Roman" w:eastAsia="Verdana" w:hAnsi="Times New Roman" w:cs="Times New Roman"/>
                <w:color w:val="000000" w:themeColor="text1"/>
                <w:kern w:val="24"/>
                <w:sz w:val="20"/>
                <w:szCs w:val="20"/>
                <w:lang w:eastAsia="bg-BG"/>
              </w:rPr>
              <w:t>918</w:t>
            </w:r>
            <w:r w:rsidRPr="009A02B3">
              <w:rPr>
                <w:rFonts w:ascii="Times New Roman" w:eastAsia="Verdana" w:hAnsi="Times New Roman" w:cs="Times New Roman"/>
                <w:color w:val="000000" w:themeColor="text1"/>
                <w:kern w:val="24"/>
                <w:sz w:val="20"/>
                <w:szCs w:val="20"/>
                <w:lang w:eastAsia="bg-BG"/>
              </w:rPr>
              <w:t xml:space="preserve">) </w:t>
            </w:r>
            <w:r>
              <w:rPr>
                <w:rFonts w:ascii="Times New Roman" w:eastAsia="Verdana" w:hAnsi="Times New Roman" w:cs="Times New Roman"/>
                <w:color w:val="000000" w:themeColor="text1"/>
                <w:kern w:val="24"/>
                <w:sz w:val="20"/>
                <w:szCs w:val="20"/>
                <w:lang w:eastAsia="bg-BG"/>
              </w:rPr>
              <w:t>&gt;</w:t>
            </w:r>
            <w:r w:rsidRPr="009A02B3">
              <w:rPr>
                <w:rFonts w:ascii="Times New Roman" w:eastAsia="Verdana" w:hAnsi="Times New Roman" w:cs="Times New Roman"/>
                <w:color w:val="000000" w:themeColor="text1"/>
                <w:kern w:val="24"/>
                <w:sz w:val="20"/>
                <w:szCs w:val="20"/>
                <w:lang w:eastAsia="bg-BG"/>
              </w:rPr>
              <w:t xml:space="preserve"> </w:t>
            </w:r>
            <w:proofErr w:type="spellStart"/>
            <w:r w:rsidRPr="009A02B3">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crit</w:t>
            </w:r>
            <w:proofErr w:type="spellEnd"/>
            <w:r w:rsidRPr="000528DF">
              <w:rPr>
                <w:rFonts w:ascii="Times New Roman" w:eastAsia="Verdana" w:hAnsi="Times New Roman" w:cs="Times New Roman"/>
                <w:color w:val="000000" w:themeColor="text1"/>
                <w:kern w:val="24"/>
                <w:sz w:val="16"/>
                <w:szCs w:val="16"/>
                <w:lang w:eastAsia="bg-BG"/>
              </w:rPr>
              <w:t>.</w:t>
            </w:r>
          </w:p>
        </w:tc>
      </w:tr>
      <w:tr w:rsidR="00F32E91" w:rsidRPr="003750BE" w:rsidTr="00205DBC">
        <w:trPr>
          <w:trHeight w:val="741"/>
        </w:trPr>
        <w:tc>
          <w:tcPr>
            <w:tcW w:w="2830" w:type="dxa"/>
            <w:vAlign w:val="center"/>
            <w:hideMark/>
          </w:tcPr>
          <w:p w:rsidR="00F32E91" w:rsidRPr="003750BE" w:rsidRDefault="00F32E91"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А4. Справяне с предизвикателствата на държавно ниво (напр. върховенство на закона и човешки права)</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15</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23</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91</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231</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390</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i/>
                <w:sz w:val="20"/>
                <w:szCs w:val="20"/>
                <w:lang w:eastAsia="bg-BG"/>
              </w:rPr>
            </w:pPr>
            <w:r w:rsidRPr="003750BE">
              <w:rPr>
                <w:rFonts w:ascii="Times New Roman" w:eastAsia="Verdana" w:hAnsi="Times New Roman" w:cs="Times New Roman"/>
                <w:i/>
                <w:kern w:val="24"/>
                <w:sz w:val="20"/>
                <w:szCs w:val="20"/>
                <w:lang w:eastAsia="bg-BG"/>
              </w:rPr>
              <w:t>10</w:t>
            </w:r>
          </w:p>
        </w:tc>
        <w:tc>
          <w:tcPr>
            <w:tcW w:w="1560" w:type="dxa"/>
            <w:vAlign w:val="center"/>
            <w:hideMark/>
          </w:tcPr>
          <w:p w:rsidR="00F32E91" w:rsidRPr="00FA0D2B" w:rsidRDefault="00F32E91"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Възходяща, силна степен на зависимост</w:t>
            </w:r>
          </w:p>
        </w:tc>
        <w:tc>
          <w:tcPr>
            <w:tcW w:w="1275" w:type="dxa"/>
            <w:vAlign w:val="center"/>
          </w:tcPr>
          <w:p w:rsidR="00F32E91" w:rsidRPr="003750BE"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emp</w:t>
            </w:r>
            <w:proofErr w:type="spellEnd"/>
            <w:r w:rsidRPr="000528DF">
              <w:rPr>
                <w:rFonts w:ascii="Times New Roman" w:eastAsia="Verdana" w:hAnsi="Times New Roman" w:cs="Times New Roman"/>
                <w:color w:val="000000" w:themeColor="text1"/>
                <w:kern w:val="24"/>
                <w:sz w:val="16"/>
                <w:szCs w:val="16"/>
                <w:lang w:eastAsia="bg-BG"/>
              </w:rPr>
              <w:t>.(</w:t>
            </w:r>
            <w:r w:rsidR="0039155D">
              <w:rPr>
                <w:rFonts w:ascii="Times New Roman" w:eastAsia="Verdana" w:hAnsi="Times New Roman" w:cs="Times New Roman"/>
                <w:color w:val="000000" w:themeColor="text1"/>
                <w:kern w:val="24"/>
                <w:sz w:val="20"/>
                <w:szCs w:val="20"/>
                <w:lang w:eastAsia="bg-BG"/>
              </w:rPr>
              <w:t>0,909</w:t>
            </w:r>
            <w:r w:rsidRPr="009A02B3">
              <w:rPr>
                <w:rFonts w:ascii="Times New Roman" w:eastAsia="Verdana" w:hAnsi="Times New Roman" w:cs="Times New Roman"/>
                <w:color w:val="000000" w:themeColor="text1"/>
                <w:kern w:val="24"/>
                <w:sz w:val="20"/>
                <w:szCs w:val="20"/>
                <w:lang w:eastAsia="bg-BG"/>
              </w:rPr>
              <w:t xml:space="preserve">) &gt; </w:t>
            </w:r>
            <w:proofErr w:type="spellStart"/>
            <w:r w:rsidRPr="009A02B3">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crit</w:t>
            </w:r>
            <w:proofErr w:type="spellEnd"/>
            <w:r w:rsidRPr="000528DF">
              <w:rPr>
                <w:rFonts w:ascii="Times New Roman" w:eastAsia="Verdana" w:hAnsi="Times New Roman" w:cs="Times New Roman"/>
                <w:color w:val="000000" w:themeColor="text1"/>
                <w:kern w:val="24"/>
                <w:sz w:val="16"/>
                <w:szCs w:val="16"/>
                <w:lang w:eastAsia="bg-BG"/>
              </w:rPr>
              <w:t>.</w:t>
            </w:r>
          </w:p>
        </w:tc>
      </w:tr>
      <w:tr w:rsidR="00F32E91" w:rsidRPr="003750BE" w:rsidTr="00205DBC">
        <w:trPr>
          <w:trHeight w:val="628"/>
        </w:trPr>
        <w:tc>
          <w:tcPr>
            <w:tcW w:w="2830" w:type="dxa"/>
            <w:vAlign w:val="center"/>
            <w:hideMark/>
          </w:tcPr>
          <w:p w:rsidR="00F32E91" w:rsidRPr="003750BE" w:rsidRDefault="00F32E91" w:rsidP="006428A5">
            <w:pPr>
              <w:spacing w:line="276" w:lineRule="auto"/>
              <w:rPr>
                <w:rFonts w:ascii="Times New Roman" w:eastAsia="Times New Roman" w:hAnsi="Times New Roman" w:cs="Times New Roman"/>
                <w:b/>
                <w:sz w:val="20"/>
                <w:szCs w:val="20"/>
                <w:lang w:eastAsia="bg-BG"/>
              </w:rPr>
            </w:pPr>
            <w:r w:rsidRPr="003750BE">
              <w:rPr>
                <w:rFonts w:ascii="Times New Roman" w:eastAsia="Verdana" w:hAnsi="Times New Roman" w:cs="Times New Roman"/>
                <w:b/>
                <w:color w:val="000000" w:themeColor="text1"/>
                <w:kern w:val="24"/>
                <w:sz w:val="20"/>
                <w:szCs w:val="20"/>
                <w:lang w:eastAsia="bg-BG"/>
              </w:rPr>
              <w:lastRenderedPageBreak/>
              <w:t>А5. Подобряване на регламентираната миграция и насърчаване на мобилността</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22</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33</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94</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254</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344</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i/>
                <w:sz w:val="20"/>
                <w:szCs w:val="20"/>
                <w:lang w:eastAsia="bg-BG"/>
              </w:rPr>
            </w:pPr>
            <w:r w:rsidRPr="003750BE">
              <w:rPr>
                <w:rFonts w:ascii="Times New Roman" w:eastAsia="Verdana" w:hAnsi="Times New Roman" w:cs="Times New Roman"/>
                <w:i/>
                <w:kern w:val="24"/>
                <w:sz w:val="20"/>
                <w:szCs w:val="20"/>
                <w:lang w:eastAsia="bg-BG"/>
              </w:rPr>
              <w:t>13</w:t>
            </w:r>
          </w:p>
        </w:tc>
        <w:tc>
          <w:tcPr>
            <w:tcW w:w="1560" w:type="dxa"/>
            <w:vAlign w:val="center"/>
            <w:hideMark/>
          </w:tcPr>
          <w:p w:rsidR="00F32E91" w:rsidRPr="00FA0D2B" w:rsidRDefault="00F32E91"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Възходяща, силна степен на зависимост</w:t>
            </w:r>
          </w:p>
        </w:tc>
        <w:tc>
          <w:tcPr>
            <w:tcW w:w="1275" w:type="dxa"/>
            <w:vAlign w:val="center"/>
          </w:tcPr>
          <w:p w:rsidR="00F32E91" w:rsidRPr="000528DF" w:rsidRDefault="00F32E91" w:rsidP="006428A5">
            <w:pPr>
              <w:spacing w:line="276" w:lineRule="auto"/>
              <w:jc w:val="center"/>
              <w:rPr>
                <w:rFonts w:ascii="Times New Roman" w:eastAsia="Verdana" w:hAnsi="Times New Roman" w:cs="Times New Roman"/>
                <w:b/>
                <w:color w:val="000000" w:themeColor="text1"/>
                <w:kern w:val="24"/>
                <w:sz w:val="20"/>
                <w:szCs w:val="20"/>
                <w:lang w:eastAsia="bg-BG"/>
              </w:rPr>
            </w:pPr>
            <w:proofErr w:type="spellStart"/>
            <w:r w:rsidRPr="000528DF">
              <w:rPr>
                <w:rFonts w:ascii="Times New Roman" w:eastAsia="Verdana" w:hAnsi="Times New Roman" w:cs="Times New Roman"/>
                <w:b/>
                <w:color w:val="000000" w:themeColor="text1"/>
                <w:kern w:val="24"/>
                <w:sz w:val="20"/>
                <w:szCs w:val="20"/>
                <w:lang w:eastAsia="bg-BG"/>
              </w:rPr>
              <w:t>r</w:t>
            </w:r>
            <w:r w:rsidRPr="000528DF">
              <w:rPr>
                <w:rFonts w:ascii="Times New Roman" w:eastAsia="Verdana" w:hAnsi="Times New Roman" w:cs="Times New Roman"/>
                <w:b/>
                <w:color w:val="000000" w:themeColor="text1"/>
                <w:kern w:val="24"/>
                <w:sz w:val="16"/>
                <w:szCs w:val="16"/>
                <w:lang w:eastAsia="bg-BG"/>
              </w:rPr>
              <w:t>emp</w:t>
            </w:r>
            <w:proofErr w:type="spellEnd"/>
            <w:r w:rsidRPr="000528DF">
              <w:rPr>
                <w:rFonts w:ascii="Times New Roman" w:eastAsia="Verdana" w:hAnsi="Times New Roman" w:cs="Times New Roman"/>
                <w:b/>
                <w:color w:val="000000" w:themeColor="text1"/>
                <w:kern w:val="24"/>
                <w:sz w:val="16"/>
                <w:szCs w:val="16"/>
                <w:lang w:eastAsia="bg-BG"/>
              </w:rPr>
              <w:t>.(</w:t>
            </w:r>
            <w:r w:rsidR="0039155D">
              <w:rPr>
                <w:rFonts w:ascii="Times New Roman" w:eastAsia="Verdana" w:hAnsi="Times New Roman" w:cs="Times New Roman"/>
                <w:b/>
                <w:color w:val="000000" w:themeColor="text1"/>
                <w:kern w:val="24"/>
                <w:sz w:val="20"/>
                <w:szCs w:val="20"/>
                <w:lang w:eastAsia="bg-BG"/>
              </w:rPr>
              <w:t>0,925</w:t>
            </w:r>
            <w:r w:rsidRPr="000528DF">
              <w:rPr>
                <w:rFonts w:ascii="Times New Roman" w:eastAsia="Verdana" w:hAnsi="Times New Roman" w:cs="Times New Roman"/>
                <w:b/>
                <w:color w:val="000000" w:themeColor="text1"/>
                <w:kern w:val="24"/>
                <w:sz w:val="20"/>
                <w:szCs w:val="20"/>
                <w:lang w:eastAsia="bg-BG"/>
              </w:rPr>
              <w:t xml:space="preserve">) &gt; </w:t>
            </w:r>
            <w:proofErr w:type="spellStart"/>
            <w:r w:rsidRPr="000528DF">
              <w:rPr>
                <w:rFonts w:ascii="Times New Roman" w:eastAsia="Verdana" w:hAnsi="Times New Roman" w:cs="Times New Roman"/>
                <w:b/>
                <w:color w:val="000000" w:themeColor="text1"/>
                <w:kern w:val="24"/>
                <w:sz w:val="20"/>
                <w:szCs w:val="20"/>
                <w:lang w:eastAsia="bg-BG"/>
              </w:rPr>
              <w:t>r</w:t>
            </w:r>
            <w:r w:rsidRPr="000528DF">
              <w:rPr>
                <w:rFonts w:ascii="Times New Roman" w:eastAsia="Verdana" w:hAnsi="Times New Roman" w:cs="Times New Roman"/>
                <w:b/>
                <w:color w:val="000000" w:themeColor="text1"/>
                <w:kern w:val="24"/>
                <w:sz w:val="16"/>
                <w:szCs w:val="16"/>
                <w:lang w:eastAsia="bg-BG"/>
              </w:rPr>
              <w:t>crit</w:t>
            </w:r>
            <w:proofErr w:type="spellEnd"/>
            <w:r w:rsidRPr="000528DF">
              <w:rPr>
                <w:rFonts w:ascii="Times New Roman" w:eastAsia="Verdana" w:hAnsi="Times New Roman" w:cs="Times New Roman"/>
                <w:b/>
                <w:color w:val="000000" w:themeColor="text1"/>
                <w:kern w:val="24"/>
                <w:sz w:val="16"/>
                <w:szCs w:val="16"/>
                <w:lang w:eastAsia="bg-BG"/>
              </w:rPr>
              <w:t>.</w:t>
            </w:r>
          </w:p>
        </w:tc>
      </w:tr>
      <w:tr w:rsidR="00F32E91" w:rsidRPr="003750BE" w:rsidTr="003C08D2">
        <w:trPr>
          <w:trHeight w:val="486"/>
        </w:trPr>
        <w:tc>
          <w:tcPr>
            <w:tcW w:w="2830" w:type="dxa"/>
            <w:vAlign w:val="center"/>
            <w:hideMark/>
          </w:tcPr>
          <w:p w:rsidR="00F32E91" w:rsidRPr="003750BE" w:rsidRDefault="00F32E91"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А6. Повишаване на ангажираността към младежта и жените</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13</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16</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77</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244</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396</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i/>
                <w:sz w:val="20"/>
                <w:szCs w:val="20"/>
                <w:lang w:eastAsia="bg-BG"/>
              </w:rPr>
            </w:pPr>
            <w:r w:rsidRPr="003750BE">
              <w:rPr>
                <w:rFonts w:ascii="Times New Roman" w:eastAsia="Verdana" w:hAnsi="Times New Roman" w:cs="Times New Roman"/>
                <w:i/>
                <w:kern w:val="24"/>
                <w:sz w:val="20"/>
                <w:szCs w:val="20"/>
                <w:lang w:eastAsia="bg-BG"/>
              </w:rPr>
              <w:t>14</w:t>
            </w:r>
          </w:p>
        </w:tc>
        <w:tc>
          <w:tcPr>
            <w:tcW w:w="1560" w:type="dxa"/>
            <w:vAlign w:val="center"/>
            <w:hideMark/>
          </w:tcPr>
          <w:p w:rsidR="00F32E91" w:rsidRPr="00FA0D2B" w:rsidRDefault="00F32E91"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Възходяща, силна степен на зависимост</w:t>
            </w:r>
          </w:p>
        </w:tc>
        <w:tc>
          <w:tcPr>
            <w:tcW w:w="1275" w:type="dxa"/>
            <w:vAlign w:val="center"/>
          </w:tcPr>
          <w:p w:rsidR="00F32E91" w:rsidRPr="003750BE"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0528DF">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emp</w:t>
            </w:r>
            <w:proofErr w:type="spellEnd"/>
            <w:r w:rsidRPr="000528DF">
              <w:rPr>
                <w:rFonts w:ascii="Times New Roman" w:eastAsia="Verdana" w:hAnsi="Times New Roman" w:cs="Times New Roman"/>
                <w:color w:val="000000" w:themeColor="text1"/>
                <w:kern w:val="24"/>
                <w:sz w:val="20"/>
                <w:szCs w:val="20"/>
                <w:lang w:eastAsia="bg-BG"/>
              </w:rPr>
              <w:t>.(0,</w:t>
            </w:r>
            <w:r w:rsidR="0039155D">
              <w:rPr>
                <w:rFonts w:ascii="Times New Roman" w:eastAsia="Verdana" w:hAnsi="Times New Roman" w:cs="Times New Roman"/>
                <w:color w:val="000000" w:themeColor="text1"/>
                <w:kern w:val="24"/>
                <w:sz w:val="20"/>
                <w:szCs w:val="20"/>
                <w:lang w:eastAsia="bg-BG"/>
              </w:rPr>
              <w:t>895</w:t>
            </w:r>
            <w:r w:rsidRPr="000528DF">
              <w:rPr>
                <w:rFonts w:ascii="Times New Roman" w:eastAsia="Verdana" w:hAnsi="Times New Roman" w:cs="Times New Roman"/>
                <w:color w:val="000000" w:themeColor="text1"/>
                <w:kern w:val="24"/>
                <w:sz w:val="20"/>
                <w:szCs w:val="20"/>
                <w:lang w:eastAsia="bg-BG"/>
              </w:rPr>
              <w:t xml:space="preserve">) &gt; </w:t>
            </w:r>
            <w:proofErr w:type="spellStart"/>
            <w:r w:rsidRPr="000528DF">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crit</w:t>
            </w:r>
            <w:proofErr w:type="spellEnd"/>
            <w:r w:rsidRPr="000528DF">
              <w:rPr>
                <w:rFonts w:ascii="Times New Roman" w:eastAsia="Verdana" w:hAnsi="Times New Roman" w:cs="Times New Roman"/>
                <w:color w:val="000000" w:themeColor="text1"/>
                <w:kern w:val="24"/>
                <w:sz w:val="16"/>
                <w:szCs w:val="16"/>
                <w:lang w:eastAsia="bg-BG"/>
              </w:rPr>
              <w:t>.</w:t>
            </w:r>
          </w:p>
        </w:tc>
      </w:tr>
      <w:tr w:rsidR="00F32E91" w:rsidRPr="003750BE" w:rsidTr="00205DBC">
        <w:trPr>
          <w:trHeight w:val="1020"/>
        </w:trPr>
        <w:tc>
          <w:tcPr>
            <w:tcW w:w="2830" w:type="dxa"/>
            <w:vAlign w:val="center"/>
            <w:hideMark/>
          </w:tcPr>
          <w:p w:rsidR="00F32E91" w:rsidRPr="003750BE" w:rsidRDefault="00F32E91" w:rsidP="006428A5">
            <w:pPr>
              <w:spacing w:line="276" w:lineRule="auto"/>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А7. Насоченост към транснационалните предизвикателства като здравна сигурност, заплахи за околната среда и климатичните промени</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11</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27</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86</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283</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sz w:val="20"/>
                <w:szCs w:val="20"/>
                <w:lang w:eastAsia="bg-BG"/>
              </w:rPr>
            </w:pPr>
            <w:r w:rsidRPr="003750BE">
              <w:rPr>
                <w:rFonts w:ascii="Times New Roman" w:eastAsia="Verdana" w:hAnsi="Times New Roman" w:cs="Times New Roman"/>
                <w:color w:val="000000" w:themeColor="text1"/>
                <w:kern w:val="24"/>
                <w:sz w:val="20"/>
                <w:szCs w:val="20"/>
                <w:lang w:eastAsia="bg-BG"/>
              </w:rPr>
              <w:t>338</w:t>
            </w:r>
          </w:p>
        </w:tc>
        <w:tc>
          <w:tcPr>
            <w:tcW w:w="567" w:type="dxa"/>
            <w:vAlign w:val="center"/>
            <w:hideMark/>
          </w:tcPr>
          <w:p w:rsidR="00F32E91" w:rsidRPr="003750BE" w:rsidRDefault="00F32E91" w:rsidP="006428A5">
            <w:pPr>
              <w:spacing w:line="276" w:lineRule="auto"/>
              <w:jc w:val="center"/>
              <w:rPr>
                <w:rFonts w:ascii="Times New Roman" w:eastAsia="Times New Roman" w:hAnsi="Times New Roman" w:cs="Times New Roman"/>
                <w:i/>
                <w:sz w:val="20"/>
                <w:szCs w:val="20"/>
                <w:lang w:eastAsia="bg-BG"/>
              </w:rPr>
            </w:pPr>
            <w:r w:rsidRPr="003750BE">
              <w:rPr>
                <w:rFonts w:ascii="Times New Roman" w:eastAsia="Verdana" w:hAnsi="Times New Roman" w:cs="Times New Roman"/>
                <w:i/>
                <w:kern w:val="24"/>
                <w:sz w:val="20"/>
                <w:szCs w:val="20"/>
                <w:lang w:eastAsia="bg-BG"/>
              </w:rPr>
              <w:t>15</w:t>
            </w:r>
          </w:p>
        </w:tc>
        <w:tc>
          <w:tcPr>
            <w:tcW w:w="1560" w:type="dxa"/>
            <w:vAlign w:val="center"/>
            <w:hideMark/>
          </w:tcPr>
          <w:p w:rsidR="00F32E91" w:rsidRPr="00FA0D2B" w:rsidRDefault="00F32E91" w:rsidP="006428A5">
            <w:pPr>
              <w:spacing w:line="276" w:lineRule="auto"/>
              <w:jc w:val="center"/>
              <w:rPr>
                <w:rFonts w:ascii="Times New Roman" w:hAnsi="Times New Roman" w:cs="Times New Roman"/>
                <w:sz w:val="20"/>
                <w:szCs w:val="20"/>
              </w:rPr>
            </w:pPr>
            <w:r w:rsidRPr="00FA0D2B">
              <w:rPr>
                <w:rFonts w:ascii="Times New Roman" w:hAnsi="Times New Roman" w:cs="Times New Roman"/>
                <w:sz w:val="20"/>
                <w:szCs w:val="20"/>
              </w:rPr>
              <w:t>Възходяща, силна степен на зависимост</w:t>
            </w:r>
          </w:p>
        </w:tc>
        <w:tc>
          <w:tcPr>
            <w:tcW w:w="1275" w:type="dxa"/>
            <w:vAlign w:val="center"/>
          </w:tcPr>
          <w:p w:rsidR="00F32E91" w:rsidRPr="003750BE" w:rsidRDefault="00F32E91" w:rsidP="006428A5">
            <w:pPr>
              <w:spacing w:line="276" w:lineRule="auto"/>
              <w:jc w:val="center"/>
              <w:rPr>
                <w:rFonts w:ascii="Times New Roman" w:eastAsia="Verdana" w:hAnsi="Times New Roman" w:cs="Times New Roman"/>
                <w:color w:val="000000" w:themeColor="text1"/>
                <w:kern w:val="24"/>
                <w:sz w:val="20"/>
                <w:szCs w:val="20"/>
                <w:lang w:eastAsia="bg-BG"/>
              </w:rPr>
            </w:pPr>
            <w:proofErr w:type="spellStart"/>
            <w:r w:rsidRPr="000528DF">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emp</w:t>
            </w:r>
            <w:proofErr w:type="spellEnd"/>
            <w:r w:rsidRPr="000528DF">
              <w:rPr>
                <w:rFonts w:ascii="Times New Roman" w:eastAsia="Verdana" w:hAnsi="Times New Roman" w:cs="Times New Roman"/>
                <w:color w:val="000000" w:themeColor="text1"/>
                <w:kern w:val="24"/>
                <w:sz w:val="20"/>
                <w:szCs w:val="20"/>
                <w:lang w:eastAsia="bg-BG"/>
              </w:rPr>
              <w:t>.(0,</w:t>
            </w:r>
            <w:r w:rsidR="0039155D">
              <w:rPr>
                <w:rFonts w:ascii="Times New Roman" w:eastAsia="Verdana" w:hAnsi="Times New Roman" w:cs="Times New Roman"/>
                <w:color w:val="000000" w:themeColor="text1"/>
                <w:kern w:val="24"/>
                <w:sz w:val="20"/>
                <w:szCs w:val="20"/>
                <w:lang w:eastAsia="bg-BG"/>
              </w:rPr>
              <w:t>912</w:t>
            </w:r>
            <w:r w:rsidRPr="000528DF">
              <w:rPr>
                <w:rFonts w:ascii="Times New Roman" w:eastAsia="Verdana" w:hAnsi="Times New Roman" w:cs="Times New Roman"/>
                <w:color w:val="000000" w:themeColor="text1"/>
                <w:kern w:val="24"/>
                <w:sz w:val="20"/>
                <w:szCs w:val="20"/>
                <w:lang w:eastAsia="bg-BG"/>
              </w:rPr>
              <w:t xml:space="preserve">) &gt; </w:t>
            </w:r>
            <w:proofErr w:type="spellStart"/>
            <w:r w:rsidRPr="000528DF">
              <w:rPr>
                <w:rFonts w:ascii="Times New Roman" w:eastAsia="Verdana" w:hAnsi="Times New Roman" w:cs="Times New Roman"/>
                <w:color w:val="000000" w:themeColor="text1"/>
                <w:kern w:val="24"/>
                <w:sz w:val="20"/>
                <w:szCs w:val="20"/>
                <w:lang w:eastAsia="bg-BG"/>
              </w:rPr>
              <w:t>r</w:t>
            </w:r>
            <w:r w:rsidRPr="000528DF">
              <w:rPr>
                <w:rFonts w:ascii="Times New Roman" w:eastAsia="Verdana" w:hAnsi="Times New Roman" w:cs="Times New Roman"/>
                <w:color w:val="000000" w:themeColor="text1"/>
                <w:kern w:val="24"/>
                <w:sz w:val="16"/>
                <w:szCs w:val="16"/>
                <w:lang w:eastAsia="bg-BG"/>
              </w:rPr>
              <w:t>crit</w:t>
            </w:r>
            <w:proofErr w:type="spellEnd"/>
            <w:r w:rsidRPr="000528DF">
              <w:rPr>
                <w:rFonts w:ascii="Times New Roman" w:eastAsia="Verdana" w:hAnsi="Times New Roman" w:cs="Times New Roman"/>
                <w:color w:val="000000" w:themeColor="text1"/>
                <w:kern w:val="24"/>
                <w:sz w:val="16"/>
                <w:szCs w:val="16"/>
                <w:lang w:eastAsia="bg-BG"/>
              </w:rPr>
              <w:t>.</w:t>
            </w:r>
          </w:p>
        </w:tc>
      </w:tr>
    </w:tbl>
    <w:p w:rsidR="009F1338" w:rsidRPr="00FA0D2B" w:rsidRDefault="00FA0D2B" w:rsidP="006428A5">
      <w:pPr>
        <w:spacing w:after="0" w:line="276" w:lineRule="auto"/>
        <w:jc w:val="both"/>
        <w:rPr>
          <w:rFonts w:ascii="Times New Roman" w:hAnsi="Times New Roman" w:cs="Times New Roman"/>
          <w:sz w:val="20"/>
          <w:szCs w:val="20"/>
        </w:rPr>
      </w:pPr>
      <w:r w:rsidRPr="00FF3019">
        <w:rPr>
          <w:rFonts w:ascii="Times New Roman" w:hAnsi="Times New Roman" w:cs="Times New Roman"/>
          <w:i/>
          <w:sz w:val="20"/>
          <w:szCs w:val="20"/>
        </w:rPr>
        <w:t>Степени:</w:t>
      </w:r>
      <w:r w:rsidRPr="00FA0D2B">
        <w:rPr>
          <w:rFonts w:ascii="Times New Roman" w:hAnsi="Times New Roman" w:cs="Times New Roman"/>
          <w:sz w:val="20"/>
          <w:szCs w:val="20"/>
        </w:rPr>
        <w:t xml:space="preserve"> 1- много ниска; 2 – ниска; 3 – средна; 4 – висока; 5 – много висока; 0 – отговорили с „не знам“</w:t>
      </w:r>
    </w:p>
    <w:p w:rsidR="00FA0D2B" w:rsidRDefault="00FA0D2B" w:rsidP="006428A5">
      <w:pPr>
        <w:spacing w:after="0" w:line="276" w:lineRule="auto"/>
        <w:jc w:val="both"/>
        <w:rPr>
          <w:rFonts w:ascii="Times New Roman" w:hAnsi="Times New Roman" w:cs="Times New Roman"/>
          <w:sz w:val="20"/>
          <w:szCs w:val="20"/>
        </w:rPr>
      </w:pPr>
      <w:r w:rsidRPr="009A02B3">
        <w:rPr>
          <w:rFonts w:ascii="Times New Roman" w:hAnsi="Times New Roman" w:cs="Times New Roman"/>
          <w:sz w:val="20"/>
          <w:szCs w:val="20"/>
        </w:rPr>
        <w:t xml:space="preserve">α = 0,05; </w:t>
      </w:r>
      <w:proofErr w:type="spellStart"/>
      <w:r w:rsidR="00671876">
        <w:rPr>
          <w:rFonts w:ascii="Times New Roman" w:hAnsi="Times New Roman" w:cs="Times New Roman"/>
          <w:sz w:val="20"/>
          <w:szCs w:val="20"/>
          <w:lang w:val="en-US"/>
        </w:rPr>
        <w:t>df</w:t>
      </w:r>
      <w:proofErr w:type="spellEnd"/>
      <w:r w:rsidR="00671876">
        <w:rPr>
          <w:rFonts w:ascii="Times New Roman" w:hAnsi="Times New Roman" w:cs="Times New Roman"/>
          <w:sz w:val="20"/>
          <w:szCs w:val="20"/>
        </w:rPr>
        <w:t xml:space="preserve"> </w:t>
      </w:r>
      <w:r w:rsidR="00671876">
        <w:rPr>
          <w:rFonts w:ascii="Times New Roman" w:hAnsi="Times New Roman" w:cs="Times New Roman"/>
          <w:sz w:val="20"/>
          <w:szCs w:val="20"/>
          <w:lang w:val="en-US"/>
        </w:rPr>
        <w:t xml:space="preserve"> = </w:t>
      </w:r>
      <w:r w:rsidR="00671876">
        <w:rPr>
          <w:rFonts w:ascii="Times New Roman" w:hAnsi="Times New Roman" w:cs="Times New Roman"/>
          <w:sz w:val="20"/>
          <w:szCs w:val="20"/>
        </w:rPr>
        <w:t xml:space="preserve">6-2 = </w:t>
      </w:r>
      <w:r w:rsidR="00671876">
        <w:rPr>
          <w:rFonts w:ascii="Times New Roman" w:hAnsi="Times New Roman" w:cs="Times New Roman"/>
          <w:sz w:val="20"/>
          <w:szCs w:val="20"/>
          <w:lang w:val="en-US"/>
        </w:rPr>
        <w:t>4</w:t>
      </w:r>
      <w:r w:rsidRPr="009A02B3">
        <w:rPr>
          <w:rFonts w:ascii="Times New Roman" w:hAnsi="Times New Roman" w:cs="Times New Roman"/>
          <w:sz w:val="20"/>
          <w:szCs w:val="20"/>
          <w:lang w:val="en-US"/>
        </w:rPr>
        <w:t xml:space="preserve">; </w:t>
      </w:r>
      <w:proofErr w:type="spellStart"/>
      <w:r w:rsidRPr="009A02B3">
        <w:rPr>
          <w:rFonts w:ascii="Times New Roman" w:hAnsi="Times New Roman" w:cs="Times New Roman"/>
          <w:sz w:val="20"/>
          <w:szCs w:val="20"/>
          <w:lang w:val="en-US"/>
        </w:rPr>
        <w:t>r</w:t>
      </w:r>
      <w:r w:rsidRPr="009A02B3">
        <w:rPr>
          <w:rFonts w:ascii="Times New Roman" w:hAnsi="Times New Roman" w:cs="Times New Roman"/>
          <w:sz w:val="16"/>
          <w:szCs w:val="16"/>
          <w:lang w:val="en-US"/>
        </w:rPr>
        <w:t>crit</w:t>
      </w:r>
      <w:proofErr w:type="spellEnd"/>
      <w:r w:rsidRPr="009A02B3">
        <w:rPr>
          <w:rFonts w:ascii="Times New Roman" w:hAnsi="Times New Roman" w:cs="Times New Roman"/>
          <w:sz w:val="16"/>
          <w:szCs w:val="16"/>
          <w:lang w:val="en-US"/>
        </w:rPr>
        <w:t>.</w:t>
      </w:r>
      <w:r w:rsidRPr="009A02B3">
        <w:rPr>
          <w:rFonts w:ascii="Times New Roman" w:hAnsi="Times New Roman" w:cs="Times New Roman"/>
          <w:sz w:val="20"/>
          <w:szCs w:val="20"/>
          <w:lang w:val="en-US"/>
        </w:rPr>
        <w:t xml:space="preserve"> = 0,8</w:t>
      </w:r>
      <w:r w:rsidR="0039155D">
        <w:rPr>
          <w:rFonts w:ascii="Times New Roman" w:hAnsi="Times New Roman" w:cs="Times New Roman"/>
          <w:sz w:val="20"/>
          <w:szCs w:val="20"/>
        </w:rPr>
        <w:t>11</w:t>
      </w:r>
    </w:p>
    <w:p w:rsidR="006E27E8" w:rsidRPr="006428A5" w:rsidRDefault="006E27E8" w:rsidP="006428A5">
      <w:pPr>
        <w:spacing w:after="0" w:line="276" w:lineRule="auto"/>
        <w:jc w:val="both"/>
        <w:rPr>
          <w:rFonts w:ascii="Times New Roman" w:hAnsi="Times New Roman" w:cs="Times New Roman"/>
          <w:sz w:val="20"/>
          <w:szCs w:val="20"/>
          <w:lang w:val="en-US"/>
        </w:rPr>
      </w:pPr>
    </w:p>
    <w:p w:rsidR="006E27E8" w:rsidRPr="006E27E8" w:rsidRDefault="006E27E8" w:rsidP="006428A5">
      <w:pPr>
        <w:pStyle w:val="ae"/>
        <w:numPr>
          <w:ilvl w:val="0"/>
          <w:numId w:val="6"/>
        </w:numPr>
        <w:spacing w:after="0" w:line="276" w:lineRule="auto"/>
        <w:ind w:left="1429"/>
        <w:jc w:val="both"/>
        <w:rPr>
          <w:rFonts w:ascii="Times New Roman" w:hAnsi="Times New Roman" w:cs="Times New Roman"/>
          <w:b/>
          <w:sz w:val="24"/>
          <w:szCs w:val="24"/>
          <w:lang w:val="en-US"/>
        </w:rPr>
      </w:pPr>
      <w:r w:rsidRPr="006E27E8">
        <w:rPr>
          <w:rFonts w:ascii="Times New Roman" w:hAnsi="Times New Roman" w:cs="Times New Roman"/>
          <w:b/>
          <w:sz w:val="24"/>
          <w:szCs w:val="24"/>
        </w:rPr>
        <w:t>Възникнал проблем и предложение за решаване</w:t>
      </w:r>
    </w:p>
    <w:p w:rsidR="006E27E8" w:rsidRDefault="006E27E8" w:rsidP="006428A5">
      <w:pPr>
        <w:pStyle w:val="ae"/>
        <w:spacing w:after="0" w:line="276"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В процеса на изследването се поражда следния </w:t>
      </w:r>
      <w:r w:rsidR="00EE0025">
        <w:rPr>
          <w:rFonts w:ascii="Times New Roman" w:hAnsi="Times New Roman" w:cs="Times New Roman"/>
          <w:sz w:val="24"/>
          <w:szCs w:val="24"/>
        </w:rPr>
        <w:t xml:space="preserve">въпрос: доколко проучването на ЕИС адекватно отговаря на критериите за ефективност, произтичащи от модела за измерване на ефективността на ТГС? Резултатите от проучване, в чийто фокус не е конкретния модел, биха породили съмнения относно взаимовръзката им с критериите за ефективност, а оттам и с предложените възможности за повишаване на ефективността на ТГС. Още повече, че </w:t>
      </w:r>
      <w:r w:rsidR="0093606E">
        <w:rPr>
          <w:rFonts w:ascii="Times New Roman" w:hAnsi="Times New Roman" w:cs="Times New Roman"/>
          <w:sz w:val="24"/>
          <w:szCs w:val="24"/>
        </w:rPr>
        <w:t xml:space="preserve">включената в </w:t>
      </w:r>
      <w:r w:rsidR="00EE0025">
        <w:rPr>
          <w:rFonts w:ascii="Times New Roman" w:hAnsi="Times New Roman" w:cs="Times New Roman"/>
          <w:sz w:val="24"/>
          <w:szCs w:val="24"/>
        </w:rPr>
        <w:t xml:space="preserve">проучването на ЕИС </w:t>
      </w:r>
      <w:r w:rsidR="0093606E">
        <w:rPr>
          <w:rFonts w:ascii="Times New Roman" w:hAnsi="Times New Roman" w:cs="Times New Roman"/>
          <w:sz w:val="24"/>
          <w:szCs w:val="24"/>
        </w:rPr>
        <w:t xml:space="preserve">опция „Не знам“ намалява </w:t>
      </w:r>
      <w:r w:rsidR="00A31FBA">
        <w:rPr>
          <w:rFonts w:ascii="Times New Roman" w:hAnsi="Times New Roman" w:cs="Times New Roman"/>
          <w:sz w:val="24"/>
          <w:szCs w:val="24"/>
        </w:rPr>
        <w:t xml:space="preserve">степента на зависимост и равнището на значимост на </w:t>
      </w:r>
      <w:proofErr w:type="spellStart"/>
      <w:r w:rsidR="00A31FBA">
        <w:rPr>
          <w:rFonts w:ascii="Times New Roman" w:hAnsi="Times New Roman" w:cs="Times New Roman"/>
          <w:sz w:val="24"/>
          <w:szCs w:val="24"/>
        </w:rPr>
        <w:t>корелационната</w:t>
      </w:r>
      <w:proofErr w:type="spellEnd"/>
      <w:r w:rsidR="0093606E">
        <w:rPr>
          <w:rFonts w:ascii="Times New Roman" w:hAnsi="Times New Roman" w:cs="Times New Roman"/>
          <w:sz w:val="24"/>
          <w:szCs w:val="24"/>
        </w:rPr>
        <w:t xml:space="preserve"> </w:t>
      </w:r>
      <w:r w:rsidR="00A31FBA">
        <w:rPr>
          <w:rFonts w:ascii="Times New Roman" w:hAnsi="Times New Roman" w:cs="Times New Roman"/>
          <w:sz w:val="24"/>
          <w:szCs w:val="24"/>
        </w:rPr>
        <w:t xml:space="preserve">връзка. </w:t>
      </w:r>
      <w:r w:rsidR="0093606E">
        <w:rPr>
          <w:rFonts w:ascii="Times New Roman" w:hAnsi="Times New Roman" w:cs="Times New Roman"/>
          <w:sz w:val="24"/>
          <w:szCs w:val="24"/>
        </w:rPr>
        <w:t>С цел да се преодолее възникналия проблем, настоящата разработка предлага промяна в реда на етапите при формулиране на препоръките за повишаване на ефективността на ТГС (фигура 4)</w:t>
      </w:r>
      <w:r w:rsidR="0093606E">
        <w:rPr>
          <w:rFonts w:ascii="Times New Roman" w:hAnsi="Times New Roman" w:cs="Times New Roman"/>
          <w:sz w:val="24"/>
          <w:szCs w:val="24"/>
          <w:lang w:val="en-US"/>
        </w:rPr>
        <w:t xml:space="preserve">. </w:t>
      </w:r>
      <w:r w:rsidR="0093606E">
        <w:rPr>
          <w:rFonts w:ascii="Times New Roman" w:hAnsi="Times New Roman" w:cs="Times New Roman"/>
          <w:sz w:val="24"/>
          <w:szCs w:val="24"/>
        </w:rPr>
        <w:t xml:space="preserve">Критериите на ефективност </w:t>
      </w:r>
      <w:r w:rsidR="00A31FBA">
        <w:rPr>
          <w:rFonts w:ascii="Times New Roman" w:hAnsi="Times New Roman" w:cs="Times New Roman"/>
          <w:sz w:val="24"/>
          <w:szCs w:val="24"/>
        </w:rPr>
        <w:t xml:space="preserve">трябва да бъдат основа </w:t>
      </w:r>
      <w:r w:rsidR="0093606E">
        <w:rPr>
          <w:rFonts w:ascii="Times New Roman" w:hAnsi="Times New Roman" w:cs="Times New Roman"/>
          <w:sz w:val="24"/>
          <w:szCs w:val="24"/>
        </w:rPr>
        <w:t>за създаване на проучване, чиито резултати да доведат до конкретни изводи и препоръки.</w:t>
      </w:r>
    </w:p>
    <w:p w:rsidR="0093606E" w:rsidRDefault="0093606E" w:rsidP="006428A5">
      <w:pPr>
        <w:pStyle w:val="ae"/>
        <w:spacing w:after="0" w:line="276" w:lineRule="auto"/>
        <w:ind w:left="0"/>
        <w:jc w:val="center"/>
        <w:rPr>
          <w:rFonts w:ascii="Times New Roman" w:hAnsi="Times New Roman" w:cs="Times New Roman"/>
          <w:sz w:val="24"/>
          <w:szCs w:val="24"/>
        </w:rPr>
      </w:pPr>
      <w:r>
        <w:rPr>
          <w:rFonts w:ascii="Times New Roman" w:hAnsi="Times New Roman" w:cs="Times New Roman"/>
          <w:noProof/>
          <w:sz w:val="24"/>
          <w:szCs w:val="24"/>
          <w:lang w:eastAsia="bg-BG"/>
        </w:rPr>
        <w:drawing>
          <wp:inline distT="0" distB="0" distL="0" distR="0">
            <wp:extent cx="5215011" cy="5905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en-podhod.jpg"/>
                    <pic:cNvPicPr/>
                  </pic:nvPicPr>
                  <pic:blipFill rotWithShape="1">
                    <a:blip r:embed="rId19">
                      <a:extLst>
                        <a:ext uri="{28A0092B-C50C-407E-A947-70E740481C1C}">
                          <a14:useLocalDpi xmlns:a14="http://schemas.microsoft.com/office/drawing/2010/main" val="0"/>
                        </a:ext>
                      </a:extLst>
                    </a:blip>
                    <a:srcRect l="3142" t="11811" r="1929"/>
                    <a:stretch/>
                  </pic:blipFill>
                  <pic:spPr bwMode="auto">
                    <a:xfrm>
                      <a:off x="0" y="0"/>
                      <a:ext cx="5223041" cy="591459"/>
                    </a:xfrm>
                    <a:prstGeom prst="rect">
                      <a:avLst/>
                    </a:prstGeom>
                    <a:ln>
                      <a:noFill/>
                    </a:ln>
                    <a:extLst>
                      <a:ext uri="{53640926-AAD7-44D8-BBD7-CCE9431645EC}">
                        <a14:shadowObscured xmlns:a14="http://schemas.microsoft.com/office/drawing/2010/main"/>
                      </a:ext>
                    </a:extLst>
                  </pic:spPr>
                </pic:pic>
              </a:graphicData>
            </a:graphic>
          </wp:inline>
        </w:drawing>
      </w:r>
    </w:p>
    <w:p w:rsidR="00E4791D" w:rsidRDefault="00E4791D" w:rsidP="006428A5">
      <w:pPr>
        <w:pStyle w:val="ae"/>
        <w:spacing w:after="0" w:line="276" w:lineRule="auto"/>
        <w:ind w:left="0"/>
        <w:jc w:val="center"/>
        <w:rPr>
          <w:rFonts w:ascii="Times New Roman" w:hAnsi="Times New Roman" w:cs="Times New Roman"/>
          <w:sz w:val="24"/>
          <w:szCs w:val="24"/>
        </w:rPr>
      </w:pPr>
    </w:p>
    <w:p w:rsidR="00E4791D" w:rsidRPr="00896278" w:rsidRDefault="00E4791D" w:rsidP="006428A5">
      <w:pPr>
        <w:pStyle w:val="ae"/>
        <w:spacing w:after="0" w:line="276" w:lineRule="auto"/>
        <w:ind w:left="0"/>
        <w:jc w:val="center"/>
        <w:rPr>
          <w:rFonts w:ascii="Times New Roman" w:hAnsi="Times New Roman" w:cs="Times New Roman"/>
          <w:b/>
          <w:sz w:val="20"/>
          <w:szCs w:val="20"/>
        </w:rPr>
      </w:pPr>
      <w:r w:rsidRPr="00896278">
        <w:rPr>
          <w:rFonts w:ascii="Times New Roman" w:hAnsi="Times New Roman" w:cs="Times New Roman"/>
          <w:b/>
          <w:sz w:val="20"/>
          <w:szCs w:val="20"/>
        </w:rPr>
        <w:t>Фигура 4.</w:t>
      </w:r>
      <w:r w:rsidRPr="00896278">
        <w:rPr>
          <w:rFonts w:ascii="Times New Roman" w:hAnsi="Times New Roman" w:cs="Times New Roman"/>
          <w:sz w:val="20"/>
          <w:szCs w:val="20"/>
        </w:rPr>
        <w:t xml:space="preserve"> </w:t>
      </w:r>
      <w:r w:rsidRPr="00896278">
        <w:rPr>
          <w:rFonts w:ascii="Times New Roman" w:hAnsi="Times New Roman" w:cs="Times New Roman"/>
          <w:b/>
          <w:sz w:val="20"/>
          <w:szCs w:val="20"/>
        </w:rPr>
        <w:t>Предложение за промяна в реда на етапите при формулиране на препоръки за повишаване на ефективността на ТГС</w:t>
      </w:r>
    </w:p>
    <w:p w:rsidR="00AE7C28" w:rsidRDefault="00AE7C28" w:rsidP="006428A5">
      <w:pPr>
        <w:spacing w:after="0" w:line="276" w:lineRule="auto"/>
        <w:jc w:val="both"/>
        <w:rPr>
          <w:rFonts w:ascii="Times New Roman" w:hAnsi="Times New Roman" w:cs="Times New Roman"/>
          <w:sz w:val="24"/>
          <w:szCs w:val="24"/>
        </w:rPr>
      </w:pPr>
    </w:p>
    <w:p w:rsidR="009219B8" w:rsidRPr="00E4791D" w:rsidRDefault="00E4791D" w:rsidP="006428A5">
      <w:pPr>
        <w:pStyle w:val="ae"/>
        <w:numPr>
          <w:ilvl w:val="0"/>
          <w:numId w:val="6"/>
        </w:numPr>
        <w:spacing w:after="0" w:line="276" w:lineRule="auto"/>
        <w:jc w:val="both"/>
        <w:rPr>
          <w:rFonts w:ascii="Times New Roman" w:hAnsi="Times New Roman" w:cs="Times New Roman"/>
          <w:b/>
          <w:sz w:val="24"/>
          <w:szCs w:val="24"/>
          <w:lang w:val="en-US"/>
        </w:rPr>
      </w:pPr>
      <w:r w:rsidRPr="00E4791D">
        <w:rPr>
          <w:rFonts w:ascii="Times New Roman" w:hAnsi="Times New Roman" w:cs="Times New Roman"/>
          <w:b/>
          <w:sz w:val="24"/>
          <w:szCs w:val="24"/>
        </w:rPr>
        <w:t>Обобщение на изводите и препоръките. Заключение</w:t>
      </w:r>
    </w:p>
    <w:p w:rsidR="00E07C08" w:rsidRDefault="003C1AC8" w:rsidP="006428A5">
      <w:pPr>
        <w:pStyle w:val="ae"/>
        <w:spacing w:after="0" w:line="276" w:lineRule="auto"/>
        <w:ind w:left="0" w:firstLine="709"/>
        <w:jc w:val="both"/>
        <w:rPr>
          <w:rFonts w:ascii="Times New Roman" w:hAnsi="Times New Roman" w:cs="Times New Roman"/>
          <w:sz w:val="24"/>
          <w:szCs w:val="24"/>
        </w:rPr>
      </w:pPr>
      <w:r>
        <w:rPr>
          <w:rFonts w:ascii="Times New Roman" w:hAnsi="Times New Roman" w:cs="Times New Roman"/>
          <w:sz w:val="24"/>
          <w:szCs w:val="24"/>
        </w:rPr>
        <w:t>Два</w:t>
      </w:r>
      <w:r w:rsidR="00E07C08">
        <w:rPr>
          <w:rFonts w:ascii="Times New Roman" w:hAnsi="Times New Roman" w:cs="Times New Roman"/>
          <w:sz w:val="24"/>
          <w:szCs w:val="24"/>
        </w:rPr>
        <w:t xml:space="preserve"> са основите изводи, които могат да бъдат направени като резултат от извършеното изследване:</w:t>
      </w:r>
    </w:p>
    <w:p w:rsidR="00E07C08" w:rsidRDefault="00E07C08" w:rsidP="006428A5">
      <w:pPr>
        <w:pStyle w:val="ae"/>
        <w:numPr>
          <w:ilvl w:val="0"/>
          <w:numId w:val="7"/>
        </w:numPr>
        <w:spacing w:after="0" w:line="276" w:lineRule="auto"/>
        <w:ind w:left="0" w:firstLine="1069"/>
        <w:jc w:val="both"/>
        <w:rPr>
          <w:rFonts w:ascii="Times New Roman" w:hAnsi="Times New Roman" w:cs="Times New Roman"/>
          <w:sz w:val="24"/>
          <w:szCs w:val="24"/>
        </w:rPr>
      </w:pPr>
      <w:r>
        <w:rPr>
          <w:rFonts w:ascii="Times New Roman" w:hAnsi="Times New Roman" w:cs="Times New Roman"/>
          <w:sz w:val="24"/>
          <w:szCs w:val="24"/>
        </w:rPr>
        <w:t>Налице е положителна тенденция при реализирането на трансгранични проекти между държавите от ЕС и техните съседи от Средиземноморския регион, както и при усвояването на средства за осъществяване на проектите. Целта на проектите е да оказват благотворно влияние върху аспектите на „широката“ сигурност;</w:t>
      </w:r>
    </w:p>
    <w:p w:rsidR="005B3BF1" w:rsidRPr="005B3BF1" w:rsidRDefault="003C1AC8" w:rsidP="006428A5">
      <w:pPr>
        <w:pStyle w:val="ae"/>
        <w:numPr>
          <w:ilvl w:val="0"/>
          <w:numId w:val="7"/>
        </w:numPr>
        <w:spacing w:after="0" w:line="276" w:lineRule="auto"/>
        <w:ind w:left="0" w:firstLine="1069"/>
        <w:jc w:val="both"/>
        <w:rPr>
          <w:rFonts w:ascii="Times New Roman" w:hAnsi="Times New Roman" w:cs="Times New Roman"/>
          <w:sz w:val="24"/>
          <w:szCs w:val="24"/>
          <w:lang w:val="en-US"/>
        </w:rPr>
      </w:pPr>
      <w:r w:rsidRPr="005B3BF1">
        <w:rPr>
          <w:rFonts w:ascii="Times New Roman" w:hAnsi="Times New Roman" w:cs="Times New Roman"/>
          <w:sz w:val="24"/>
          <w:szCs w:val="24"/>
        </w:rPr>
        <w:t xml:space="preserve">Чрез подходящите изследователски подходи и методи са изведени възможности със степен на достоверност, допринасящи за по-ефективно ТГС. Изведените </w:t>
      </w:r>
      <w:r w:rsidR="00AD69AB" w:rsidRPr="005B3BF1">
        <w:rPr>
          <w:rFonts w:ascii="Times New Roman" w:hAnsi="Times New Roman" w:cs="Times New Roman"/>
          <w:sz w:val="24"/>
          <w:szCs w:val="24"/>
        </w:rPr>
        <w:t xml:space="preserve">три </w:t>
      </w:r>
      <w:r w:rsidRPr="005B3BF1">
        <w:rPr>
          <w:rFonts w:ascii="Times New Roman" w:hAnsi="Times New Roman" w:cs="Times New Roman"/>
          <w:sz w:val="24"/>
          <w:szCs w:val="24"/>
        </w:rPr>
        <w:t xml:space="preserve">възможности са с препоръчителен характер, имайки предвид факта, че те са част от </w:t>
      </w:r>
      <w:r w:rsidR="00AD69AB" w:rsidRPr="005B3BF1">
        <w:rPr>
          <w:rFonts w:ascii="Times New Roman" w:hAnsi="Times New Roman" w:cs="Times New Roman"/>
          <w:sz w:val="24"/>
          <w:szCs w:val="24"/>
        </w:rPr>
        <w:t xml:space="preserve">приоритетите на преразгледаната ЕПС, целящи укрепване на </w:t>
      </w:r>
      <w:r w:rsidR="00AD69AB" w:rsidRPr="005B3BF1">
        <w:rPr>
          <w:rFonts w:ascii="Times New Roman" w:hAnsi="Times New Roman" w:cs="Times New Roman"/>
          <w:sz w:val="24"/>
          <w:szCs w:val="24"/>
        </w:rPr>
        <w:lastRenderedPageBreak/>
        <w:t xml:space="preserve">сътрудничеството. Първата възможност е </w:t>
      </w:r>
      <w:r w:rsidR="005B3BF1" w:rsidRPr="005B3BF1">
        <w:rPr>
          <w:rFonts w:ascii="Times New Roman" w:hAnsi="Times New Roman" w:cs="Times New Roman"/>
          <w:sz w:val="24"/>
          <w:szCs w:val="24"/>
        </w:rPr>
        <w:t>свързана с н</w:t>
      </w:r>
      <w:r w:rsidR="005C59BF" w:rsidRPr="005B3BF1">
        <w:rPr>
          <w:rFonts w:ascii="Times New Roman" w:hAnsi="Times New Roman" w:cs="Times New Roman"/>
          <w:sz w:val="24"/>
          <w:szCs w:val="24"/>
        </w:rPr>
        <w:t>асърчаване на по-ефективното включване на представители от неправителствения сектор в по-широк спектър от дейности.</w:t>
      </w:r>
      <w:r w:rsidR="005B3BF1" w:rsidRPr="005B3BF1">
        <w:rPr>
          <w:rFonts w:ascii="Times New Roman" w:hAnsi="Times New Roman" w:cs="Times New Roman"/>
          <w:sz w:val="24"/>
          <w:szCs w:val="24"/>
        </w:rPr>
        <w:t xml:space="preserve"> Втората засяга </w:t>
      </w:r>
      <w:r w:rsidR="005C59BF" w:rsidRPr="005B3BF1">
        <w:rPr>
          <w:rFonts w:ascii="Times New Roman" w:hAnsi="Times New Roman" w:cs="Times New Roman"/>
          <w:sz w:val="24"/>
          <w:szCs w:val="24"/>
        </w:rPr>
        <w:t>разработването на форми, инструменти и критерии за сътрудничество</w:t>
      </w:r>
      <w:r w:rsidR="005B3BF1" w:rsidRPr="005B3BF1">
        <w:rPr>
          <w:rFonts w:ascii="Times New Roman" w:hAnsi="Times New Roman" w:cs="Times New Roman"/>
          <w:sz w:val="24"/>
          <w:szCs w:val="24"/>
        </w:rPr>
        <w:t>, чийто</w:t>
      </w:r>
      <w:r w:rsidR="005C59BF" w:rsidRPr="005B3BF1">
        <w:rPr>
          <w:rFonts w:ascii="Times New Roman" w:hAnsi="Times New Roman" w:cs="Times New Roman"/>
          <w:sz w:val="24"/>
          <w:szCs w:val="24"/>
        </w:rPr>
        <w:t xml:space="preserve"> приоритет да бъдат споразумения </w:t>
      </w:r>
      <w:r w:rsidR="005B3BF1" w:rsidRPr="005B3BF1">
        <w:rPr>
          <w:rFonts w:ascii="Times New Roman" w:hAnsi="Times New Roman" w:cs="Times New Roman"/>
          <w:sz w:val="24"/>
          <w:szCs w:val="24"/>
        </w:rPr>
        <w:t>за дълбока и обхватна свободна търговия</w:t>
      </w:r>
      <w:r w:rsidR="005B3BF1" w:rsidRPr="005B3BF1">
        <w:rPr>
          <w:rFonts w:ascii="Times New Roman" w:hAnsi="Times New Roman" w:cs="Times New Roman"/>
          <w:sz w:val="24"/>
          <w:szCs w:val="24"/>
          <w:lang w:val="en-US"/>
        </w:rPr>
        <w:t xml:space="preserve"> </w:t>
      </w:r>
      <w:r w:rsidR="005B3BF1" w:rsidRPr="005B3BF1">
        <w:rPr>
          <w:rFonts w:ascii="Times New Roman" w:hAnsi="Times New Roman" w:cs="Times New Roman"/>
          <w:sz w:val="24"/>
          <w:szCs w:val="24"/>
        </w:rPr>
        <w:t>(политическа и икономическа сигурност)</w:t>
      </w:r>
      <w:r w:rsidR="005B3BF1" w:rsidRPr="005B3BF1">
        <w:rPr>
          <w:rFonts w:ascii="Times New Roman" w:hAnsi="Times New Roman" w:cs="Times New Roman"/>
          <w:sz w:val="24"/>
          <w:szCs w:val="24"/>
          <w:lang w:val="en-US"/>
        </w:rPr>
        <w:t xml:space="preserve">. </w:t>
      </w:r>
      <w:r w:rsidR="005B3BF1" w:rsidRPr="005B3BF1">
        <w:rPr>
          <w:rFonts w:ascii="Times New Roman" w:hAnsi="Times New Roman" w:cs="Times New Roman"/>
          <w:sz w:val="24"/>
          <w:szCs w:val="24"/>
        </w:rPr>
        <w:t xml:space="preserve">Последната възможност насочва </w:t>
      </w:r>
      <w:r w:rsidR="005C59BF" w:rsidRPr="005B3BF1">
        <w:rPr>
          <w:rFonts w:ascii="Times New Roman" w:hAnsi="Times New Roman" w:cs="Times New Roman"/>
          <w:sz w:val="24"/>
          <w:szCs w:val="24"/>
        </w:rPr>
        <w:t>ТГС в посока на реализиране на пр</w:t>
      </w:r>
      <w:r w:rsidR="005B3BF1" w:rsidRPr="005B3BF1">
        <w:rPr>
          <w:rFonts w:ascii="Times New Roman" w:hAnsi="Times New Roman" w:cs="Times New Roman"/>
          <w:sz w:val="24"/>
          <w:szCs w:val="24"/>
        </w:rPr>
        <w:t xml:space="preserve">оекти, свързани с политическата, икономическата и </w:t>
      </w:r>
      <w:r w:rsidR="005B3BF1">
        <w:rPr>
          <w:rFonts w:ascii="Times New Roman" w:hAnsi="Times New Roman" w:cs="Times New Roman"/>
          <w:sz w:val="24"/>
          <w:szCs w:val="24"/>
        </w:rPr>
        <w:t>социалната сигурност, а именно - п</w:t>
      </w:r>
      <w:r w:rsidR="005B3BF1" w:rsidRPr="005B3BF1">
        <w:rPr>
          <w:rFonts w:ascii="Times New Roman" w:hAnsi="Times New Roman" w:cs="Times New Roman"/>
          <w:sz w:val="24"/>
          <w:szCs w:val="24"/>
        </w:rPr>
        <w:t>одобряване на регламентираната миграция и насърчаване на мобилността</w:t>
      </w:r>
      <w:r w:rsidR="005B3BF1">
        <w:rPr>
          <w:rFonts w:ascii="Times New Roman" w:hAnsi="Times New Roman" w:cs="Times New Roman"/>
          <w:sz w:val="24"/>
          <w:szCs w:val="24"/>
        </w:rPr>
        <w:t>.</w:t>
      </w:r>
    </w:p>
    <w:p w:rsidR="009219B8" w:rsidRDefault="005B3BF1" w:rsidP="006428A5">
      <w:pPr>
        <w:spacing w:after="0" w:line="276"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В заключение е важно да се отбележи, че </w:t>
      </w:r>
      <w:r w:rsidR="00BA6860">
        <w:rPr>
          <w:rFonts w:ascii="Times New Roman" w:hAnsi="Times New Roman" w:cs="Times New Roman"/>
          <w:sz w:val="24"/>
          <w:szCs w:val="24"/>
        </w:rPr>
        <w:t xml:space="preserve">независимо от възникналия проблем, </w:t>
      </w:r>
      <w:r>
        <w:rPr>
          <w:rFonts w:ascii="Times New Roman" w:hAnsi="Times New Roman" w:cs="Times New Roman"/>
          <w:sz w:val="24"/>
          <w:szCs w:val="24"/>
        </w:rPr>
        <w:t xml:space="preserve">задачите на изследването са изпълнени, целта е постигната и тезата – доказана. </w:t>
      </w:r>
      <w:r w:rsidR="00BA6860">
        <w:rPr>
          <w:rFonts w:ascii="Times New Roman" w:hAnsi="Times New Roman" w:cs="Times New Roman"/>
          <w:sz w:val="24"/>
          <w:szCs w:val="24"/>
        </w:rPr>
        <w:t>Направено е и предложение за решаване на проблема.</w:t>
      </w:r>
    </w:p>
    <w:p w:rsidR="00AE7C28" w:rsidRDefault="00AE7C28" w:rsidP="006428A5">
      <w:pPr>
        <w:spacing w:after="0" w:line="276" w:lineRule="auto"/>
        <w:jc w:val="both"/>
        <w:rPr>
          <w:rFonts w:ascii="Times New Roman" w:hAnsi="Times New Roman" w:cs="Times New Roman"/>
          <w:sz w:val="24"/>
          <w:szCs w:val="24"/>
        </w:rPr>
      </w:pPr>
    </w:p>
    <w:p w:rsidR="005A6CB3" w:rsidRPr="00FF3019" w:rsidRDefault="005A6CB3" w:rsidP="006428A5">
      <w:pPr>
        <w:spacing w:after="0" w:line="276" w:lineRule="auto"/>
        <w:rPr>
          <w:rFonts w:ascii="Times New Roman" w:hAnsi="Times New Roman" w:cs="Times New Roman"/>
          <w:i/>
          <w:sz w:val="20"/>
          <w:szCs w:val="20"/>
        </w:rPr>
      </w:pPr>
      <w:r w:rsidRPr="00FF3019">
        <w:rPr>
          <w:rFonts w:ascii="Times New Roman" w:hAnsi="Times New Roman" w:cs="Times New Roman"/>
          <w:i/>
          <w:sz w:val="20"/>
          <w:szCs w:val="20"/>
        </w:rPr>
        <w:t>Използвана литература:</w:t>
      </w:r>
    </w:p>
    <w:p w:rsidR="00941344" w:rsidRPr="00FF3019" w:rsidRDefault="00941344" w:rsidP="006428A5">
      <w:pPr>
        <w:pStyle w:val="ae"/>
        <w:numPr>
          <w:ilvl w:val="0"/>
          <w:numId w:val="4"/>
        </w:numPr>
        <w:spacing w:after="0" w:line="276" w:lineRule="auto"/>
        <w:ind w:left="0" w:firstLine="0"/>
        <w:contextualSpacing w:val="0"/>
        <w:rPr>
          <w:rFonts w:ascii="Times New Roman" w:hAnsi="Times New Roman" w:cs="Times New Roman"/>
          <w:i/>
          <w:sz w:val="20"/>
          <w:szCs w:val="20"/>
        </w:rPr>
      </w:pPr>
      <w:r w:rsidRPr="00FF3019">
        <w:rPr>
          <w:rFonts w:ascii="Times New Roman" w:hAnsi="Times New Roman" w:cs="Times New Roman"/>
          <w:i/>
          <w:sz w:val="20"/>
          <w:szCs w:val="20"/>
        </w:rPr>
        <w:t xml:space="preserve">БОЖАНОВ, Емил и Иван Вучков. Статистически методи за моделиране и оптимизиране на </w:t>
      </w:r>
      <w:proofErr w:type="spellStart"/>
      <w:r w:rsidRPr="00FF3019">
        <w:rPr>
          <w:rFonts w:ascii="Times New Roman" w:hAnsi="Times New Roman" w:cs="Times New Roman"/>
          <w:i/>
          <w:sz w:val="20"/>
          <w:szCs w:val="20"/>
        </w:rPr>
        <w:t>многофакторни</w:t>
      </w:r>
      <w:proofErr w:type="spellEnd"/>
      <w:r w:rsidRPr="00FF3019">
        <w:rPr>
          <w:rFonts w:ascii="Times New Roman" w:hAnsi="Times New Roman" w:cs="Times New Roman"/>
          <w:i/>
          <w:sz w:val="20"/>
          <w:szCs w:val="20"/>
        </w:rPr>
        <w:t xml:space="preserve"> обекти. С. «Техника»,1973</w:t>
      </w:r>
    </w:p>
    <w:p w:rsidR="00941344" w:rsidRPr="00FF3019" w:rsidRDefault="00941344" w:rsidP="006428A5">
      <w:pPr>
        <w:pStyle w:val="ae"/>
        <w:numPr>
          <w:ilvl w:val="0"/>
          <w:numId w:val="4"/>
        </w:numPr>
        <w:spacing w:after="0" w:line="276" w:lineRule="auto"/>
        <w:ind w:left="0" w:firstLine="0"/>
        <w:contextualSpacing w:val="0"/>
        <w:rPr>
          <w:rFonts w:ascii="Times New Roman" w:hAnsi="Times New Roman" w:cs="Times New Roman"/>
          <w:i/>
          <w:sz w:val="20"/>
          <w:szCs w:val="20"/>
        </w:rPr>
      </w:pPr>
      <w:r w:rsidRPr="00FF3019">
        <w:rPr>
          <w:rFonts w:ascii="Times New Roman" w:hAnsi="Times New Roman" w:cs="Times New Roman"/>
          <w:i/>
          <w:sz w:val="20"/>
          <w:szCs w:val="20"/>
        </w:rPr>
        <w:t xml:space="preserve">СИДОВА, Дафинка. Методика за изследване на трансграничното сътрудничество като инструмент на Европейския съюз за повишаване на сигурността. В Коларов, Т. (състав. и </w:t>
      </w:r>
      <w:proofErr w:type="spellStart"/>
      <w:r w:rsidRPr="00FF3019">
        <w:rPr>
          <w:rFonts w:ascii="Times New Roman" w:hAnsi="Times New Roman" w:cs="Times New Roman"/>
          <w:i/>
          <w:sz w:val="20"/>
          <w:szCs w:val="20"/>
        </w:rPr>
        <w:t>науч</w:t>
      </w:r>
      <w:proofErr w:type="spellEnd"/>
      <w:r w:rsidRPr="00FF3019">
        <w:rPr>
          <w:rFonts w:ascii="Times New Roman" w:hAnsi="Times New Roman" w:cs="Times New Roman"/>
          <w:i/>
          <w:sz w:val="20"/>
          <w:szCs w:val="20"/>
        </w:rPr>
        <w:t>. ред.). Югоизточна Европа: новите заплахи пред регионалната сигурност : Сборник с материали от международна конференция, 2-3 юни 2015 г. Наука, образование, сигурност : Т. 3., С., НБУ, 2016, ISBN 9789545359071, стр. 133-144</w:t>
      </w:r>
    </w:p>
    <w:p w:rsidR="00941344" w:rsidRPr="00FF3019" w:rsidRDefault="00941344" w:rsidP="006428A5">
      <w:pPr>
        <w:pStyle w:val="ae"/>
        <w:numPr>
          <w:ilvl w:val="0"/>
          <w:numId w:val="4"/>
        </w:numPr>
        <w:spacing w:after="0" w:line="276" w:lineRule="auto"/>
        <w:ind w:left="0" w:firstLine="0"/>
        <w:contextualSpacing w:val="0"/>
        <w:rPr>
          <w:rFonts w:ascii="Times New Roman" w:hAnsi="Times New Roman" w:cs="Times New Roman"/>
          <w:i/>
          <w:sz w:val="20"/>
          <w:szCs w:val="20"/>
          <w:lang w:val="en-US"/>
        </w:rPr>
      </w:pPr>
      <w:r w:rsidRPr="00FF3019">
        <w:rPr>
          <w:rFonts w:ascii="Times New Roman" w:hAnsi="Times New Roman" w:cs="Times New Roman"/>
          <w:i/>
          <w:sz w:val="20"/>
          <w:szCs w:val="20"/>
          <w:lang w:val="en-US"/>
        </w:rPr>
        <w:t>Jackson, Sherri L. Research Methods and Statistics: A Critical Thinking Approach, 4th Edition, Cengage Learning, 2012, ISBN 1111346550, 9781111346553, pp. 147-171</w:t>
      </w:r>
    </w:p>
    <w:p w:rsidR="00941344" w:rsidRPr="00FF3019" w:rsidRDefault="00941344" w:rsidP="006428A5">
      <w:pPr>
        <w:pStyle w:val="ae"/>
        <w:numPr>
          <w:ilvl w:val="0"/>
          <w:numId w:val="4"/>
        </w:numPr>
        <w:spacing w:after="0" w:line="276" w:lineRule="auto"/>
        <w:ind w:left="0" w:firstLine="0"/>
        <w:contextualSpacing w:val="0"/>
        <w:rPr>
          <w:rFonts w:ascii="Times New Roman" w:hAnsi="Times New Roman" w:cs="Times New Roman"/>
          <w:i/>
          <w:sz w:val="20"/>
          <w:szCs w:val="20"/>
          <w:lang w:val="en-US"/>
        </w:rPr>
      </w:pPr>
      <w:r w:rsidRPr="00FF3019">
        <w:rPr>
          <w:rFonts w:ascii="Times New Roman" w:hAnsi="Times New Roman" w:cs="Times New Roman"/>
          <w:i/>
          <w:sz w:val="20"/>
          <w:szCs w:val="20"/>
          <w:lang w:val="en-US"/>
        </w:rPr>
        <w:t xml:space="preserve">European Commission and High Representative of the Union for Foreign Affairs and Security Policy. Joint Communication to the European Parliament, the Council, the European Economic and Social Committee and the Committee of the Regions. Review of the European </w:t>
      </w:r>
      <w:proofErr w:type="spellStart"/>
      <w:r w:rsidRPr="00FF3019">
        <w:rPr>
          <w:rFonts w:ascii="Times New Roman" w:hAnsi="Times New Roman" w:cs="Times New Roman"/>
          <w:i/>
          <w:sz w:val="20"/>
          <w:szCs w:val="20"/>
          <w:lang w:val="en-US"/>
        </w:rPr>
        <w:t>Neighbourhood</w:t>
      </w:r>
      <w:proofErr w:type="spellEnd"/>
      <w:r w:rsidRPr="00FF3019">
        <w:rPr>
          <w:rFonts w:ascii="Times New Roman" w:hAnsi="Times New Roman" w:cs="Times New Roman"/>
          <w:i/>
          <w:sz w:val="20"/>
          <w:szCs w:val="20"/>
          <w:lang w:val="en-US"/>
        </w:rPr>
        <w:t xml:space="preserve"> Policy. Brussels, 18.11.2015, </w:t>
      </w:r>
      <w:proofErr w:type="gramStart"/>
      <w:r w:rsidRPr="00FF3019">
        <w:rPr>
          <w:rFonts w:ascii="Times New Roman" w:hAnsi="Times New Roman" w:cs="Times New Roman"/>
          <w:i/>
          <w:sz w:val="20"/>
          <w:szCs w:val="20"/>
          <w:lang w:val="en-US"/>
        </w:rPr>
        <w:t>JOIN(</w:t>
      </w:r>
      <w:proofErr w:type="gramEnd"/>
      <w:r w:rsidRPr="00FF3019">
        <w:rPr>
          <w:rFonts w:ascii="Times New Roman" w:hAnsi="Times New Roman" w:cs="Times New Roman"/>
          <w:i/>
          <w:sz w:val="20"/>
          <w:szCs w:val="20"/>
          <w:lang w:val="en-US"/>
        </w:rPr>
        <w:t>2015) 50 final</w:t>
      </w:r>
    </w:p>
    <w:p w:rsidR="00941344" w:rsidRPr="00FF3019" w:rsidRDefault="00941344" w:rsidP="006428A5">
      <w:pPr>
        <w:pStyle w:val="ae"/>
        <w:numPr>
          <w:ilvl w:val="0"/>
          <w:numId w:val="4"/>
        </w:numPr>
        <w:spacing w:after="0" w:line="276" w:lineRule="auto"/>
        <w:ind w:left="0" w:firstLine="0"/>
        <w:contextualSpacing w:val="0"/>
        <w:rPr>
          <w:rFonts w:ascii="Times New Roman" w:hAnsi="Times New Roman" w:cs="Times New Roman"/>
          <w:i/>
          <w:sz w:val="20"/>
          <w:szCs w:val="20"/>
          <w:lang w:val="en-US"/>
        </w:rPr>
      </w:pPr>
      <w:r w:rsidRPr="00FF3019">
        <w:rPr>
          <w:rFonts w:ascii="Times New Roman" w:hAnsi="Times New Roman" w:cs="Times New Roman"/>
          <w:i/>
          <w:sz w:val="20"/>
          <w:szCs w:val="20"/>
          <w:lang w:val="en-US"/>
        </w:rPr>
        <w:t xml:space="preserve">European Institute of the Mediterranean - </w:t>
      </w:r>
      <w:proofErr w:type="spellStart"/>
      <w:r w:rsidRPr="00FF3019">
        <w:rPr>
          <w:rFonts w:ascii="Times New Roman" w:hAnsi="Times New Roman" w:cs="Times New Roman"/>
          <w:i/>
          <w:sz w:val="20"/>
          <w:szCs w:val="20"/>
          <w:lang w:val="en-US"/>
        </w:rPr>
        <w:t>EIMed</w:t>
      </w:r>
      <w:proofErr w:type="spellEnd"/>
      <w:r w:rsidRPr="00FF3019">
        <w:rPr>
          <w:rFonts w:ascii="Times New Roman" w:hAnsi="Times New Roman" w:cs="Times New Roman"/>
          <w:i/>
          <w:sz w:val="20"/>
          <w:szCs w:val="20"/>
          <w:lang w:val="en-US"/>
        </w:rPr>
        <w:t xml:space="preserve">, [Official </w:t>
      </w:r>
      <w:proofErr w:type="gramStart"/>
      <w:r w:rsidRPr="00FF3019">
        <w:rPr>
          <w:rFonts w:ascii="Times New Roman" w:hAnsi="Times New Roman" w:cs="Times New Roman"/>
          <w:i/>
          <w:sz w:val="20"/>
          <w:szCs w:val="20"/>
          <w:lang w:val="en-US"/>
        </w:rPr>
        <w:t>site]//Publications/Collections/</w:t>
      </w:r>
      <w:proofErr w:type="gramEnd"/>
      <w:r w:rsidRPr="00FF3019">
        <w:rPr>
          <w:rFonts w:ascii="Times New Roman" w:hAnsi="Times New Roman" w:cs="Times New Roman"/>
          <w:i/>
          <w:sz w:val="20"/>
          <w:szCs w:val="20"/>
          <w:lang w:val="en-US"/>
        </w:rPr>
        <w:t xml:space="preserve"> European </w:t>
      </w:r>
      <w:proofErr w:type="spellStart"/>
      <w:r w:rsidRPr="00FF3019">
        <w:rPr>
          <w:rFonts w:ascii="Times New Roman" w:hAnsi="Times New Roman" w:cs="Times New Roman"/>
          <w:i/>
          <w:sz w:val="20"/>
          <w:szCs w:val="20"/>
          <w:lang w:val="en-US"/>
        </w:rPr>
        <w:t>Neighbourhood</w:t>
      </w:r>
      <w:proofErr w:type="spellEnd"/>
      <w:r w:rsidRPr="00FF3019">
        <w:rPr>
          <w:rFonts w:ascii="Times New Roman" w:hAnsi="Times New Roman" w:cs="Times New Roman"/>
          <w:i/>
          <w:sz w:val="20"/>
          <w:szCs w:val="20"/>
          <w:lang w:val="en-US"/>
        </w:rPr>
        <w:t xml:space="preserve"> Policy Review: European Union’s Role in the Mediterranean. </w:t>
      </w:r>
      <w:proofErr w:type="spellStart"/>
      <w:r w:rsidRPr="00FF3019">
        <w:rPr>
          <w:rFonts w:ascii="Times New Roman" w:hAnsi="Times New Roman" w:cs="Times New Roman"/>
          <w:i/>
          <w:sz w:val="20"/>
          <w:szCs w:val="20"/>
          <w:lang w:val="en-US"/>
        </w:rPr>
        <w:t>Euromed</w:t>
      </w:r>
      <w:proofErr w:type="spellEnd"/>
      <w:r w:rsidRPr="00FF3019">
        <w:rPr>
          <w:rFonts w:ascii="Times New Roman" w:hAnsi="Times New Roman" w:cs="Times New Roman"/>
          <w:i/>
          <w:sz w:val="20"/>
          <w:szCs w:val="20"/>
          <w:lang w:val="en-US"/>
        </w:rPr>
        <w:t xml:space="preserve"> Survey of Experts and Actors (Sixth edition), Barcelona, 2016, ISBN 978-84-393-9182-1, </w:t>
      </w:r>
      <w:hyperlink r:id="rId20" w:history="1">
        <w:r w:rsidRPr="00FF3019">
          <w:rPr>
            <w:rStyle w:val="a3"/>
            <w:rFonts w:ascii="Times New Roman" w:hAnsi="Times New Roman" w:cs="Times New Roman"/>
            <w:i/>
            <w:sz w:val="20"/>
            <w:szCs w:val="20"/>
            <w:lang w:val="en-US"/>
          </w:rPr>
          <w:t>http://www.iemed.org/publicacions/historic-de-publicacions/enquesta-euromed/euromed-survey-2015/contents-of-the-6th-euromed-survey</w:t>
        </w:r>
      </w:hyperlink>
      <w:r w:rsidRPr="00FF3019">
        <w:rPr>
          <w:rFonts w:ascii="Times New Roman" w:hAnsi="Times New Roman" w:cs="Times New Roman"/>
          <w:i/>
          <w:sz w:val="20"/>
          <w:szCs w:val="20"/>
          <w:lang w:val="en-US"/>
        </w:rPr>
        <w:t xml:space="preserve"> </w:t>
      </w:r>
    </w:p>
    <w:p w:rsidR="007457BA" w:rsidRPr="00FF3019" w:rsidRDefault="00941344" w:rsidP="006428A5">
      <w:pPr>
        <w:pStyle w:val="ae"/>
        <w:numPr>
          <w:ilvl w:val="0"/>
          <w:numId w:val="4"/>
        </w:numPr>
        <w:spacing w:after="0" w:line="276" w:lineRule="auto"/>
        <w:ind w:left="0" w:firstLine="0"/>
        <w:contextualSpacing w:val="0"/>
        <w:rPr>
          <w:rFonts w:ascii="Times New Roman" w:hAnsi="Times New Roman" w:cs="Times New Roman"/>
          <w:i/>
          <w:sz w:val="20"/>
          <w:szCs w:val="20"/>
          <w:lang w:val="en-US"/>
        </w:rPr>
      </w:pPr>
      <w:r w:rsidRPr="00FF3019">
        <w:rPr>
          <w:rFonts w:ascii="Times New Roman" w:hAnsi="Times New Roman" w:cs="Times New Roman"/>
          <w:i/>
          <w:sz w:val="20"/>
          <w:szCs w:val="20"/>
          <w:lang w:val="en-US"/>
        </w:rPr>
        <w:t xml:space="preserve">Knowledge and Expertise in European </w:t>
      </w:r>
      <w:proofErr w:type="spellStart"/>
      <w:proofErr w:type="gramStart"/>
      <w:r w:rsidRPr="00FF3019">
        <w:rPr>
          <w:rFonts w:ascii="Times New Roman" w:hAnsi="Times New Roman" w:cs="Times New Roman"/>
          <w:i/>
          <w:sz w:val="20"/>
          <w:szCs w:val="20"/>
          <w:lang w:val="en-US"/>
        </w:rPr>
        <w:t>Programmes</w:t>
      </w:r>
      <w:proofErr w:type="spellEnd"/>
      <w:r w:rsidRPr="00FF3019">
        <w:rPr>
          <w:rFonts w:ascii="Times New Roman" w:hAnsi="Times New Roman" w:cs="Times New Roman"/>
          <w:i/>
          <w:sz w:val="20"/>
          <w:szCs w:val="20"/>
          <w:lang w:val="en-US"/>
        </w:rPr>
        <w:t>,[</w:t>
      </w:r>
      <w:proofErr w:type="gramEnd"/>
      <w:r w:rsidRPr="00FF3019">
        <w:rPr>
          <w:rFonts w:ascii="Times New Roman" w:hAnsi="Times New Roman" w:cs="Times New Roman"/>
          <w:i/>
          <w:sz w:val="20"/>
          <w:szCs w:val="20"/>
          <w:lang w:val="en-US"/>
        </w:rPr>
        <w:t xml:space="preserve">Official site]//Statistics, </w:t>
      </w:r>
      <w:hyperlink r:id="rId21" w:history="1">
        <w:r w:rsidRPr="00FF3019">
          <w:rPr>
            <w:rStyle w:val="a3"/>
            <w:rFonts w:ascii="Times New Roman" w:hAnsi="Times New Roman" w:cs="Times New Roman"/>
            <w:i/>
            <w:sz w:val="20"/>
            <w:szCs w:val="20"/>
            <w:lang w:val="en-US"/>
          </w:rPr>
          <w:t>http://www.keep.eu/keep/statistics</w:t>
        </w:r>
      </w:hyperlink>
    </w:p>
    <w:p w:rsidR="00941344" w:rsidRPr="00FF3019" w:rsidRDefault="00941344" w:rsidP="006428A5">
      <w:pPr>
        <w:pStyle w:val="ae"/>
        <w:numPr>
          <w:ilvl w:val="0"/>
          <w:numId w:val="4"/>
        </w:numPr>
        <w:spacing w:after="0" w:line="276" w:lineRule="auto"/>
        <w:ind w:left="0" w:firstLine="0"/>
        <w:contextualSpacing w:val="0"/>
        <w:rPr>
          <w:rFonts w:ascii="Times New Roman" w:hAnsi="Times New Roman" w:cs="Times New Roman"/>
          <w:i/>
          <w:sz w:val="20"/>
          <w:szCs w:val="20"/>
        </w:rPr>
      </w:pPr>
      <w:r w:rsidRPr="00FF3019">
        <w:rPr>
          <w:rFonts w:ascii="Times New Roman" w:hAnsi="Times New Roman" w:cs="Times New Roman"/>
          <w:i/>
          <w:sz w:val="20"/>
          <w:szCs w:val="20"/>
          <w:lang w:val="en-US"/>
        </w:rPr>
        <w:t xml:space="preserve">Table of critical values for Pearson's r, </w:t>
      </w:r>
      <w:hyperlink r:id="rId22" w:history="1">
        <w:r w:rsidRPr="00FF3019">
          <w:rPr>
            <w:rStyle w:val="a3"/>
            <w:rFonts w:ascii="Times New Roman" w:hAnsi="Times New Roman" w:cs="Times New Roman"/>
            <w:i/>
            <w:sz w:val="20"/>
            <w:szCs w:val="20"/>
          </w:rPr>
          <w:t>http://users.sussex.ac.uk/~grahamh/RM1web/Pearsonstable.pdf</w:t>
        </w:r>
      </w:hyperlink>
      <w:r w:rsidRPr="00FF3019">
        <w:rPr>
          <w:rFonts w:ascii="Times New Roman" w:hAnsi="Times New Roman" w:cs="Times New Roman"/>
          <w:i/>
          <w:sz w:val="20"/>
          <w:szCs w:val="20"/>
        </w:rPr>
        <w:t xml:space="preserve"> </w:t>
      </w:r>
      <w:bookmarkStart w:id="0" w:name="_GoBack"/>
      <w:bookmarkEnd w:id="0"/>
    </w:p>
    <w:sectPr w:rsidR="00941344" w:rsidRPr="00FF3019" w:rsidSect="00D715FF">
      <w:footerReference w:type="default" r:id="rId23"/>
      <w:pgSz w:w="11906" w:h="16838"/>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3E7" w:rsidRDefault="001433E7" w:rsidP="00B940F3">
      <w:pPr>
        <w:spacing w:after="0" w:line="240" w:lineRule="auto"/>
      </w:pPr>
      <w:r>
        <w:separator/>
      </w:r>
    </w:p>
  </w:endnote>
  <w:endnote w:type="continuationSeparator" w:id="0">
    <w:p w:rsidR="001433E7" w:rsidRDefault="001433E7" w:rsidP="00B940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475915"/>
      <w:docPartObj>
        <w:docPartGallery w:val="Page Numbers (Bottom of Page)"/>
        <w:docPartUnique/>
      </w:docPartObj>
    </w:sdtPr>
    <w:sdtEndPr>
      <w:rPr>
        <w:rFonts w:ascii="Times New Roman" w:hAnsi="Times New Roman" w:cs="Times New Roman"/>
        <w:noProof/>
      </w:rPr>
    </w:sdtEndPr>
    <w:sdtContent>
      <w:p w:rsidR="00671876" w:rsidRPr="00980BEA" w:rsidRDefault="00671876">
        <w:pPr>
          <w:pStyle w:val="aa"/>
          <w:jc w:val="right"/>
          <w:rPr>
            <w:rFonts w:ascii="Times New Roman" w:hAnsi="Times New Roman" w:cs="Times New Roman"/>
          </w:rPr>
        </w:pPr>
        <w:r w:rsidRPr="00980BEA">
          <w:rPr>
            <w:rFonts w:ascii="Times New Roman" w:hAnsi="Times New Roman" w:cs="Times New Roman"/>
          </w:rPr>
          <w:fldChar w:fldCharType="begin"/>
        </w:r>
        <w:r w:rsidRPr="00980BEA">
          <w:rPr>
            <w:rFonts w:ascii="Times New Roman" w:hAnsi="Times New Roman" w:cs="Times New Roman"/>
          </w:rPr>
          <w:instrText xml:space="preserve"> PAGE   \* MERGEFORMAT </w:instrText>
        </w:r>
        <w:r w:rsidRPr="00980BEA">
          <w:rPr>
            <w:rFonts w:ascii="Times New Roman" w:hAnsi="Times New Roman" w:cs="Times New Roman"/>
          </w:rPr>
          <w:fldChar w:fldCharType="separate"/>
        </w:r>
        <w:r w:rsidR="00896278">
          <w:rPr>
            <w:rFonts w:ascii="Times New Roman" w:hAnsi="Times New Roman" w:cs="Times New Roman"/>
            <w:noProof/>
          </w:rPr>
          <w:t>10</w:t>
        </w:r>
        <w:r w:rsidRPr="00980BEA">
          <w:rPr>
            <w:rFonts w:ascii="Times New Roman" w:hAnsi="Times New Roman" w:cs="Times New Roman"/>
            <w:noProof/>
          </w:rPr>
          <w:fldChar w:fldCharType="end"/>
        </w:r>
      </w:p>
    </w:sdtContent>
  </w:sdt>
  <w:p w:rsidR="00671876" w:rsidRDefault="006718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3E7" w:rsidRDefault="001433E7" w:rsidP="00B940F3">
      <w:pPr>
        <w:spacing w:after="0" w:line="240" w:lineRule="auto"/>
      </w:pPr>
      <w:r>
        <w:separator/>
      </w:r>
    </w:p>
  </w:footnote>
  <w:footnote w:type="continuationSeparator" w:id="0">
    <w:p w:rsidR="001433E7" w:rsidRDefault="001433E7" w:rsidP="00B940F3">
      <w:pPr>
        <w:spacing w:after="0" w:line="240" w:lineRule="auto"/>
      </w:pPr>
      <w:r>
        <w:continuationSeparator/>
      </w:r>
    </w:p>
  </w:footnote>
  <w:footnote w:id="1">
    <w:p w:rsidR="00671876" w:rsidRPr="00D86441" w:rsidRDefault="00671876" w:rsidP="002B682D">
      <w:pPr>
        <w:pStyle w:val="a5"/>
        <w:spacing w:line="220" w:lineRule="exact"/>
        <w:rPr>
          <w:rFonts w:ascii="Times New Roman" w:hAnsi="Times New Roman" w:cs="Times New Roman"/>
          <w:i/>
        </w:rPr>
      </w:pPr>
      <w:r w:rsidRPr="00D86441">
        <w:rPr>
          <w:rStyle w:val="a7"/>
          <w:rFonts w:ascii="Times New Roman" w:hAnsi="Times New Roman" w:cs="Times New Roman"/>
          <w:i/>
        </w:rPr>
        <w:footnoteRef/>
      </w:r>
      <w:r w:rsidRPr="00D86441">
        <w:rPr>
          <w:rFonts w:ascii="Times New Roman" w:hAnsi="Times New Roman" w:cs="Times New Roman"/>
          <w:i/>
        </w:rPr>
        <w:t xml:space="preserve">Ключов принцип на ЕПС, който позволява на ЕС да диференцира сътрудничеството с партньорите си и да им предлага по-адекватна помощ, в зависимост от нуждите и напредъка на дадената държава. Нивото на подкрепа от страна на ЕС е отражение на нивото на посвещение от страна на държавата партньор към универсалните ценности, демократичния напредък и </w:t>
      </w:r>
      <w:proofErr w:type="spellStart"/>
      <w:r w:rsidRPr="00D86441">
        <w:rPr>
          <w:rFonts w:ascii="Times New Roman" w:hAnsi="Times New Roman" w:cs="Times New Roman"/>
          <w:i/>
        </w:rPr>
        <w:t>общодоговорените</w:t>
      </w:r>
      <w:proofErr w:type="spellEnd"/>
      <w:r w:rsidRPr="00D86441">
        <w:rPr>
          <w:rFonts w:ascii="Times New Roman" w:hAnsi="Times New Roman" w:cs="Times New Roman"/>
          <w:i/>
        </w:rPr>
        <w:t xml:space="preserve"> цели.</w:t>
      </w:r>
    </w:p>
  </w:footnote>
  <w:footnote w:id="2">
    <w:p w:rsidR="00671876" w:rsidRPr="008326B3" w:rsidRDefault="00671876" w:rsidP="002B682D">
      <w:pPr>
        <w:pStyle w:val="a5"/>
        <w:spacing w:line="220" w:lineRule="exact"/>
        <w:rPr>
          <w:rFonts w:ascii="Times New Roman" w:hAnsi="Times New Roman" w:cs="Times New Roman"/>
        </w:rPr>
      </w:pPr>
      <w:r w:rsidRPr="008326B3">
        <w:rPr>
          <w:rStyle w:val="a7"/>
          <w:rFonts w:ascii="Times New Roman" w:hAnsi="Times New Roman" w:cs="Times New Roman"/>
        </w:rPr>
        <w:footnoteRef/>
      </w:r>
      <w:r w:rsidRPr="008326B3">
        <w:rPr>
          <w:rFonts w:ascii="Times New Roman" w:hAnsi="Times New Roman" w:cs="Times New Roman"/>
        </w:rPr>
        <w:t xml:space="preserve"> </w:t>
      </w:r>
      <w:r w:rsidRPr="008326B3">
        <w:rPr>
          <w:rFonts w:ascii="Times New Roman" w:hAnsi="Times New Roman" w:cs="Times New Roman"/>
          <w:i/>
          <w:lang w:val="en-US"/>
        </w:rPr>
        <w:t xml:space="preserve">European Institute of the Mediterranean - </w:t>
      </w:r>
      <w:proofErr w:type="spellStart"/>
      <w:r w:rsidRPr="008326B3">
        <w:rPr>
          <w:rFonts w:ascii="Times New Roman" w:hAnsi="Times New Roman" w:cs="Times New Roman"/>
          <w:i/>
          <w:lang w:val="en-US"/>
        </w:rPr>
        <w:t>EIMed</w:t>
      </w:r>
      <w:proofErr w:type="spellEnd"/>
      <w:r w:rsidRPr="008326B3">
        <w:rPr>
          <w:rFonts w:ascii="Times New Roman" w:hAnsi="Times New Roman" w:cs="Times New Roman"/>
          <w:i/>
          <w:lang w:val="en-US"/>
        </w:rPr>
        <w:t xml:space="preserve">, [Official </w:t>
      </w:r>
      <w:proofErr w:type="gramStart"/>
      <w:r w:rsidRPr="008326B3">
        <w:rPr>
          <w:rFonts w:ascii="Times New Roman" w:hAnsi="Times New Roman" w:cs="Times New Roman"/>
          <w:i/>
          <w:lang w:val="en-US"/>
        </w:rPr>
        <w:t>site]//Publications/Collections/</w:t>
      </w:r>
      <w:proofErr w:type="gramEnd"/>
      <w:r w:rsidRPr="008326B3">
        <w:rPr>
          <w:rFonts w:ascii="Times New Roman" w:hAnsi="Times New Roman" w:cs="Times New Roman"/>
          <w:i/>
          <w:lang w:val="en-US"/>
        </w:rPr>
        <w:t xml:space="preserve"> European </w:t>
      </w:r>
      <w:proofErr w:type="spellStart"/>
      <w:r w:rsidRPr="008326B3">
        <w:rPr>
          <w:rFonts w:ascii="Times New Roman" w:hAnsi="Times New Roman" w:cs="Times New Roman"/>
          <w:i/>
          <w:lang w:val="en-US"/>
        </w:rPr>
        <w:t>Neighbourhood</w:t>
      </w:r>
      <w:proofErr w:type="spellEnd"/>
      <w:r w:rsidRPr="008326B3">
        <w:rPr>
          <w:rFonts w:ascii="Times New Roman" w:hAnsi="Times New Roman" w:cs="Times New Roman"/>
          <w:i/>
          <w:lang w:val="en-US"/>
        </w:rPr>
        <w:t xml:space="preserve"> Policy Review: European Union’s Role in the Mediterranean. </w:t>
      </w:r>
      <w:proofErr w:type="spellStart"/>
      <w:r w:rsidRPr="008326B3">
        <w:rPr>
          <w:rFonts w:ascii="Times New Roman" w:hAnsi="Times New Roman" w:cs="Times New Roman"/>
          <w:i/>
          <w:lang w:val="en-US"/>
        </w:rPr>
        <w:t>Euromed</w:t>
      </w:r>
      <w:proofErr w:type="spellEnd"/>
      <w:r w:rsidRPr="008326B3">
        <w:rPr>
          <w:rFonts w:ascii="Times New Roman" w:hAnsi="Times New Roman" w:cs="Times New Roman"/>
          <w:i/>
          <w:lang w:val="en-US"/>
        </w:rPr>
        <w:t xml:space="preserve"> Survey of Experts and Actors (Sixth edition), Barcelona, 2016, ISBN 978-84-393-9182-1, (</w:t>
      </w:r>
      <w:proofErr w:type="spellStart"/>
      <w:r w:rsidRPr="008326B3">
        <w:rPr>
          <w:rFonts w:ascii="Times New Roman" w:hAnsi="Times New Roman" w:cs="Times New Roman"/>
          <w:i/>
          <w:lang w:val="en-US"/>
        </w:rPr>
        <w:t>посетен</w:t>
      </w:r>
      <w:proofErr w:type="spellEnd"/>
      <w:r w:rsidRPr="008326B3">
        <w:rPr>
          <w:rFonts w:ascii="Times New Roman" w:hAnsi="Times New Roman" w:cs="Times New Roman"/>
          <w:i/>
          <w:lang w:val="en-US"/>
        </w:rPr>
        <w:t xml:space="preserve"> </w:t>
      </w:r>
      <w:proofErr w:type="spellStart"/>
      <w:r w:rsidRPr="008326B3">
        <w:rPr>
          <w:rFonts w:ascii="Times New Roman" w:hAnsi="Times New Roman" w:cs="Times New Roman"/>
          <w:i/>
          <w:lang w:val="en-US"/>
        </w:rPr>
        <w:t>на</w:t>
      </w:r>
      <w:proofErr w:type="spellEnd"/>
      <w:r w:rsidRPr="008326B3">
        <w:rPr>
          <w:rFonts w:ascii="Times New Roman" w:hAnsi="Times New Roman" w:cs="Times New Roman"/>
          <w:i/>
          <w:lang w:val="en-US"/>
        </w:rPr>
        <w:t xml:space="preserve"> 05.05.2016 г.), </w:t>
      </w:r>
      <w:hyperlink r:id="rId1" w:history="1">
        <w:r w:rsidRPr="008326B3">
          <w:rPr>
            <w:rStyle w:val="a3"/>
            <w:rFonts w:ascii="Times New Roman" w:hAnsi="Times New Roman" w:cs="Times New Roman"/>
            <w:i/>
            <w:lang w:val="en-US"/>
          </w:rPr>
          <w:t>http://www.iemed.org/publicacions/historic-de-publicacions/enquesta-euromed/euromed-survey-2015/contents-of-the-6th-euromed-survey</w:t>
        </w:r>
      </w:hyperlink>
      <w:r w:rsidRPr="008326B3">
        <w:rPr>
          <w:rFonts w:ascii="Times New Roman" w:hAnsi="Times New Roman" w:cs="Times New Roman"/>
          <w:i/>
        </w:rPr>
        <w:t xml:space="preserve"> </w:t>
      </w:r>
    </w:p>
  </w:footnote>
  <w:footnote w:id="3">
    <w:p w:rsidR="00671876" w:rsidRPr="008326B3" w:rsidRDefault="00671876" w:rsidP="002B682D">
      <w:pPr>
        <w:pStyle w:val="a5"/>
        <w:spacing w:line="220" w:lineRule="exact"/>
        <w:rPr>
          <w:rFonts w:ascii="Times New Roman" w:hAnsi="Times New Roman" w:cs="Times New Roman"/>
          <w:i/>
        </w:rPr>
      </w:pPr>
      <w:r w:rsidRPr="008326B3">
        <w:rPr>
          <w:rStyle w:val="a7"/>
          <w:rFonts w:ascii="Times New Roman" w:hAnsi="Times New Roman" w:cs="Times New Roman"/>
          <w:i/>
        </w:rPr>
        <w:footnoteRef/>
      </w:r>
      <w:r w:rsidRPr="008326B3">
        <w:rPr>
          <w:rFonts w:ascii="Times New Roman" w:hAnsi="Times New Roman" w:cs="Times New Roman"/>
          <w:i/>
        </w:rPr>
        <w:t>През програмния период 2007-2013 г. Алжир няма участие в трансгранични проекти, тъй като усилията са насочени към дейности в рамките на Споразумението за асоцииране (</w:t>
      </w:r>
      <w:proofErr w:type="spellStart"/>
      <w:r w:rsidRPr="008326B3">
        <w:rPr>
          <w:rFonts w:ascii="Times New Roman" w:hAnsi="Times New Roman" w:cs="Times New Roman"/>
          <w:i/>
        </w:rPr>
        <w:t>Martins</w:t>
      </w:r>
      <w:proofErr w:type="spellEnd"/>
      <w:r w:rsidRPr="008326B3">
        <w:rPr>
          <w:rFonts w:ascii="Times New Roman" w:hAnsi="Times New Roman" w:cs="Times New Roman"/>
          <w:i/>
        </w:rPr>
        <w:t xml:space="preserve">, </w:t>
      </w:r>
      <w:proofErr w:type="spellStart"/>
      <w:r w:rsidRPr="008326B3">
        <w:rPr>
          <w:rFonts w:ascii="Times New Roman" w:hAnsi="Times New Roman" w:cs="Times New Roman"/>
          <w:i/>
        </w:rPr>
        <w:t>Paulo</w:t>
      </w:r>
      <w:proofErr w:type="spellEnd"/>
      <w:r w:rsidRPr="008326B3">
        <w:rPr>
          <w:rFonts w:ascii="Times New Roman" w:hAnsi="Times New Roman" w:cs="Times New Roman"/>
          <w:i/>
        </w:rPr>
        <w:t xml:space="preserve"> (</w:t>
      </w:r>
      <w:r w:rsidRPr="008326B3">
        <w:rPr>
          <w:rFonts w:ascii="Times New Roman" w:hAnsi="Times New Roman" w:cs="Times New Roman"/>
          <w:i/>
          <w:lang w:val="en-US"/>
        </w:rPr>
        <w:t>Ed.)</w:t>
      </w:r>
      <w:r w:rsidRPr="008326B3">
        <w:rPr>
          <w:rFonts w:ascii="Times New Roman" w:hAnsi="Times New Roman" w:cs="Times New Roman"/>
          <w:i/>
        </w:rPr>
        <w:t>.</w:t>
      </w:r>
      <w:r w:rsidRPr="008326B3">
        <w:rPr>
          <w:rFonts w:ascii="Times New Roman" w:hAnsi="Times New Roman" w:cs="Times New Roman"/>
          <w:i/>
          <w:lang w:val="en-US"/>
        </w:rPr>
        <w:t xml:space="preserve"> Rapport sur la cooperation</w:t>
      </w:r>
      <w:r w:rsidRPr="008326B3">
        <w:rPr>
          <w:rFonts w:ascii="Times New Roman" w:hAnsi="Times New Roman" w:cs="Times New Roman"/>
          <w:i/>
        </w:rPr>
        <w:t xml:space="preserve"> </w:t>
      </w:r>
      <w:r w:rsidRPr="008326B3">
        <w:rPr>
          <w:rFonts w:ascii="Times New Roman" w:hAnsi="Times New Roman" w:cs="Times New Roman"/>
          <w:i/>
          <w:lang w:val="en-US"/>
        </w:rPr>
        <w:t>UE-</w:t>
      </w:r>
      <w:proofErr w:type="spellStart"/>
      <w:r w:rsidRPr="008326B3">
        <w:rPr>
          <w:rFonts w:ascii="Times New Roman" w:hAnsi="Times New Roman" w:cs="Times New Roman"/>
          <w:i/>
          <w:lang w:val="en-US"/>
        </w:rPr>
        <w:t>Algérie</w:t>
      </w:r>
      <w:proofErr w:type="spellEnd"/>
      <w:r w:rsidRPr="008326B3">
        <w:rPr>
          <w:rFonts w:ascii="Times New Roman" w:hAnsi="Times New Roman" w:cs="Times New Roman"/>
          <w:i/>
          <w:lang w:val="en-US"/>
        </w:rPr>
        <w:t xml:space="preserve">, </w:t>
      </w:r>
      <w:proofErr w:type="spellStart"/>
      <w:r w:rsidRPr="008326B3">
        <w:rPr>
          <w:rFonts w:ascii="Times New Roman" w:hAnsi="Times New Roman" w:cs="Times New Roman"/>
          <w:i/>
        </w:rPr>
        <w:t>Délégation</w:t>
      </w:r>
      <w:proofErr w:type="spellEnd"/>
      <w:r w:rsidRPr="008326B3">
        <w:rPr>
          <w:rFonts w:ascii="Times New Roman" w:hAnsi="Times New Roman" w:cs="Times New Roman"/>
          <w:i/>
        </w:rPr>
        <w:t xml:space="preserve"> de </w:t>
      </w:r>
      <w:proofErr w:type="spellStart"/>
      <w:r w:rsidRPr="008326B3">
        <w:rPr>
          <w:rFonts w:ascii="Times New Roman" w:hAnsi="Times New Roman" w:cs="Times New Roman"/>
          <w:i/>
        </w:rPr>
        <w:t>l’Union</w:t>
      </w:r>
      <w:proofErr w:type="spellEnd"/>
      <w:r w:rsidRPr="008326B3">
        <w:rPr>
          <w:rFonts w:ascii="Times New Roman" w:hAnsi="Times New Roman" w:cs="Times New Roman"/>
          <w:i/>
        </w:rPr>
        <w:t xml:space="preserve"> </w:t>
      </w:r>
      <w:proofErr w:type="spellStart"/>
      <w:r w:rsidRPr="008326B3">
        <w:rPr>
          <w:rFonts w:ascii="Times New Roman" w:hAnsi="Times New Roman" w:cs="Times New Roman"/>
          <w:i/>
        </w:rPr>
        <w:t>européenne</w:t>
      </w:r>
      <w:proofErr w:type="spellEnd"/>
      <w:r w:rsidRPr="008326B3">
        <w:rPr>
          <w:rFonts w:ascii="Times New Roman" w:hAnsi="Times New Roman" w:cs="Times New Roman"/>
          <w:i/>
        </w:rPr>
        <w:t xml:space="preserve"> </w:t>
      </w:r>
      <w:proofErr w:type="spellStart"/>
      <w:r w:rsidRPr="008326B3">
        <w:rPr>
          <w:rFonts w:ascii="Times New Roman" w:hAnsi="Times New Roman" w:cs="Times New Roman"/>
          <w:i/>
        </w:rPr>
        <w:t>en</w:t>
      </w:r>
      <w:proofErr w:type="spellEnd"/>
      <w:r w:rsidRPr="008326B3">
        <w:rPr>
          <w:rFonts w:ascii="Times New Roman" w:hAnsi="Times New Roman" w:cs="Times New Roman"/>
          <w:i/>
        </w:rPr>
        <w:t xml:space="preserve"> </w:t>
      </w:r>
      <w:proofErr w:type="spellStart"/>
      <w:r w:rsidRPr="008326B3">
        <w:rPr>
          <w:rFonts w:ascii="Times New Roman" w:hAnsi="Times New Roman" w:cs="Times New Roman"/>
          <w:i/>
        </w:rPr>
        <w:t>Algérie</w:t>
      </w:r>
      <w:proofErr w:type="spellEnd"/>
      <w:r w:rsidRPr="008326B3">
        <w:rPr>
          <w:rFonts w:ascii="Times New Roman" w:hAnsi="Times New Roman" w:cs="Times New Roman"/>
          <w:i/>
          <w:lang w:val="en-US"/>
        </w:rPr>
        <w:t>, Edition 2014</w:t>
      </w:r>
      <w:r w:rsidRPr="008326B3">
        <w:rPr>
          <w:rFonts w:ascii="Times New Roman" w:hAnsi="Times New Roman" w:cs="Times New Roman"/>
          <w:i/>
        </w:rPr>
        <w:t xml:space="preserve">, (посетен на 05.05.2016 г.), </w:t>
      </w:r>
      <w:hyperlink r:id="rId2" w:history="1">
        <w:r w:rsidRPr="008326B3">
          <w:rPr>
            <w:rStyle w:val="a3"/>
            <w:rFonts w:ascii="Times New Roman" w:hAnsi="Times New Roman" w:cs="Times New Roman"/>
            <w:i/>
          </w:rPr>
          <w:t>http://eeas.europa.eu/delegations/algeria/documents/rapport_cooperation_2014-_fianle_-_version_web.pdf</w:t>
        </w:r>
      </w:hyperlink>
      <w:r w:rsidRPr="008326B3">
        <w:rPr>
          <w:rFonts w:ascii="Times New Roman" w:hAnsi="Times New Roman" w:cs="Times New Roman"/>
          <w:i/>
        </w:rPr>
        <w:t xml:space="preserve"> </w:t>
      </w:r>
    </w:p>
  </w:footnote>
  <w:footnote w:id="4">
    <w:p w:rsidR="00671876" w:rsidRPr="008326B3" w:rsidRDefault="00671876" w:rsidP="002B682D">
      <w:pPr>
        <w:pStyle w:val="a5"/>
        <w:spacing w:line="220" w:lineRule="exact"/>
        <w:rPr>
          <w:rFonts w:ascii="Times New Roman" w:hAnsi="Times New Roman" w:cs="Times New Roman"/>
          <w:i/>
        </w:rPr>
      </w:pPr>
      <w:r w:rsidRPr="008326B3">
        <w:rPr>
          <w:rStyle w:val="a7"/>
          <w:rFonts w:ascii="Times New Roman" w:hAnsi="Times New Roman" w:cs="Times New Roman"/>
          <w:i/>
        </w:rPr>
        <w:footnoteRef/>
      </w:r>
      <w:r w:rsidRPr="008326B3">
        <w:rPr>
          <w:rFonts w:ascii="Times New Roman" w:hAnsi="Times New Roman" w:cs="Times New Roman"/>
          <w:i/>
        </w:rPr>
        <w:t xml:space="preserve"> </w:t>
      </w:r>
      <w:r w:rsidRPr="008326B3">
        <w:rPr>
          <w:rFonts w:ascii="Times New Roman" w:hAnsi="Times New Roman" w:cs="Times New Roman"/>
          <w:i/>
        </w:rPr>
        <w:t>Либия няма подписано с ЕС Споразумение за асоцииране. Поради нестабилността на политическите власти и институционалния капацитет, както и поради ограничаването на гражданското общество трансгранични проекти с участието на Либия не са реализирани през програмния период 2007-2013 г.</w:t>
      </w:r>
    </w:p>
  </w:footnote>
  <w:footnote w:id="5">
    <w:p w:rsidR="00671876" w:rsidRPr="008326B3" w:rsidRDefault="00671876" w:rsidP="002B682D">
      <w:pPr>
        <w:pStyle w:val="a5"/>
        <w:spacing w:line="220" w:lineRule="exact"/>
        <w:rPr>
          <w:rFonts w:ascii="Times New Roman" w:hAnsi="Times New Roman" w:cs="Times New Roman"/>
          <w:i/>
        </w:rPr>
      </w:pPr>
      <w:r w:rsidRPr="008326B3">
        <w:rPr>
          <w:rStyle w:val="a7"/>
          <w:rFonts w:ascii="Times New Roman" w:hAnsi="Times New Roman" w:cs="Times New Roman"/>
          <w:i/>
        </w:rPr>
        <w:footnoteRef/>
      </w:r>
      <w:r w:rsidRPr="008326B3">
        <w:rPr>
          <w:rFonts w:ascii="Times New Roman" w:hAnsi="Times New Roman" w:cs="Times New Roman"/>
          <w:i/>
        </w:rPr>
        <w:t xml:space="preserve"> </w:t>
      </w:r>
      <w:r w:rsidRPr="008326B3">
        <w:rPr>
          <w:rFonts w:ascii="Times New Roman" w:hAnsi="Times New Roman" w:cs="Times New Roman"/>
          <w:i/>
        </w:rPr>
        <w:t>Поради политическата и военна ситуация в Сирия, от 2011 г. партньорството между нея и ЕС в рамките на ЕПС е временно преустановено.</w:t>
      </w:r>
    </w:p>
  </w:footnote>
  <w:footnote w:id="6">
    <w:p w:rsidR="00671876" w:rsidRPr="00341EEC" w:rsidRDefault="00671876" w:rsidP="002B682D">
      <w:pPr>
        <w:pStyle w:val="a5"/>
        <w:spacing w:line="220" w:lineRule="exact"/>
        <w:rPr>
          <w:rFonts w:ascii="Times New Roman" w:hAnsi="Times New Roman" w:cs="Times New Roman"/>
          <w:i/>
        </w:rPr>
      </w:pPr>
      <w:r w:rsidRPr="00341EEC">
        <w:rPr>
          <w:rStyle w:val="a7"/>
          <w:rFonts w:ascii="Times New Roman" w:hAnsi="Times New Roman" w:cs="Times New Roman"/>
          <w:i/>
        </w:rPr>
        <w:footnoteRef/>
      </w:r>
      <w:r w:rsidRPr="00341EEC">
        <w:rPr>
          <w:rFonts w:ascii="Times New Roman" w:hAnsi="Times New Roman" w:cs="Times New Roman"/>
          <w:i/>
        </w:rPr>
        <w:t xml:space="preserve"> </w:t>
      </w:r>
      <w:r w:rsidRPr="00341EEC">
        <w:rPr>
          <w:rFonts w:ascii="Times New Roman" w:hAnsi="Times New Roman" w:cs="Times New Roman"/>
          <w:i/>
        </w:rPr>
        <w:t xml:space="preserve">СИДОВА, Дафинка. Методика за изследване на трансграничното сътрудничество като инструмент на Европейския съюз за повишаване на сигурността. В Коларов, Т. (състав. и </w:t>
      </w:r>
      <w:proofErr w:type="spellStart"/>
      <w:r w:rsidRPr="00341EEC">
        <w:rPr>
          <w:rFonts w:ascii="Times New Roman" w:hAnsi="Times New Roman" w:cs="Times New Roman"/>
          <w:i/>
        </w:rPr>
        <w:t>науч</w:t>
      </w:r>
      <w:proofErr w:type="spellEnd"/>
      <w:r w:rsidRPr="00341EEC">
        <w:rPr>
          <w:rFonts w:ascii="Times New Roman" w:hAnsi="Times New Roman" w:cs="Times New Roman"/>
          <w:i/>
        </w:rPr>
        <w:t>. ред.). Югоизточна Европа: новите заплахи пред регионалната сигурност : Сборник с материали от международна конференция, 2-3 юни 2015 г. Наука, образование, сигурност : Т. 3., С., НБУ, 2016, ISBN 9789545359071, стр. 133-144</w:t>
      </w:r>
    </w:p>
  </w:footnote>
  <w:footnote w:id="7">
    <w:p w:rsidR="00671876" w:rsidRPr="00455A28" w:rsidRDefault="00671876" w:rsidP="002B682D">
      <w:pPr>
        <w:pStyle w:val="a5"/>
        <w:spacing w:line="220" w:lineRule="exact"/>
        <w:rPr>
          <w:rFonts w:ascii="Times New Roman" w:hAnsi="Times New Roman" w:cs="Times New Roman"/>
          <w:i/>
        </w:rPr>
      </w:pPr>
      <w:r w:rsidRPr="00455A28">
        <w:rPr>
          <w:rStyle w:val="a7"/>
          <w:rFonts w:ascii="Times New Roman" w:hAnsi="Times New Roman" w:cs="Times New Roman"/>
          <w:i/>
        </w:rPr>
        <w:footnoteRef/>
      </w:r>
      <w:r w:rsidRPr="00455A28">
        <w:rPr>
          <w:rFonts w:ascii="Times New Roman" w:hAnsi="Times New Roman" w:cs="Times New Roman"/>
          <w:i/>
        </w:rPr>
        <w:t>За периода 2000-2006 г. не е наличен единен финансов инструмент за подпомагане на ТГ</w:t>
      </w:r>
      <w:r>
        <w:rPr>
          <w:rFonts w:ascii="Times New Roman" w:hAnsi="Times New Roman" w:cs="Times New Roman"/>
          <w:i/>
        </w:rPr>
        <w:t xml:space="preserve">С в рамките на ЕПС - </w:t>
      </w:r>
      <w:r w:rsidRPr="00455A28">
        <w:rPr>
          <w:rFonts w:ascii="Times New Roman" w:hAnsi="Times New Roman" w:cs="Times New Roman"/>
          <w:i/>
        </w:rPr>
        <w:t>ТГС се финансира от програмата за Евро-средиземноморско партньорство MEDA II. С навлизането в програмен период 2007-2013 г. ЕС въвежда Европейския инструмент за съседство и партньорство (ЕИСП - от 2014 г. е преобразуван в ЕИС), чиято основна цел е да предлага финансова помощ на държавите-партньорки на ЕС в рамките на ЕПС.</w:t>
      </w:r>
    </w:p>
  </w:footnote>
  <w:footnote w:id="8">
    <w:p w:rsidR="00671876" w:rsidRPr="00484AEE" w:rsidRDefault="00671876" w:rsidP="002B682D">
      <w:pPr>
        <w:pStyle w:val="a5"/>
        <w:spacing w:line="220" w:lineRule="exact"/>
        <w:rPr>
          <w:rFonts w:ascii="Times New Roman" w:hAnsi="Times New Roman" w:cs="Times New Roman"/>
          <w:i/>
          <w:lang w:val="en-US"/>
        </w:rPr>
      </w:pPr>
      <w:r w:rsidRPr="00990E4C">
        <w:rPr>
          <w:rStyle w:val="a7"/>
          <w:rFonts w:ascii="Times New Roman" w:hAnsi="Times New Roman" w:cs="Times New Roman"/>
          <w:i/>
        </w:rPr>
        <w:footnoteRef/>
      </w:r>
      <w:r w:rsidRPr="00990E4C">
        <w:rPr>
          <w:rFonts w:ascii="Times New Roman" w:hAnsi="Times New Roman" w:cs="Times New Roman"/>
          <w:i/>
        </w:rPr>
        <w:t xml:space="preserve"> </w:t>
      </w:r>
      <w:r w:rsidRPr="00990E4C">
        <w:rPr>
          <w:rFonts w:ascii="Times New Roman" w:hAnsi="Times New Roman" w:cs="Times New Roman"/>
          <w:i/>
        </w:rPr>
        <w:t xml:space="preserve">Данните за проектите са взети от </w:t>
      </w:r>
      <w:r w:rsidRPr="00990E4C">
        <w:rPr>
          <w:rFonts w:ascii="Times New Roman" w:hAnsi="Times New Roman" w:cs="Times New Roman"/>
          <w:i/>
          <w:lang w:val="en-US"/>
        </w:rPr>
        <w:t>Knowledge and Expertise</w:t>
      </w:r>
      <w:r>
        <w:rPr>
          <w:rFonts w:ascii="Times New Roman" w:hAnsi="Times New Roman" w:cs="Times New Roman"/>
          <w:i/>
          <w:lang w:val="en-US"/>
        </w:rPr>
        <w:t xml:space="preserve"> in European </w:t>
      </w:r>
      <w:proofErr w:type="spellStart"/>
      <w:r>
        <w:rPr>
          <w:rFonts w:ascii="Times New Roman" w:hAnsi="Times New Roman" w:cs="Times New Roman"/>
          <w:i/>
          <w:lang w:val="en-US"/>
        </w:rPr>
        <w:t>Programmes</w:t>
      </w:r>
      <w:proofErr w:type="spellEnd"/>
      <w:r w:rsidRPr="00990E4C">
        <w:rPr>
          <w:rFonts w:ascii="Times New Roman" w:hAnsi="Times New Roman" w:cs="Times New Roman"/>
          <w:i/>
          <w:lang w:val="en-US"/>
        </w:rPr>
        <w:t xml:space="preserve">//Statistic [Official site]. </w:t>
      </w:r>
      <w:r w:rsidRPr="00990E4C">
        <w:rPr>
          <w:rFonts w:ascii="Times New Roman" w:hAnsi="Times New Roman" w:cs="Times New Roman"/>
          <w:i/>
        </w:rPr>
        <w:t xml:space="preserve">(посетен на 10.05.2016 г.), </w:t>
      </w:r>
      <w:r w:rsidR="001433E7">
        <w:fldChar w:fldCharType="begin"/>
      </w:r>
      <w:r w:rsidR="001433E7">
        <w:instrText xml:space="preserve"> HYPERLINK "http://www.keep.eu/keep/statistics" </w:instrText>
      </w:r>
      <w:r w:rsidR="001433E7">
        <w:fldChar w:fldCharType="separate"/>
      </w:r>
      <w:r w:rsidRPr="00990E4C">
        <w:rPr>
          <w:rStyle w:val="a3"/>
          <w:rFonts w:ascii="Times New Roman" w:hAnsi="Times New Roman" w:cs="Times New Roman"/>
          <w:i/>
        </w:rPr>
        <w:t>http://www.keep.eu/keep/statistics</w:t>
      </w:r>
      <w:r w:rsidR="001433E7">
        <w:rPr>
          <w:rStyle w:val="a3"/>
          <w:rFonts w:ascii="Times New Roman" w:hAnsi="Times New Roman" w:cs="Times New Roman"/>
          <w:i/>
        </w:rPr>
        <w:fldChar w:fldCharType="end"/>
      </w:r>
      <w:r>
        <w:rPr>
          <w:rFonts w:ascii="Times New Roman" w:hAnsi="Times New Roman" w:cs="Times New Roman"/>
          <w:i/>
        </w:rPr>
        <w:t xml:space="preserve"> (По-нататък </w:t>
      </w:r>
      <w:r>
        <w:rPr>
          <w:rFonts w:ascii="Times New Roman" w:hAnsi="Times New Roman" w:cs="Times New Roman"/>
          <w:i/>
          <w:lang w:val="en-US"/>
        </w:rPr>
        <w:t>KEEP)</w:t>
      </w:r>
    </w:p>
  </w:footnote>
  <w:footnote w:id="9">
    <w:p w:rsidR="00671876" w:rsidRPr="00E4791D" w:rsidRDefault="00671876" w:rsidP="00E4791D">
      <w:pPr>
        <w:pStyle w:val="a5"/>
        <w:spacing w:line="220" w:lineRule="exact"/>
        <w:rPr>
          <w:rFonts w:ascii="Times New Roman" w:hAnsi="Times New Roman" w:cs="Times New Roman"/>
          <w:i/>
          <w:lang w:val="en-US"/>
        </w:rPr>
      </w:pPr>
      <w:r w:rsidRPr="00E4791D">
        <w:rPr>
          <w:rStyle w:val="a7"/>
          <w:rFonts w:ascii="Times New Roman" w:hAnsi="Times New Roman" w:cs="Times New Roman"/>
          <w:i/>
          <w:lang w:val="en-US"/>
        </w:rPr>
        <w:footnoteRef/>
      </w:r>
      <w:r w:rsidRPr="00E4791D">
        <w:rPr>
          <w:rFonts w:ascii="Times New Roman" w:hAnsi="Times New Roman" w:cs="Times New Roman"/>
          <w:i/>
          <w:lang w:val="en-US"/>
        </w:rPr>
        <w:t xml:space="preserve"> European Commission and High Representative of the Union for Foreign Affairs and Security Policy. Joint Communication to the European Parliament, the Council, the European Economic and Social Committee and the Committee of the Regions. Review of the European </w:t>
      </w:r>
      <w:proofErr w:type="spellStart"/>
      <w:r w:rsidRPr="00E4791D">
        <w:rPr>
          <w:rFonts w:ascii="Times New Roman" w:hAnsi="Times New Roman" w:cs="Times New Roman"/>
          <w:i/>
          <w:lang w:val="en-US"/>
        </w:rPr>
        <w:t>Neighbourhood</w:t>
      </w:r>
      <w:proofErr w:type="spellEnd"/>
      <w:r w:rsidRPr="00E4791D">
        <w:rPr>
          <w:rFonts w:ascii="Times New Roman" w:hAnsi="Times New Roman" w:cs="Times New Roman"/>
          <w:i/>
          <w:lang w:val="en-US"/>
        </w:rPr>
        <w:t xml:space="preserve"> Policy. Brussels, 18.11.2015, </w:t>
      </w:r>
      <w:proofErr w:type="gramStart"/>
      <w:r w:rsidRPr="00E4791D">
        <w:rPr>
          <w:rFonts w:ascii="Times New Roman" w:hAnsi="Times New Roman" w:cs="Times New Roman"/>
          <w:i/>
          <w:lang w:val="en-US"/>
        </w:rPr>
        <w:t>JOIN(</w:t>
      </w:r>
      <w:proofErr w:type="gramEnd"/>
      <w:r w:rsidRPr="00E4791D">
        <w:rPr>
          <w:rFonts w:ascii="Times New Roman" w:hAnsi="Times New Roman" w:cs="Times New Roman"/>
          <w:i/>
          <w:lang w:val="en-US"/>
        </w:rPr>
        <w:t>2015) 50 final</w:t>
      </w:r>
    </w:p>
  </w:footnote>
  <w:footnote w:id="10">
    <w:p w:rsidR="00E4791D" w:rsidRPr="00FF3019" w:rsidRDefault="00E4791D" w:rsidP="00E4791D">
      <w:pPr>
        <w:pStyle w:val="af1"/>
        <w:spacing w:before="0" w:beforeAutospacing="0" w:after="0" w:afterAutospacing="0" w:line="220" w:lineRule="exact"/>
        <w:rPr>
          <w:i/>
          <w:sz w:val="20"/>
          <w:szCs w:val="20"/>
        </w:rPr>
      </w:pPr>
      <w:r w:rsidRPr="00FF3019">
        <w:rPr>
          <w:rStyle w:val="a7"/>
          <w:i/>
          <w:sz w:val="20"/>
          <w:szCs w:val="20"/>
          <w:lang w:val="en-US"/>
        </w:rPr>
        <w:footnoteRef/>
      </w:r>
      <w:r w:rsidRPr="00FF3019">
        <w:rPr>
          <w:rFonts w:eastAsia="Verdana"/>
          <w:i/>
          <w:color w:val="000000" w:themeColor="text1"/>
          <w:kern w:val="24"/>
          <w:sz w:val="20"/>
          <w:szCs w:val="20"/>
          <w:lang w:val="ru-RU"/>
        </w:rPr>
        <w:t xml:space="preserve">БОЖАНОВ, </w:t>
      </w:r>
      <w:proofErr w:type="spellStart"/>
      <w:r w:rsidRPr="00FF3019">
        <w:rPr>
          <w:rFonts w:eastAsia="Verdana"/>
          <w:i/>
          <w:color w:val="000000" w:themeColor="text1"/>
          <w:kern w:val="24"/>
          <w:sz w:val="20"/>
          <w:szCs w:val="20"/>
          <w:lang w:val="ru-RU"/>
        </w:rPr>
        <w:t>Емил</w:t>
      </w:r>
      <w:proofErr w:type="spellEnd"/>
      <w:r w:rsidRPr="00FF3019">
        <w:rPr>
          <w:rFonts w:eastAsia="Verdana"/>
          <w:i/>
          <w:color w:val="000000" w:themeColor="text1"/>
          <w:kern w:val="24"/>
          <w:sz w:val="20"/>
          <w:szCs w:val="20"/>
          <w:lang w:val="ru-RU"/>
        </w:rPr>
        <w:t xml:space="preserve"> и Иван </w:t>
      </w:r>
      <w:proofErr w:type="spellStart"/>
      <w:r w:rsidRPr="00FF3019">
        <w:rPr>
          <w:rFonts w:eastAsia="Verdana"/>
          <w:i/>
          <w:color w:val="000000" w:themeColor="text1"/>
          <w:kern w:val="24"/>
          <w:sz w:val="20"/>
          <w:szCs w:val="20"/>
          <w:lang w:val="ru-RU"/>
        </w:rPr>
        <w:t>Вучков</w:t>
      </w:r>
      <w:proofErr w:type="spellEnd"/>
      <w:r w:rsidRPr="00FF3019">
        <w:rPr>
          <w:rFonts w:eastAsia="Verdana"/>
          <w:i/>
          <w:color w:val="000000" w:themeColor="text1"/>
          <w:kern w:val="24"/>
          <w:sz w:val="20"/>
          <w:szCs w:val="20"/>
          <w:lang w:val="ru-RU"/>
        </w:rPr>
        <w:t xml:space="preserve">. Статистически </w:t>
      </w:r>
      <w:proofErr w:type="spellStart"/>
      <w:r w:rsidRPr="00FF3019">
        <w:rPr>
          <w:rFonts w:eastAsia="Verdana"/>
          <w:i/>
          <w:color w:val="000000" w:themeColor="text1"/>
          <w:kern w:val="24"/>
          <w:sz w:val="20"/>
          <w:szCs w:val="20"/>
          <w:lang w:val="ru-RU"/>
        </w:rPr>
        <w:t>методи</w:t>
      </w:r>
      <w:proofErr w:type="spellEnd"/>
      <w:r w:rsidRPr="00FF3019">
        <w:rPr>
          <w:rFonts w:eastAsia="Verdana"/>
          <w:i/>
          <w:color w:val="000000" w:themeColor="text1"/>
          <w:kern w:val="24"/>
          <w:sz w:val="20"/>
          <w:szCs w:val="20"/>
          <w:lang w:val="ru-RU"/>
        </w:rPr>
        <w:t xml:space="preserve"> за </w:t>
      </w:r>
      <w:proofErr w:type="spellStart"/>
      <w:r w:rsidRPr="00FF3019">
        <w:rPr>
          <w:rFonts w:eastAsia="Verdana"/>
          <w:i/>
          <w:color w:val="000000" w:themeColor="text1"/>
          <w:kern w:val="24"/>
          <w:sz w:val="20"/>
          <w:szCs w:val="20"/>
          <w:lang w:val="ru-RU"/>
        </w:rPr>
        <w:t>моделиране</w:t>
      </w:r>
      <w:proofErr w:type="spellEnd"/>
      <w:r w:rsidRPr="00FF3019">
        <w:rPr>
          <w:rFonts w:eastAsia="Verdana"/>
          <w:i/>
          <w:color w:val="000000" w:themeColor="text1"/>
          <w:kern w:val="24"/>
          <w:sz w:val="20"/>
          <w:szCs w:val="20"/>
          <w:lang w:val="ru-RU"/>
        </w:rPr>
        <w:t xml:space="preserve"> и </w:t>
      </w:r>
      <w:proofErr w:type="spellStart"/>
      <w:r w:rsidRPr="00FF3019">
        <w:rPr>
          <w:rFonts w:eastAsia="Verdana"/>
          <w:i/>
          <w:color w:val="000000" w:themeColor="text1"/>
          <w:kern w:val="24"/>
          <w:sz w:val="20"/>
          <w:szCs w:val="20"/>
          <w:lang w:val="ru-RU"/>
        </w:rPr>
        <w:t>оптимизиране</w:t>
      </w:r>
      <w:proofErr w:type="spellEnd"/>
      <w:r w:rsidRPr="00FF3019">
        <w:rPr>
          <w:rFonts w:eastAsia="Verdana"/>
          <w:i/>
          <w:color w:val="000000" w:themeColor="text1"/>
          <w:kern w:val="24"/>
          <w:sz w:val="20"/>
          <w:szCs w:val="20"/>
          <w:lang w:val="ru-RU"/>
        </w:rPr>
        <w:t xml:space="preserve"> на </w:t>
      </w:r>
      <w:proofErr w:type="spellStart"/>
      <w:r w:rsidRPr="00FF3019">
        <w:rPr>
          <w:rFonts w:eastAsia="Verdana"/>
          <w:i/>
          <w:color w:val="000000" w:themeColor="text1"/>
          <w:kern w:val="24"/>
          <w:sz w:val="20"/>
          <w:szCs w:val="20"/>
          <w:lang w:val="ru-RU"/>
        </w:rPr>
        <w:t>многофакторни</w:t>
      </w:r>
      <w:proofErr w:type="spellEnd"/>
      <w:r w:rsidRPr="00FF3019">
        <w:rPr>
          <w:rFonts w:eastAsia="Verdana"/>
          <w:i/>
          <w:color w:val="000000" w:themeColor="text1"/>
          <w:kern w:val="24"/>
          <w:sz w:val="20"/>
          <w:szCs w:val="20"/>
          <w:lang w:val="ru-RU"/>
        </w:rPr>
        <w:t xml:space="preserve"> </w:t>
      </w:r>
      <w:proofErr w:type="spellStart"/>
      <w:r w:rsidRPr="00FF3019">
        <w:rPr>
          <w:rFonts w:eastAsia="Verdana"/>
          <w:i/>
          <w:color w:val="000000" w:themeColor="text1"/>
          <w:kern w:val="24"/>
          <w:sz w:val="20"/>
          <w:szCs w:val="20"/>
          <w:lang w:val="ru-RU"/>
        </w:rPr>
        <w:t>обекти</w:t>
      </w:r>
      <w:proofErr w:type="spellEnd"/>
      <w:r w:rsidRPr="00FF3019">
        <w:rPr>
          <w:rFonts w:eastAsia="Verdana"/>
          <w:i/>
          <w:color w:val="000000" w:themeColor="text1"/>
          <w:kern w:val="24"/>
          <w:sz w:val="20"/>
          <w:szCs w:val="20"/>
          <w:lang w:val="ru-RU"/>
        </w:rPr>
        <w:t xml:space="preserve">. С. «Техника»,1973 и </w:t>
      </w:r>
      <w:r w:rsidRPr="00FF3019">
        <w:rPr>
          <w:i/>
          <w:caps/>
          <w:sz w:val="20"/>
          <w:szCs w:val="20"/>
          <w:lang w:val="en-US"/>
        </w:rPr>
        <w:t>Jackson</w:t>
      </w:r>
      <w:r w:rsidRPr="00FF3019">
        <w:rPr>
          <w:i/>
          <w:sz w:val="20"/>
          <w:szCs w:val="20"/>
          <w:lang w:val="en-US"/>
        </w:rPr>
        <w:t>, Sherri L. Research Methods and Statistics: A Critical Thinking Approach, 4th Edition, Cengage Learning, 2012, ISBN 1111346550, 9781111346553, pp. 147-171</w:t>
      </w:r>
    </w:p>
  </w:footnote>
  <w:footnote w:id="11">
    <w:p w:rsidR="00671876" w:rsidRPr="00FF3019" w:rsidRDefault="00671876" w:rsidP="00075EC8">
      <w:pPr>
        <w:pStyle w:val="a5"/>
        <w:spacing w:line="220" w:lineRule="exact"/>
        <w:rPr>
          <w:rFonts w:ascii="Times New Roman" w:hAnsi="Times New Roman" w:cs="Times New Roman"/>
          <w:i/>
          <w:lang w:val="en-US"/>
        </w:rPr>
      </w:pPr>
      <w:r w:rsidRPr="00FF3019">
        <w:rPr>
          <w:rStyle w:val="a7"/>
          <w:rFonts w:ascii="Times New Roman" w:hAnsi="Times New Roman" w:cs="Times New Roman"/>
          <w:i/>
        </w:rPr>
        <w:footnoteRef/>
      </w:r>
      <w:r w:rsidRPr="00FF3019">
        <w:rPr>
          <w:rFonts w:ascii="Times New Roman" w:hAnsi="Times New Roman" w:cs="Times New Roman"/>
          <w:i/>
        </w:rPr>
        <w:t xml:space="preserve">Всички изчисления са направени чрез </w:t>
      </w:r>
      <w:r w:rsidRPr="00FF3019">
        <w:rPr>
          <w:rFonts w:ascii="Times New Roman" w:hAnsi="Times New Roman" w:cs="Times New Roman"/>
          <w:i/>
          <w:lang w:val="en-US"/>
        </w:rPr>
        <w:t>Excel.</w:t>
      </w:r>
    </w:p>
  </w:footnote>
  <w:footnote w:id="12">
    <w:p w:rsidR="00671876" w:rsidRPr="00075EC8" w:rsidRDefault="00671876" w:rsidP="00075EC8">
      <w:pPr>
        <w:pStyle w:val="a5"/>
        <w:spacing w:line="220" w:lineRule="exact"/>
        <w:rPr>
          <w:rFonts w:ascii="Times New Roman" w:hAnsi="Times New Roman" w:cs="Times New Roman"/>
          <w:i/>
        </w:rPr>
      </w:pPr>
      <w:r w:rsidRPr="00FF3019">
        <w:rPr>
          <w:rStyle w:val="a7"/>
          <w:rFonts w:ascii="Times New Roman" w:hAnsi="Times New Roman" w:cs="Times New Roman"/>
          <w:i/>
        </w:rPr>
        <w:footnoteRef/>
      </w:r>
      <w:proofErr w:type="spellStart"/>
      <w:r w:rsidRPr="00FF3019">
        <w:rPr>
          <w:rFonts w:ascii="Times New Roman" w:hAnsi="Times New Roman" w:cs="Times New Roman"/>
          <w:i/>
        </w:rPr>
        <w:t>Table</w:t>
      </w:r>
      <w:proofErr w:type="spellEnd"/>
      <w:r w:rsidRPr="00FF3019">
        <w:rPr>
          <w:rFonts w:ascii="Times New Roman" w:hAnsi="Times New Roman" w:cs="Times New Roman"/>
          <w:i/>
        </w:rPr>
        <w:t xml:space="preserve"> </w:t>
      </w:r>
      <w:proofErr w:type="spellStart"/>
      <w:r w:rsidRPr="00FF3019">
        <w:rPr>
          <w:rFonts w:ascii="Times New Roman" w:hAnsi="Times New Roman" w:cs="Times New Roman"/>
          <w:i/>
        </w:rPr>
        <w:t>of</w:t>
      </w:r>
      <w:proofErr w:type="spellEnd"/>
      <w:r w:rsidRPr="00FF3019">
        <w:rPr>
          <w:rFonts w:ascii="Times New Roman" w:hAnsi="Times New Roman" w:cs="Times New Roman"/>
          <w:i/>
        </w:rPr>
        <w:t xml:space="preserve"> </w:t>
      </w:r>
      <w:proofErr w:type="spellStart"/>
      <w:r w:rsidRPr="00FF3019">
        <w:rPr>
          <w:rFonts w:ascii="Times New Roman" w:hAnsi="Times New Roman" w:cs="Times New Roman"/>
          <w:i/>
        </w:rPr>
        <w:t>critical</w:t>
      </w:r>
      <w:proofErr w:type="spellEnd"/>
      <w:r w:rsidRPr="00FF3019">
        <w:rPr>
          <w:rFonts w:ascii="Times New Roman" w:hAnsi="Times New Roman" w:cs="Times New Roman"/>
          <w:i/>
        </w:rPr>
        <w:t xml:space="preserve"> </w:t>
      </w:r>
      <w:proofErr w:type="spellStart"/>
      <w:r w:rsidRPr="00FF3019">
        <w:rPr>
          <w:rFonts w:ascii="Times New Roman" w:hAnsi="Times New Roman" w:cs="Times New Roman"/>
          <w:i/>
        </w:rPr>
        <w:t>values</w:t>
      </w:r>
      <w:proofErr w:type="spellEnd"/>
      <w:r w:rsidRPr="00FF3019">
        <w:rPr>
          <w:rFonts w:ascii="Times New Roman" w:hAnsi="Times New Roman" w:cs="Times New Roman"/>
          <w:i/>
        </w:rPr>
        <w:t xml:space="preserve"> </w:t>
      </w:r>
      <w:proofErr w:type="spellStart"/>
      <w:r w:rsidRPr="00FF3019">
        <w:rPr>
          <w:rFonts w:ascii="Times New Roman" w:hAnsi="Times New Roman" w:cs="Times New Roman"/>
          <w:i/>
        </w:rPr>
        <w:t>for</w:t>
      </w:r>
      <w:proofErr w:type="spellEnd"/>
      <w:r w:rsidRPr="00FF3019">
        <w:rPr>
          <w:rFonts w:ascii="Times New Roman" w:hAnsi="Times New Roman" w:cs="Times New Roman"/>
          <w:i/>
          <w:lang w:val="en-US"/>
        </w:rPr>
        <w:t xml:space="preserve"> </w:t>
      </w:r>
      <w:proofErr w:type="spellStart"/>
      <w:r w:rsidRPr="00FF3019">
        <w:rPr>
          <w:rFonts w:ascii="Times New Roman" w:hAnsi="Times New Roman" w:cs="Times New Roman"/>
          <w:i/>
        </w:rPr>
        <w:t>Pearson's</w:t>
      </w:r>
      <w:proofErr w:type="spellEnd"/>
      <w:r w:rsidRPr="00FF3019">
        <w:rPr>
          <w:rFonts w:ascii="Times New Roman" w:hAnsi="Times New Roman" w:cs="Times New Roman"/>
          <w:i/>
        </w:rPr>
        <w:t xml:space="preserve"> r (посетен на 06.06.2016 г.)</w:t>
      </w:r>
      <w:r w:rsidRPr="00FF3019">
        <w:rPr>
          <w:rFonts w:ascii="Times New Roman" w:hAnsi="Times New Roman" w:cs="Times New Roman"/>
          <w:i/>
          <w:lang w:val="en-US"/>
        </w:rPr>
        <w:t xml:space="preserve">: </w:t>
      </w:r>
      <w:hyperlink r:id="rId3" w:history="1">
        <w:r w:rsidRPr="00FF3019">
          <w:rPr>
            <w:rStyle w:val="a3"/>
            <w:rFonts w:ascii="Times New Roman" w:hAnsi="Times New Roman" w:cs="Times New Roman"/>
            <w:i/>
            <w:lang w:val="en-US"/>
          </w:rPr>
          <w:t>http://users.sussex.ac.uk/~grahamh/RM1web/Pearsonstable.pdf</w:t>
        </w:r>
      </w:hyperlink>
      <w:r>
        <w:rPr>
          <w:rFonts w:ascii="Times New Roman" w:hAnsi="Times New Roman" w:cs="Times New Roman"/>
          <w:i/>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E441B"/>
    <w:multiLevelType w:val="hybridMultilevel"/>
    <w:tmpl w:val="23782776"/>
    <w:lvl w:ilvl="0" w:tplc="0402000F">
      <w:start w:val="1"/>
      <w:numFmt w:val="decimal"/>
      <w:lvlText w:val="%1."/>
      <w:lvlJc w:val="left"/>
      <w:pPr>
        <w:ind w:left="1426" w:hanging="360"/>
      </w:pPr>
    </w:lvl>
    <w:lvl w:ilvl="1" w:tplc="04020019" w:tentative="1">
      <w:start w:val="1"/>
      <w:numFmt w:val="lowerLetter"/>
      <w:lvlText w:val="%2."/>
      <w:lvlJc w:val="left"/>
      <w:pPr>
        <w:ind w:left="2146" w:hanging="360"/>
      </w:pPr>
    </w:lvl>
    <w:lvl w:ilvl="2" w:tplc="0402001B" w:tentative="1">
      <w:start w:val="1"/>
      <w:numFmt w:val="lowerRoman"/>
      <w:lvlText w:val="%3."/>
      <w:lvlJc w:val="right"/>
      <w:pPr>
        <w:ind w:left="2866" w:hanging="180"/>
      </w:pPr>
    </w:lvl>
    <w:lvl w:ilvl="3" w:tplc="0402000F" w:tentative="1">
      <w:start w:val="1"/>
      <w:numFmt w:val="decimal"/>
      <w:lvlText w:val="%4."/>
      <w:lvlJc w:val="left"/>
      <w:pPr>
        <w:ind w:left="3586" w:hanging="360"/>
      </w:pPr>
    </w:lvl>
    <w:lvl w:ilvl="4" w:tplc="04020019" w:tentative="1">
      <w:start w:val="1"/>
      <w:numFmt w:val="lowerLetter"/>
      <w:lvlText w:val="%5."/>
      <w:lvlJc w:val="left"/>
      <w:pPr>
        <w:ind w:left="4306" w:hanging="360"/>
      </w:pPr>
    </w:lvl>
    <w:lvl w:ilvl="5" w:tplc="0402001B" w:tentative="1">
      <w:start w:val="1"/>
      <w:numFmt w:val="lowerRoman"/>
      <w:lvlText w:val="%6."/>
      <w:lvlJc w:val="right"/>
      <w:pPr>
        <w:ind w:left="5026" w:hanging="180"/>
      </w:pPr>
    </w:lvl>
    <w:lvl w:ilvl="6" w:tplc="0402000F" w:tentative="1">
      <w:start w:val="1"/>
      <w:numFmt w:val="decimal"/>
      <w:lvlText w:val="%7."/>
      <w:lvlJc w:val="left"/>
      <w:pPr>
        <w:ind w:left="5746" w:hanging="360"/>
      </w:pPr>
    </w:lvl>
    <w:lvl w:ilvl="7" w:tplc="04020019" w:tentative="1">
      <w:start w:val="1"/>
      <w:numFmt w:val="lowerLetter"/>
      <w:lvlText w:val="%8."/>
      <w:lvlJc w:val="left"/>
      <w:pPr>
        <w:ind w:left="6466" w:hanging="360"/>
      </w:pPr>
    </w:lvl>
    <w:lvl w:ilvl="8" w:tplc="0402001B" w:tentative="1">
      <w:start w:val="1"/>
      <w:numFmt w:val="lowerRoman"/>
      <w:lvlText w:val="%9."/>
      <w:lvlJc w:val="right"/>
      <w:pPr>
        <w:ind w:left="7186" w:hanging="180"/>
      </w:pPr>
    </w:lvl>
  </w:abstractNum>
  <w:abstractNum w:abstractNumId="1" w15:restartNumberingAfterBreak="0">
    <w:nsid w:val="16223D8D"/>
    <w:multiLevelType w:val="hybridMultilevel"/>
    <w:tmpl w:val="1F9AA834"/>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2" w15:restartNumberingAfterBreak="0">
    <w:nsid w:val="297A6973"/>
    <w:multiLevelType w:val="hybridMultilevel"/>
    <w:tmpl w:val="548C09E8"/>
    <w:lvl w:ilvl="0" w:tplc="F59E516E">
      <w:start w:val="1"/>
      <w:numFmt w:val="decimal"/>
      <w:lvlText w:val="%1."/>
      <w:lvlJc w:val="left"/>
      <w:pPr>
        <w:ind w:left="1066" w:hanging="360"/>
      </w:pPr>
      <w:rPr>
        <w:rFonts w:hint="default"/>
      </w:rPr>
    </w:lvl>
    <w:lvl w:ilvl="1" w:tplc="04020019" w:tentative="1">
      <w:start w:val="1"/>
      <w:numFmt w:val="lowerLetter"/>
      <w:lvlText w:val="%2."/>
      <w:lvlJc w:val="left"/>
      <w:pPr>
        <w:ind w:left="1786" w:hanging="360"/>
      </w:pPr>
    </w:lvl>
    <w:lvl w:ilvl="2" w:tplc="0402001B" w:tentative="1">
      <w:start w:val="1"/>
      <w:numFmt w:val="lowerRoman"/>
      <w:lvlText w:val="%3."/>
      <w:lvlJc w:val="right"/>
      <w:pPr>
        <w:ind w:left="2506" w:hanging="180"/>
      </w:pPr>
    </w:lvl>
    <w:lvl w:ilvl="3" w:tplc="0402000F" w:tentative="1">
      <w:start w:val="1"/>
      <w:numFmt w:val="decimal"/>
      <w:lvlText w:val="%4."/>
      <w:lvlJc w:val="left"/>
      <w:pPr>
        <w:ind w:left="3226" w:hanging="360"/>
      </w:pPr>
    </w:lvl>
    <w:lvl w:ilvl="4" w:tplc="04020019" w:tentative="1">
      <w:start w:val="1"/>
      <w:numFmt w:val="lowerLetter"/>
      <w:lvlText w:val="%5."/>
      <w:lvlJc w:val="left"/>
      <w:pPr>
        <w:ind w:left="3946" w:hanging="360"/>
      </w:pPr>
    </w:lvl>
    <w:lvl w:ilvl="5" w:tplc="0402001B" w:tentative="1">
      <w:start w:val="1"/>
      <w:numFmt w:val="lowerRoman"/>
      <w:lvlText w:val="%6."/>
      <w:lvlJc w:val="right"/>
      <w:pPr>
        <w:ind w:left="4666" w:hanging="180"/>
      </w:pPr>
    </w:lvl>
    <w:lvl w:ilvl="6" w:tplc="0402000F" w:tentative="1">
      <w:start w:val="1"/>
      <w:numFmt w:val="decimal"/>
      <w:lvlText w:val="%7."/>
      <w:lvlJc w:val="left"/>
      <w:pPr>
        <w:ind w:left="5386" w:hanging="360"/>
      </w:pPr>
    </w:lvl>
    <w:lvl w:ilvl="7" w:tplc="04020019" w:tentative="1">
      <w:start w:val="1"/>
      <w:numFmt w:val="lowerLetter"/>
      <w:lvlText w:val="%8."/>
      <w:lvlJc w:val="left"/>
      <w:pPr>
        <w:ind w:left="6106" w:hanging="360"/>
      </w:pPr>
    </w:lvl>
    <w:lvl w:ilvl="8" w:tplc="0402001B" w:tentative="1">
      <w:start w:val="1"/>
      <w:numFmt w:val="lowerRoman"/>
      <w:lvlText w:val="%9."/>
      <w:lvlJc w:val="right"/>
      <w:pPr>
        <w:ind w:left="6826" w:hanging="180"/>
      </w:pPr>
    </w:lvl>
  </w:abstractNum>
  <w:abstractNum w:abstractNumId="3" w15:restartNumberingAfterBreak="0">
    <w:nsid w:val="5C3D632B"/>
    <w:multiLevelType w:val="hybridMultilevel"/>
    <w:tmpl w:val="8ADE0CA6"/>
    <w:lvl w:ilvl="0" w:tplc="04020001">
      <w:start w:val="1"/>
      <w:numFmt w:val="bullet"/>
      <w:lvlText w:val=""/>
      <w:lvlJc w:val="left"/>
      <w:pPr>
        <w:ind w:left="1426" w:hanging="360"/>
      </w:pPr>
      <w:rPr>
        <w:rFonts w:ascii="Symbol" w:hAnsi="Symbol" w:hint="default"/>
      </w:rPr>
    </w:lvl>
    <w:lvl w:ilvl="1" w:tplc="04020003" w:tentative="1">
      <w:start w:val="1"/>
      <w:numFmt w:val="bullet"/>
      <w:lvlText w:val="o"/>
      <w:lvlJc w:val="left"/>
      <w:pPr>
        <w:ind w:left="2146" w:hanging="360"/>
      </w:pPr>
      <w:rPr>
        <w:rFonts w:ascii="Courier New" w:hAnsi="Courier New" w:cs="Courier New" w:hint="default"/>
      </w:rPr>
    </w:lvl>
    <w:lvl w:ilvl="2" w:tplc="04020005" w:tentative="1">
      <w:start w:val="1"/>
      <w:numFmt w:val="bullet"/>
      <w:lvlText w:val=""/>
      <w:lvlJc w:val="left"/>
      <w:pPr>
        <w:ind w:left="2866" w:hanging="360"/>
      </w:pPr>
      <w:rPr>
        <w:rFonts w:ascii="Wingdings" w:hAnsi="Wingdings" w:hint="default"/>
      </w:rPr>
    </w:lvl>
    <w:lvl w:ilvl="3" w:tplc="04020001" w:tentative="1">
      <w:start w:val="1"/>
      <w:numFmt w:val="bullet"/>
      <w:lvlText w:val=""/>
      <w:lvlJc w:val="left"/>
      <w:pPr>
        <w:ind w:left="3586" w:hanging="360"/>
      </w:pPr>
      <w:rPr>
        <w:rFonts w:ascii="Symbol" w:hAnsi="Symbol" w:hint="default"/>
      </w:rPr>
    </w:lvl>
    <w:lvl w:ilvl="4" w:tplc="04020003" w:tentative="1">
      <w:start w:val="1"/>
      <w:numFmt w:val="bullet"/>
      <w:lvlText w:val="o"/>
      <w:lvlJc w:val="left"/>
      <w:pPr>
        <w:ind w:left="4306" w:hanging="360"/>
      </w:pPr>
      <w:rPr>
        <w:rFonts w:ascii="Courier New" w:hAnsi="Courier New" w:cs="Courier New" w:hint="default"/>
      </w:rPr>
    </w:lvl>
    <w:lvl w:ilvl="5" w:tplc="04020005" w:tentative="1">
      <w:start w:val="1"/>
      <w:numFmt w:val="bullet"/>
      <w:lvlText w:val=""/>
      <w:lvlJc w:val="left"/>
      <w:pPr>
        <w:ind w:left="5026" w:hanging="360"/>
      </w:pPr>
      <w:rPr>
        <w:rFonts w:ascii="Wingdings" w:hAnsi="Wingdings" w:hint="default"/>
      </w:rPr>
    </w:lvl>
    <w:lvl w:ilvl="6" w:tplc="04020001" w:tentative="1">
      <w:start w:val="1"/>
      <w:numFmt w:val="bullet"/>
      <w:lvlText w:val=""/>
      <w:lvlJc w:val="left"/>
      <w:pPr>
        <w:ind w:left="5746" w:hanging="360"/>
      </w:pPr>
      <w:rPr>
        <w:rFonts w:ascii="Symbol" w:hAnsi="Symbol" w:hint="default"/>
      </w:rPr>
    </w:lvl>
    <w:lvl w:ilvl="7" w:tplc="04020003" w:tentative="1">
      <w:start w:val="1"/>
      <w:numFmt w:val="bullet"/>
      <w:lvlText w:val="o"/>
      <w:lvlJc w:val="left"/>
      <w:pPr>
        <w:ind w:left="6466" w:hanging="360"/>
      </w:pPr>
      <w:rPr>
        <w:rFonts w:ascii="Courier New" w:hAnsi="Courier New" w:cs="Courier New" w:hint="default"/>
      </w:rPr>
    </w:lvl>
    <w:lvl w:ilvl="8" w:tplc="04020005" w:tentative="1">
      <w:start w:val="1"/>
      <w:numFmt w:val="bullet"/>
      <w:lvlText w:val=""/>
      <w:lvlJc w:val="left"/>
      <w:pPr>
        <w:ind w:left="7186" w:hanging="360"/>
      </w:pPr>
      <w:rPr>
        <w:rFonts w:ascii="Wingdings" w:hAnsi="Wingdings" w:hint="default"/>
      </w:rPr>
    </w:lvl>
  </w:abstractNum>
  <w:abstractNum w:abstractNumId="4" w15:restartNumberingAfterBreak="0">
    <w:nsid w:val="6A952324"/>
    <w:multiLevelType w:val="hybridMultilevel"/>
    <w:tmpl w:val="B0A0861C"/>
    <w:lvl w:ilvl="0" w:tplc="71BE23B6">
      <w:start w:val="1"/>
      <w:numFmt w:val="decimal"/>
      <w:lvlText w:val="%1."/>
      <w:lvlJc w:val="left"/>
      <w:pPr>
        <w:ind w:left="1426" w:hanging="360"/>
      </w:pPr>
      <w:rPr>
        <w:rFonts w:ascii="Times New Roman" w:eastAsiaTheme="minorHAnsi" w:hAnsi="Times New Roman" w:cs="Times New Roman"/>
      </w:rPr>
    </w:lvl>
    <w:lvl w:ilvl="1" w:tplc="04020019" w:tentative="1">
      <w:start w:val="1"/>
      <w:numFmt w:val="lowerLetter"/>
      <w:lvlText w:val="%2."/>
      <w:lvlJc w:val="left"/>
      <w:pPr>
        <w:ind w:left="2146" w:hanging="360"/>
      </w:pPr>
    </w:lvl>
    <w:lvl w:ilvl="2" w:tplc="0402001B" w:tentative="1">
      <w:start w:val="1"/>
      <w:numFmt w:val="lowerRoman"/>
      <w:lvlText w:val="%3."/>
      <w:lvlJc w:val="right"/>
      <w:pPr>
        <w:ind w:left="2866" w:hanging="180"/>
      </w:pPr>
    </w:lvl>
    <w:lvl w:ilvl="3" w:tplc="0402000F" w:tentative="1">
      <w:start w:val="1"/>
      <w:numFmt w:val="decimal"/>
      <w:lvlText w:val="%4."/>
      <w:lvlJc w:val="left"/>
      <w:pPr>
        <w:ind w:left="3586" w:hanging="360"/>
      </w:pPr>
    </w:lvl>
    <w:lvl w:ilvl="4" w:tplc="04020019" w:tentative="1">
      <w:start w:val="1"/>
      <w:numFmt w:val="lowerLetter"/>
      <w:lvlText w:val="%5."/>
      <w:lvlJc w:val="left"/>
      <w:pPr>
        <w:ind w:left="4306" w:hanging="360"/>
      </w:pPr>
    </w:lvl>
    <w:lvl w:ilvl="5" w:tplc="0402001B" w:tentative="1">
      <w:start w:val="1"/>
      <w:numFmt w:val="lowerRoman"/>
      <w:lvlText w:val="%6."/>
      <w:lvlJc w:val="right"/>
      <w:pPr>
        <w:ind w:left="5026" w:hanging="180"/>
      </w:pPr>
    </w:lvl>
    <w:lvl w:ilvl="6" w:tplc="0402000F" w:tentative="1">
      <w:start w:val="1"/>
      <w:numFmt w:val="decimal"/>
      <w:lvlText w:val="%7."/>
      <w:lvlJc w:val="left"/>
      <w:pPr>
        <w:ind w:left="5746" w:hanging="360"/>
      </w:pPr>
    </w:lvl>
    <w:lvl w:ilvl="7" w:tplc="04020019" w:tentative="1">
      <w:start w:val="1"/>
      <w:numFmt w:val="lowerLetter"/>
      <w:lvlText w:val="%8."/>
      <w:lvlJc w:val="left"/>
      <w:pPr>
        <w:ind w:left="6466" w:hanging="360"/>
      </w:pPr>
    </w:lvl>
    <w:lvl w:ilvl="8" w:tplc="0402001B" w:tentative="1">
      <w:start w:val="1"/>
      <w:numFmt w:val="lowerRoman"/>
      <w:lvlText w:val="%9."/>
      <w:lvlJc w:val="right"/>
      <w:pPr>
        <w:ind w:left="7186" w:hanging="180"/>
      </w:pPr>
    </w:lvl>
  </w:abstractNum>
  <w:abstractNum w:abstractNumId="5" w15:restartNumberingAfterBreak="0">
    <w:nsid w:val="6D8F5781"/>
    <w:multiLevelType w:val="hybridMultilevel"/>
    <w:tmpl w:val="64C69A08"/>
    <w:lvl w:ilvl="0" w:tplc="2EBA0080">
      <w:start w:val="1"/>
      <w:numFmt w:val="upperRoman"/>
      <w:lvlText w:val="%1."/>
      <w:lvlJc w:val="left"/>
      <w:pPr>
        <w:ind w:left="1426" w:hanging="720"/>
      </w:pPr>
      <w:rPr>
        <w:rFonts w:hint="default"/>
      </w:rPr>
    </w:lvl>
    <w:lvl w:ilvl="1" w:tplc="04020019" w:tentative="1">
      <w:start w:val="1"/>
      <w:numFmt w:val="lowerLetter"/>
      <w:lvlText w:val="%2."/>
      <w:lvlJc w:val="left"/>
      <w:pPr>
        <w:ind w:left="1786" w:hanging="360"/>
      </w:pPr>
    </w:lvl>
    <w:lvl w:ilvl="2" w:tplc="0402001B" w:tentative="1">
      <w:start w:val="1"/>
      <w:numFmt w:val="lowerRoman"/>
      <w:lvlText w:val="%3."/>
      <w:lvlJc w:val="right"/>
      <w:pPr>
        <w:ind w:left="2506" w:hanging="180"/>
      </w:pPr>
    </w:lvl>
    <w:lvl w:ilvl="3" w:tplc="0402000F" w:tentative="1">
      <w:start w:val="1"/>
      <w:numFmt w:val="decimal"/>
      <w:lvlText w:val="%4."/>
      <w:lvlJc w:val="left"/>
      <w:pPr>
        <w:ind w:left="3226" w:hanging="360"/>
      </w:pPr>
    </w:lvl>
    <w:lvl w:ilvl="4" w:tplc="04020019" w:tentative="1">
      <w:start w:val="1"/>
      <w:numFmt w:val="lowerLetter"/>
      <w:lvlText w:val="%5."/>
      <w:lvlJc w:val="left"/>
      <w:pPr>
        <w:ind w:left="3946" w:hanging="360"/>
      </w:pPr>
    </w:lvl>
    <w:lvl w:ilvl="5" w:tplc="0402001B" w:tentative="1">
      <w:start w:val="1"/>
      <w:numFmt w:val="lowerRoman"/>
      <w:lvlText w:val="%6."/>
      <w:lvlJc w:val="right"/>
      <w:pPr>
        <w:ind w:left="4666" w:hanging="180"/>
      </w:pPr>
    </w:lvl>
    <w:lvl w:ilvl="6" w:tplc="0402000F" w:tentative="1">
      <w:start w:val="1"/>
      <w:numFmt w:val="decimal"/>
      <w:lvlText w:val="%7."/>
      <w:lvlJc w:val="left"/>
      <w:pPr>
        <w:ind w:left="5386" w:hanging="360"/>
      </w:pPr>
    </w:lvl>
    <w:lvl w:ilvl="7" w:tplc="04020019" w:tentative="1">
      <w:start w:val="1"/>
      <w:numFmt w:val="lowerLetter"/>
      <w:lvlText w:val="%8."/>
      <w:lvlJc w:val="left"/>
      <w:pPr>
        <w:ind w:left="6106" w:hanging="360"/>
      </w:pPr>
    </w:lvl>
    <w:lvl w:ilvl="8" w:tplc="0402001B" w:tentative="1">
      <w:start w:val="1"/>
      <w:numFmt w:val="lowerRoman"/>
      <w:lvlText w:val="%9."/>
      <w:lvlJc w:val="right"/>
      <w:pPr>
        <w:ind w:left="6826" w:hanging="180"/>
      </w:pPr>
    </w:lvl>
  </w:abstractNum>
  <w:abstractNum w:abstractNumId="6" w15:restartNumberingAfterBreak="0">
    <w:nsid w:val="79CC6A9B"/>
    <w:multiLevelType w:val="hybridMultilevel"/>
    <w:tmpl w:val="9142F414"/>
    <w:lvl w:ilvl="0" w:tplc="04020001">
      <w:start w:val="1"/>
      <w:numFmt w:val="bullet"/>
      <w:lvlText w:val=""/>
      <w:lvlJc w:val="left"/>
      <w:pPr>
        <w:ind w:left="1426" w:hanging="360"/>
      </w:pPr>
      <w:rPr>
        <w:rFonts w:ascii="Symbol" w:hAnsi="Symbol" w:hint="default"/>
      </w:rPr>
    </w:lvl>
    <w:lvl w:ilvl="1" w:tplc="04020003" w:tentative="1">
      <w:start w:val="1"/>
      <w:numFmt w:val="bullet"/>
      <w:lvlText w:val="o"/>
      <w:lvlJc w:val="left"/>
      <w:pPr>
        <w:ind w:left="2146" w:hanging="360"/>
      </w:pPr>
      <w:rPr>
        <w:rFonts w:ascii="Courier New" w:hAnsi="Courier New" w:cs="Courier New" w:hint="default"/>
      </w:rPr>
    </w:lvl>
    <w:lvl w:ilvl="2" w:tplc="04020005" w:tentative="1">
      <w:start w:val="1"/>
      <w:numFmt w:val="bullet"/>
      <w:lvlText w:val=""/>
      <w:lvlJc w:val="left"/>
      <w:pPr>
        <w:ind w:left="2866" w:hanging="360"/>
      </w:pPr>
      <w:rPr>
        <w:rFonts w:ascii="Wingdings" w:hAnsi="Wingdings" w:hint="default"/>
      </w:rPr>
    </w:lvl>
    <w:lvl w:ilvl="3" w:tplc="04020001" w:tentative="1">
      <w:start w:val="1"/>
      <w:numFmt w:val="bullet"/>
      <w:lvlText w:val=""/>
      <w:lvlJc w:val="left"/>
      <w:pPr>
        <w:ind w:left="3586" w:hanging="360"/>
      </w:pPr>
      <w:rPr>
        <w:rFonts w:ascii="Symbol" w:hAnsi="Symbol" w:hint="default"/>
      </w:rPr>
    </w:lvl>
    <w:lvl w:ilvl="4" w:tplc="04020003" w:tentative="1">
      <w:start w:val="1"/>
      <w:numFmt w:val="bullet"/>
      <w:lvlText w:val="o"/>
      <w:lvlJc w:val="left"/>
      <w:pPr>
        <w:ind w:left="4306" w:hanging="360"/>
      </w:pPr>
      <w:rPr>
        <w:rFonts w:ascii="Courier New" w:hAnsi="Courier New" w:cs="Courier New" w:hint="default"/>
      </w:rPr>
    </w:lvl>
    <w:lvl w:ilvl="5" w:tplc="04020005" w:tentative="1">
      <w:start w:val="1"/>
      <w:numFmt w:val="bullet"/>
      <w:lvlText w:val=""/>
      <w:lvlJc w:val="left"/>
      <w:pPr>
        <w:ind w:left="5026" w:hanging="360"/>
      </w:pPr>
      <w:rPr>
        <w:rFonts w:ascii="Wingdings" w:hAnsi="Wingdings" w:hint="default"/>
      </w:rPr>
    </w:lvl>
    <w:lvl w:ilvl="6" w:tplc="04020001" w:tentative="1">
      <w:start w:val="1"/>
      <w:numFmt w:val="bullet"/>
      <w:lvlText w:val=""/>
      <w:lvlJc w:val="left"/>
      <w:pPr>
        <w:ind w:left="5746" w:hanging="360"/>
      </w:pPr>
      <w:rPr>
        <w:rFonts w:ascii="Symbol" w:hAnsi="Symbol" w:hint="default"/>
      </w:rPr>
    </w:lvl>
    <w:lvl w:ilvl="7" w:tplc="04020003" w:tentative="1">
      <w:start w:val="1"/>
      <w:numFmt w:val="bullet"/>
      <w:lvlText w:val="o"/>
      <w:lvlJc w:val="left"/>
      <w:pPr>
        <w:ind w:left="6466" w:hanging="360"/>
      </w:pPr>
      <w:rPr>
        <w:rFonts w:ascii="Courier New" w:hAnsi="Courier New" w:cs="Courier New" w:hint="default"/>
      </w:rPr>
    </w:lvl>
    <w:lvl w:ilvl="8" w:tplc="04020005" w:tentative="1">
      <w:start w:val="1"/>
      <w:numFmt w:val="bullet"/>
      <w:lvlText w:val=""/>
      <w:lvlJc w:val="left"/>
      <w:pPr>
        <w:ind w:left="7186"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F8"/>
    <w:rsid w:val="0000259D"/>
    <w:rsid w:val="00010C1A"/>
    <w:rsid w:val="00016367"/>
    <w:rsid w:val="00016630"/>
    <w:rsid w:val="00020E89"/>
    <w:rsid w:val="00023C2F"/>
    <w:rsid w:val="000240BF"/>
    <w:rsid w:val="00046C8C"/>
    <w:rsid w:val="00047413"/>
    <w:rsid w:val="0005079A"/>
    <w:rsid w:val="000528DF"/>
    <w:rsid w:val="00054249"/>
    <w:rsid w:val="00054E18"/>
    <w:rsid w:val="00060290"/>
    <w:rsid w:val="00061595"/>
    <w:rsid w:val="00063FA3"/>
    <w:rsid w:val="00065C78"/>
    <w:rsid w:val="00075EC8"/>
    <w:rsid w:val="00081765"/>
    <w:rsid w:val="000853EA"/>
    <w:rsid w:val="000925E3"/>
    <w:rsid w:val="00093605"/>
    <w:rsid w:val="000962A1"/>
    <w:rsid w:val="0009648F"/>
    <w:rsid w:val="000A0B4D"/>
    <w:rsid w:val="000A17AA"/>
    <w:rsid w:val="000A55E5"/>
    <w:rsid w:val="000A77BE"/>
    <w:rsid w:val="000B25E7"/>
    <w:rsid w:val="000C3BE1"/>
    <w:rsid w:val="000C59C0"/>
    <w:rsid w:val="000E63BC"/>
    <w:rsid w:val="000F7CFD"/>
    <w:rsid w:val="00103207"/>
    <w:rsid w:val="00103A41"/>
    <w:rsid w:val="00103CB8"/>
    <w:rsid w:val="0011214D"/>
    <w:rsid w:val="00121BE3"/>
    <w:rsid w:val="00122734"/>
    <w:rsid w:val="00122875"/>
    <w:rsid w:val="001266C4"/>
    <w:rsid w:val="001303BF"/>
    <w:rsid w:val="00136732"/>
    <w:rsid w:val="00137A64"/>
    <w:rsid w:val="00142ACE"/>
    <w:rsid w:val="001433E7"/>
    <w:rsid w:val="00155149"/>
    <w:rsid w:val="001668AE"/>
    <w:rsid w:val="001754FD"/>
    <w:rsid w:val="00175C9C"/>
    <w:rsid w:val="00175DC1"/>
    <w:rsid w:val="00177B95"/>
    <w:rsid w:val="00182005"/>
    <w:rsid w:val="00182525"/>
    <w:rsid w:val="00186A3B"/>
    <w:rsid w:val="0019713B"/>
    <w:rsid w:val="001A5AAC"/>
    <w:rsid w:val="001A7D62"/>
    <w:rsid w:val="001B18C4"/>
    <w:rsid w:val="001B1F3F"/>
    <w:rsid w:val="001B7AD8"/>
    <w:rsid w:val="001D5463"/>
    <w:rsid w:val="001D6785"/>
    <w:rsid w:val="001E0C06"/>
    <w:rsid w:val="001E77B5"/>
    <w:rsid w:val="001F7142"/>
    <w:rsid w:val="00202118"/>
    <w:rsid w:val="00203878"/>
    <w:rsid w:val="00205DBC"/>
    <w:rsid w:val="002151AE"/>
    <w:rsid w:val="00215F3B"/>
    <w:rsid w:val="00217C56"/>
    <w:rsid w:val="002239AD"/>
    <w:rsid w:val="00224ADC"/>
    <w:rsid w:val="00225AA7"/>
    <w:rsid w:val="0022602A"/>
    <w:rsid w:val="00230E16"/>
    <w:rsid w:val="002426FF"/>
    <w:rsid w:val="00245B93"/>
    <w:rsid w:val="00246FBA"/>
    <w:rsid w:val="002605C1"/>
    <w:rsid w:val="002618BA"/>
    <w:rsid w:val="00262D9F"/>
    <w:rsid w:val="00264C07"/>
    <w:rsid w:val="002737AC"/>
    <w:rsid w:val="002748F4"/>
    <w:rsid w:val="00275472"/>
    <w:rsid w:val="002767F3"/>
    <w:rsid w:val="00283899"/>
    <w:rsid w:val="00283EEE"/>
    <w:rsid w:val="00285A5F"/>
    <w:rsid w:val="00294193"/>
    <w:rsid w:val="00295622"/>
    <w:rsid w:val="002A140C"/>
    <w:rsid w:val="002A6968"/>
    <w:rsid w:val="002B057E"/>
    <w:rsid w:val="002B682D"/>
    <w:rsid w:val="002B6D38"/>
    <w:rsid w:val="002B79A1"/>
    <w:rsid w:val="002C1F82"/>
    <w:rsid w:val="002C3D4D"/>
    <w:rsid w:val="002C5E6A"/>
    <w:rsid w:val="002C77FE"/>
    <w:rsid w:val="002D3E91"/>
    <w:rsid w:val="002E66B7"/>
    <w:rsid w:val="002E7AE6"/>
    <w:rsid w:val="002F48DA"/>
    <w:rsid w:val="002F4AC7"/>
    <w:rsid w:val="003027F9"/>
    <w:rsid w:val="00314FF4"/>
    <w:rsid w:val="00315FC4"/>
    <w:rsid w:val="00320C60"/>
    <w:rsid w:val="00325900"/>
    <w:rsid w:val="003266B4"/>
    <w:rsid w:val="0032768C"/>
    <w:rsid w:val="00332B5D"/>
    <w:rsid w:val="00333625"/>
    <w:rsid w:val="00341EEC"/>
    <w:rsid w:val="00344569"/>
    <w:rsid w:val="003465C1"/>
    <w:rsid w:val="00355A3B"/>
    <w:rsid w:val="0035627D"/>
    <w:rsid w:val="003574A5"/>
    <w:rsid w:val="003609B9"/>
    <w:rsid w:val="00363089"/>
    <w:rsid w:val="003673B9"/>
    <w:rsid w:val="00370013"/>
    <w:rsid w:val="003713C8"/>
    <w:rsid w:val="003750BE"/>
    <w:rsid w:val="00384488"/>
    <w:rsid w:val="0039155D"/>
    <w:rsid w:val="003945AF"/>
    <w:rsid w:val="003A10BE"/>
    <w:rsid w:val="003C08D2"/>
    <w:rsid w:val="003C1AC8"/>
    <w:rsid w:val="003C59F3"/>
    <w:rsid w:val="003D1B26"/>
    <w:rsid w:val="003E623D"/>
    <w:rsid w:val="003F44D5"/>
    <w:rsid w:val="00404439"/>
    <w:rsid w:val="0041027A"/>
    <w:rsid w:val="00413465"/>
    <w:rsid w:val="004167D5"/>
    <w:rsid w:val="00417FD9"/>
    <w:rsid w:val="00424488"/>
    <w:rsid w:val="00424915"/>
    <w:rsid w:val="00430F7F"/>
    <w:rsid w:val="004416A8"/>
    <w:rsid w:val="00442051"/>
    <w:rsid w:val="004439E8"/>
    <w:rsid w:val="00446307"/>
    <w:rsid w:val="0044703C"/>
    <w:rsid w:val="004501D2"/>
    <w:rsid w:val="00452C6A"/>
    <w:rsid w:val="00455A28"/>
    <w:rsid w:val="00463029"/>
    <w:rsid w:val="00465E60"/>
    <w:rsid w:val="00471FA7"/>
    <w:rsid w:val="0047339C"/>
    <w:rsid w:val="00473C0A"/>
    <w:rsid w:val="004826AA"/>
    <w:rsid w:val="00484AEE"/>
    <w:rsid w:val="00485D61"/>
    <w:rsid w:val="00486F25"/>
    <w:rsid w:val="004A4FAC"/>
    <w:rsid w:val="004A5BC0"/>
    <w:rsid w:val="004B76A1"/>
    <w:rsid w:val="004B7DAC"/>
    <w:rsid w:val="004C52AC"/>
    <w:rsid w:val="004C5428"/>
    <w:rsid w:val="004D21BB"/>
    <w:rsid w:val="004D526C"/>
    <w:rsid w:val="004D70A9"/>
    <w:rsid w:val="004E10A0"/>
    <w:rsid w:val="004E4FEC"/>
    <w:rsid w:val="004E6067"/>
    <w:rsid w:val="004E6162"/>
    <w:rsid w:val="004F1849"/>
    <w:rsid w:val="00500DE0"/>
    <w:rsid w:val="00500F51"/>
    <w:rsid w:val="00510A49"/>
    <w:rsid w:val="005112F6"/>
    <w:rsid w:val="00521D82"/>
    <w:rsid w:val="00523062"/>
    <w:rsid w:val="00525A5D"/>
    <w:rsid w:val="005308AC"/>
    <w:rsid w:val="005361D8"/>
    <w:rsid w:val="0053718E"/>
    <w:rsid w:val="00537CC5"/>
    <w:rsid w:val="00540871"/>
    <w:rsid w:val="00541D6D"/>
    <w:rsid w:val="00546F1A"/>
    <w:rsid w:val="00550B83"/>
    <w:rsid w:val="00553920"/>
    <w:rsid w:val="00553A84"/>
    <w:rsid w:val="00556ED5"/>
    <w:rsid w:val="0056166A"/>
    <w:rsid w:val="00564099"/>
    <w:rsid w:val="00565A1F"/>
    <w:rsid w:val="0056759A"/>
    <w:rsid w:val="00573B3A"/>
    <w:rsid w:val="0057502A"/>
    <w:rsid w:val="005759D5"/>
    <w:rsid w:val="00577474"/>
    <w:rsid w:val="00581B60"/>
    <w:rsid w:val="00586E86"/>
    <w:rsid w:val="00592D49"/>
    <w:rsid w:val="005936E5"/>
    <w:rsid w:val="00594398"/>
    <w:rsid w:val="005965D0"/>
    <w:rsid w:val="00597506"/>
    <w:rsid w:val="005A6CB3"/>
    <w:rsid w:val="005A7DFA"/>
    <w:rsid w:val="005B0BB6"/>
    <w:rsid w:val="005B3BF1"/>
    <w:rsid w:val="005B56CB"/>
    <w:rsid w:val="005C59BF"/>
    <w:rsid w:val="005C6B74"/>
    <w:rsid w:val="005C7D71"/>
    <w:rsid w:val="005D225A"/>
    <w:rsid w:val="005D26B8"/>
    <w:rsid w:val="005D50D9"/>
    <w:rsid w:val="005D5449"/>
    <w:rsid w:val="005D7D84"/>
    <w:rsid w:val="005D7EC5"/>
    <w:rsid w:val="005E295C"/>
    <w:rsid w:val="005E29D1"/>
    <w:rsid w:val="005E7A8A"/>
    <w:rsid w:val="005F12FE"/>
    <w:rsid w:val="005F45AF"/>
    <w:rsid w:val="005F5AF6"/>
    <w:rsid w:val="00610256"/>
    <w:rsid w:val="00627C91"/>
    <w:rsid w:val="0063680B"/>
    <w:rsid w:val="00637937"/>
    <w:rsid w:val="00641A0F"/>
    <w:rsid w:val="006428A5"/>
    <w:rsid w:val="006518B4"/>
    <w:rsid w:val="00654342"/>
    <w:rsid w:val="00660493"/>
    <w:rsid w:val="0066092A"/>
    <w:rsid w:val="00660FB4"/>
    <w:rsid w:val="00664992"/>
    <w:rsid w:val="00671876"/>
    <w:rsid w:val="00671EA8"/>
    <w:rsid w:val="00674AE8"/>
    <w:rsid w:val="00681558"/>
    <w:rsid w:val="006825B7"/>
    <w:rsid w:val="006971DE"/>
    <w:rsid w:val="006B2C80"/>
    <w:rsid w:val="006D0680"/>
    <w:rsid w:val="006D2B0B"/>
    <w:rsid w:val="006D35DC"/>
    <w:rsid w:val="006E2044"/>
    <w:rsid w:val="006E27E8"/>
    <w:rsid w:val="006E6CE1"/>
    <w:rsid w:val="006F4D55"/>
    <w:rsid w:val="006F4F07"/>
    <w:rsid w:val="007011A1"/>
    <w:rsid w:val="0070731A"/>
    <w:rsid w:val="00707379"/>
    <w:rsid w:val="00710BB8"/>
    <w:rsid w:val="00720230"/>
    <w:rsid w:val="007215CA"/>
    <w:rsid w:val="00723846"/>
    <w:rsid w:val="00726DF3"/>
    <w:rsid w:val="00731915"/>
    <w:rsid w:val="00731FE3"/>
    <w:rsid w:val="00733854"/>
    <w:rsid w:val="0073498A"/>
    <w:rsid w:val="00744E6F"/>
    <w:rsid w:val="007457BA"/>
    <w:rsid w:val="00745C1B"/>
    <w:rsid w:val="00751A63"/>
    <w:rsid w:val="0075238B"/>
    <w:rsid w:val="007569E9"/>
    <w:rsid w:val="00762259"/>
    <w:rsid w:val="00770AB7"/>
    <w:rsid w:val="00775C57"/>
    <w:rsid w:val="00777FF8"/>
    <w:rsid w:val="00782B72"/>
    <w:rsid w:val="007839EF"/>
    <w:rsid w:val="0078464E"/>
    <w:rsid w:val="007919AC"/>
    <w:rsid w:val="00792936"/>
    <w:rsid w:val="00792BC4"/>
    <w:rsid w:val="007B1969"/>
    <w:rsid w:val="007C68F3"/>
    <w:rsid w:val="007D572A"/>
    <w:rsid w:val="007D64E9"/>
    <w:rsid w:val="007D67DD"/>
    <w:rsid w:val="007F29AA"/>
    <w:rsid w:val="00800A50"/>
    <w:rsid w:val="00802B6F"/>
    <w:rsid w:val="00804792"/>
    <w:rsid w:val="00805CFF"/>
    <w:rsid w:val="00805DC0"/>
    <w:rsid w:val="00812B05"/>
    <w:rsid w:val="00815E8F"/>
    <w:rsid w:val="00817896"/>
    <w:rsid w:val="00825EFF"/>
    <w:rsid w:val="00827A01"/>
    <w:rsid w:val="00830027"/>
    <w:rsid w:val="008326B3"/>
    <w:rsid w:val="00833686"/>
    <w:rsid w:val="00833E11"/>
    <w:rsid w:val="00833E18"/>
    <w:rsid w:val="00852091"/>
    <w:rsid w:val="0085625F"/>
    <w:rsid w:val="00857881"/>
    <w:rsid w:val="00863E76"/>
    <w:rsid w:val="00865F41"/>
    <w:rsid w:val="0088115D"/>
    <w:rsid w:val="00883696"/>
    <w:rsid w:val="00896278"/>
    <w:rsid w:val="008A3E1D"/>
    <w:rsid w:val="008A64F8"/>
    <w:rsid w:val="008B0114"/>
    <w:rsid w:val="008B199D"/>
    <w:rsid w:val="008B1B74"/>
    <w:rsid w:val="008B609D"/>
    <w:rsid w:val="008B62F4"/>
    <w:rsid w:val="008B7E92"/>
    <w:rsid w:val="008C0924"/>
    <w:rsid w:val="008C4CF7"/>
    <w:rsid w:val="008D2343"/>
    <w:rsid w:val="008D41FB"/>
    <w:rsid w:val="008D4F0A"/>
    <w:rsid w:val="008D598D"/>
    <w:rsid w:val="008D6FE2"/>
    <w:rsid w:val="008D7BE4"/>
    <w:rsid w:val="008E3300"/>
    <w:rsid w:val="008E6909"/>
    <w:rsid w:val="008F175E"/>
    <w:rsid w:val="009028E3"/>
    <w:rsid w:val="00903C12"/>
    <w:rsid w:val="00905418"/>
    <w:rsid w:val="0090677E"/>
    <w:rsid w:val="009133D0"/>
    <w:rsid w:val="009219B8"/>
    <w:rsid w:val="00924464"/>
    <w:rsid w:val="00926A34"/>
    <w:rsid w:val="00927960"/>
    <w:rsid w:val="009301B9"/>
    <w:rsid w:val="00933014"/>
    <w:rsid w:val="0093606E"/>
    <w:rsid w:val="009366A1"/>
    <w:rsid w:val="0094051F"/>
    <w:rsid w:val="00941344"/>
    <w:rsid w:val="00941C81"/>
    <w:rsid w:val="009434EF"/>
    <w:rsid w:val="00944D48"/>
    <w:rsid w:val="00950F98"/>
    <w:rsid w:val="00965717"/>
    <w:rsid w:val="00980BEA"/>
    <w:rsid w:val="00987150"/>
    <w:rsid w:val="00990E4C"/>
    <w:rsid w:val="0099188F"/>
    <w:rsid w:val="00992726"/>
    <w:rsid w:val="00994259"/>
    <w:rsid w:val="009A02B3"/>
    <w:rsid w:val="009A342F"/>
    <w:rsid w:val="009C0433"/>
    <w:rsid w:val="009D1BF0"/>
    <w:rsid w:val="009E68CB"/>
    <w:rsid w:val="009E7D44"/>
    <w:rsid w:val="009E7ED5"/>
    <w:rsid w:val="009F1338"/>
    <w:rsid w:val="009F1BB3"/>
    <w:rsid w:val="009F2978"/>
    <w:rsid w:val="009F4D2A"/>
    <w:rsid w:val="009F67E5"/>
    <w:rsid w:val="00A04389"/>
    <w:rsid w:val="00A04777"/>
    <w:rsid w:val="00A0598A"/>
    <w:rsid w:val="00A1258D"/>
    <w:rsid w:val="00A16CF3"/>
    <w:rsid w:val="00A31FBA"/>
    <w:rsid w:val="00A36358"/>
    <w:rsid w:val="00A40775"/>
    <w:rsid w:val="00A436FD"/>
    <w:rsid w:val="00A60FC7"/>
    <w:rsid w:val="00A63E77"/>
    <w:rsid w:val="00A64DB0"/>
    <w:rsid w:val="00A67F73"/>
    <w:rsid w:val="00A75F63"/>
    <w:rsid w:val="00A8348F"/>
    <w:rsid w:val="00A841D2"/>
    <w:rsid w:val="00AA1FA2"/>
    <w:rsid w:val="00AA35D9"/>
    <w:rsid w:val="00AB2227"/>
    <w:rsid w:val="00AB5E53"/>
    <w:rsid w:val="00AC515E"/>
    <w:rsid w:val="00AC5A64"/>
    <w:rsid w:val="00AC6D9E"/>
    <w:rsid w:val="00AD2D93"/>
    <w:rsid w:val="00AD4291"/>
    <w:rsid w:val="00AD69AB"/>
    <w:rsid w:val="00AD72F8"/>
    <w:rsid w:val="00AE1FD8"/>
    <w:rsid w:val="00AE77F1"/>
    <w:rsid w:val="00AE7C28"/>
    <w:rsid w:val="00AF1083"/>
    <w:rsid w:val="00AF1F9E"/>
    <w:rsid w:val="00AF3C87"/>
    <w:rsid w:val="00AF619C"/>
    <w:rsid w:val="00AF7FA6"/>
    <w:rsid w:val="00B0473F"/>
    <w:rsid w:val="00B05E53"/>
    <w:rsid w:val="00B144BB"/>
    <w:rsid w:val="00B239B0"/>
    <w:rsid w:val="00B23DED"/>
    <w:rsid w:val="00B265D6"/>
    <w:rsid w:val="00B27D23"/>
    <w:rsid w:val="00B33954"/>
    <w:rsid w:val="00B43E45"/>
    <w:rsid w:val="00B47A7C"/>
    <w:rsid w:val="00B7795C"/>
    <w:rsid w:val="00B82285"/>
    <w:rsid w:val="00B85322"/>
    <w:rsid w:val="00B86558"/>
    <w:rsid w:val="00B940F3"/>
    <w:rsid w:val="00BA6860"/>
    <w:rsid w:val="00BA7E85"/>
    <w:rsid w:val="00BB2B67"/>
    <w:rsid w:val="00BB2ECD"/>
    <w:rsid w:val="00BD7350"/>
    <w:rsid w:val="00BD7C4E"/>
    <w:rsid w:val="00BE189C"/>
    <w:rsid w:val="00BE22E2"/>
    <w:rsid w:val="00BF574F"/>
    <w:rsid w:val="00BF6A24"/>
    <w:rsid w:val="00C1487F"/>
    <w:rsid w:val="00C27BEC"/>
    <w:rsid w:val="00C30B9C"/>
    <w:rsid w:val="00C4378B"/>
    <w:rsid w:val="00C53A54"/>
    <w:rsid w:val="00C64F36"/>
    <w:rsid w:val="00C652BC"/>
    <w:rsid w:val="00C73C81"/>
    <w:rsid w:val="00C834B3"/>
    <w:rsid w:val="00C86156"/>
    <w:rsid w:val="00C92587"/>
    <w:rsid w:val="00C955C4"/>
    <w:rsid w:val="00CA1BE4"/>
    <w:rsid w:val="00CA6543"/>
    <w:rsid w:val="00CC106E"/>
    <w:rsid w:val="00CC7A32"/>
    <w:rsid w:val="00CD0FEC"/>
    <w:rsid w:val="00CD6603"/>
    <w:rsid w:val="00CD76A2"/>
    <w:rsid w:val="00CE65D9"/>
    <w:rsid w:val="00CE7558"/>
    <w:rsid w:val="00CF4BF7"/>
    <w:rsid w:val="00D000AD"/>
    <w:rsid w:val="00D0013B"/>
    <w:rsid w:val="00D17CE8"/>
    <w:rsid w:val="00D24568"/>
    <w:rsid w:val="00D46B2A"/>
    <w:rsid w:val="00D5165E"/>
    <w:rsid w:val="00D52EA3"/>
    <w:rsid w:val="00D54E6D"/>
    <w:rsid w:val="00D551C4"/>
    <w:rsid w:val="00D6137D"/>
    <w:rsid w:val="00D641D9"/>
    <w:rsid w:val="00D643C3"/>
    <w:rsid w:val="00D715FF"/>
    <w:rsid w:val="00D719A1"/>
    <w:rsid w:val="00D85D1A"/>
    <w:rsid w:val="00D86441"/>
    <w:rsid w:val="00D903EA"/>
    <w:rsid w:val="00D91FB5"/>
    <w:rsid w:val="00D92963"/>
    <w:rsid w:val="00DA5D13"/>
    <w:rsid w:val="00DA71E0"/>
    <w:rsid w:val="00DB4879"/>
    <w:rsid w:val="00DB74A9"/>
    <w:rsid w:val="00DC23ED"/>
    <w:rsid w:val="00DC549E"/>
    <w:rsid w:val="00DD513D"/>
    <w:rsid w:val="00DD531E"/>
    <w:rsid w:val="00DE2387"/>
    <w:rsid w:val="00DF2610"/>
    <w:rsid w:val="00DF7DD3"/>
    <w:rsid w:val="00E01D84"/>
    <w:rsid w:val="00E05B3F"/>
    <w:rsid w:val="00E06C8F"/>
    <w:rsid w:val="00E07C08"/>
    <w:rsid w:val="00E11573"/>
    <w:rsid w:val="00E22237"/>
    <w:rsid w:val="00E22FD4"/>
    <w:rsid w:val="00E2386E"/>
    <w:rsid w:val="00E27958"/>
    <w:rsid w:val="00E33015"/>
    <w:rsid w:val="00E35D2D"/>
    <w:rsid w:val="00E36229"/>
    <w:rsid w:val="00E43CC6"/>
    <w:rsid w:val="00E4791D"/>
    <w:rsid w:val="00E52066"/>
    <w:rsid w:val="00E52AC5"/>
    <w:rsid w:val="00E61069"/>
    <w:rsid w:val="00E70E8F"/>
    <w:rsid w:val="00E75DA9"/>
    <w:rsid w:val="00E82CCB"/>
    <w:rsid w:val="00E84826"/>
    <w:rsid w:val="00E917E0"/>
    <w:rsid w:val="00E94915"/>
    <w:rsid w:val="00E97EEA"/>
    <w:rsid w:val="00EA1598"/>
    <w:rsid w:val="00EC09EA"/>
    <w:rsid w:val="00EC09FC"/>
    <w:rsid w:val="00EC1F49"/>
    <w:rsid w:val="00ED42EA"/>
    <w:rsid w:val="00EE0025"/>
    <w:rsid w:val="00EE0843"/>
    <w:rsid w:val="00EE3064"/>
    <w:rsid w:val="00EE5E84"/>
    <w:rsid w:val="00EE65CF"/>
    <w:rsid w:val="00EF29F3"/>
    <w:rsid w:val="00EF5798"/>
    <w:rsid w:val="00F001A3"/>
    <w:rsid w:val="00F1417F"/>
    <w:rsid w:val="00F15066"/>
    <w:rsid w:val="00F165D6"/>
    <w:rsid w:val="00F16D28"/>
    <w:rsid w:val="00F21BC7"/>
    <w:rsid w:val="00F24885"/>
    <w:rsid w:val="00F277C9"/>
    <w:rsid w:val="00F31B73"/>
    <w:rsid w:val="00F31E4C"/>
    <w:rsid w:val="00F32E91"/>
    <w:rsid w:val="00F350AD"/>
    <w:rsid w:val="00F46BA3"/>
    <w:rsid w:val="00F46C02"/>
    <w:rsid w:val="00F46DCD"/>
    <w:rsid w:val="00F47AE4"/>
    <w:rsid w:val="00F47F9D"/>
    <w:rsid w:val="00F52579"/>
    <w:rsid w:val="00F56B00"/>
    <w:rsid w:val="00F70194"/>
    <w:rsid w:val="00F71092"/>
    <w:rsid w:val="00F72B5F"/>
    <w:rsid w:val="00F739D2"/>
    <w:rsid w:val="00F74FDF"/>
    <w:rsid w:val="00F75D60"/>
    <w:rsid w:val="00F75F47"/>
    <w:rsid w:val="00F76771"/>
    <w:rsid w:val="00F82B15"/>
    <w:rsid w:val="00F84143"/>
    <w:rsid w:val="00F86EDC"/>
    <w:rsid w:val="00F86F53"/>
    <w:rsid w:val="00F9471B"/>
    <w:rsid w:val="00F94CD3"/>
    <w:rsid w:val="00FA0368"/>
    <w:rsid w:val="00FA0D2B"/>
    <w:rsid w:val="00FA141C"/>
    <w:rsid w:val="00FA2363"/>
    <w:rsid w:val="00FA5D61"/>
    <w:rsid w:val="00FB4E1B"/>
    <w:rsid w:val="00FB6DDC"/>
    <w:rsid w:val="00FB7DD0"/>
    <w:rsid w:val="00FD4902"/>
    <w:rsid w:val="00FD4D38"/>
    <w:rsid w:val="00FE00E4"/>
    <w:rsid w:val="00FE019E"/>
    <w:rsid w:val="00FE2B9F"/>
    <w:rsid w:val="00FE39FB"/>
    <w:rsid w:val="00FE4419"/>
    <w:rsid w:val="00FF28DE"/>
    <w:rsid w:val="00FF3019"/>
    <w:rsid w:val="00FF40E3"/>
    <w:rsid w:val="00FF4CFD"/>
    <w:rsid w:val="00FF571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5EB11"/>
  <w15:chartTrackingRefBased/>
  <w15:docId w15:val="{0BB88E6A-3BBB-45B5-9505-56AA40CBB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6825B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A64F8"/>
    <w:rPr>
      <w:color w:val="0563C1" w:themeColor="hyperlink"/>
      <w:u w:val="single"/>
    </w:rPr>
  </w:style>
  <w:style w:type="character" w:styleId="a4">
    <w:name w:val="FollowedHyperlink"/>
    <w:basedOn w:val="a0"/>
    <w:uiPriority w:val="99"/>
    <w:semiHidden/>
    <w:unhideWhenUsed/>
    <w:rsid w:val="00F9471B"/>
    <w:rPr>
      <w:color w:val="954F72" w:themeColor="followedHyperlink"/>
      <w:u w:val="single"/>
    </w:rPr>
  </w:style>
  <w:style w:type="paragraph" w:styleId="a5">
    <w:name w:val="footnote text"/>
    <w:basedOn w:val="a"/>
    <w:link w:val="a6"/>
    <w:uiPriority w:val="99"/>
    <w:semiHidden/>
    <w:unhideWhenUsed/>
    <w:rsid w:val="00B940F3"/>
    <w:pPr>
      <w:spacing w:after="0" w:line="240" w:lineRule="auto"/>
    </w:pPr>
    <w:rPr>
      <w:sz w:val="20"/>
      <w:szCs w:val="20"/>
    </w:rPr>
  </w:style>
  <w:style w:type="character" w:customStyle="1" w:styleId="a6">
    <w:name w:val="Текст под линия Знак"/>
    <w:basedOn w:val="a0"/>
    <w:link w:val="a5"/>
    <w:uiPriority w:val="99"/>
    <w:semiHidden/>
    <w:rsid w:val="00B940F3"/>
    <w:rPr>
      <w:sz w:val="20"/>
      <w:szCs w:val="20"/>
    </w:rPr>
  </w:style>
  <w:style w:type="character" w:styleId="a7">
    <w:name w:val="footnote reference"/>
    <w:basedOn w:val="a0"/>
    <w:uiPriority w:val="99"/>
    <w:semiHidden/>
    <w:unhideWhenUsed/>
    <w:rsid w:val="00B940F3"/>
    <w:rPr>
      <w:vertAlign w:val="superscript"/>
    </w:rPr>
  </w:style>
  <w:style w:type="paragraph" w:styleId="a8">
    <w:name w:val="header"/>
    <w:basedOn w:val="a"/>
    <w:link w:val="a9"/>
    <w:uiPriority w:val="99"/>
    <w:unhideWhenUsed/>
    <w:rsid w:val="00980BEA"/>
    <w:pPr>
      <w:tabs>
        <w:tab w:val="center" w:pos="4536"/>
        <w:tab w:val="right" w:pos="9072"/>
      </w:tabs>
      <w:spacing w:after="0" w:line="240" w:lineRule="auto"/>
    </w:pPr>
  </w:style>
  <w:style w:type="character" w:customStyle="1" w:styleId="a9">
    <w:name w:val="Горен колонтитул Знак"/>
    <w:basedOn w:val="a0"/>
    <w:link w:val="a8"/>
    <w:uiPriority w:val="99"/>
    <w:rsid w:val="00980BEA"/>
  </w:style>
  <w:style w:type="paragraph" w:styleId="aa">
    <w:name w:val="footer"/>
    <w:basedOn w:val="a"/>
    <w:link w:val="ab"/>
    <w:uiPriority w:val="99"/>
    <w:unhideWhenUsed/>
    <w:rsid w:val="00980BEA"/>
    <w:pPr>
      <w:tabs>
        <w:tab w:val="center" w:pos="4536"/>
        <w:tab w:val="right" w:pos="9072"/>
      </w:tabs>
      <w:spacing w:after="0" w:line="240" w:lineRule="auto"/>
    </w:pPr>
  </w:style>
  <w:style w:type="character" w:customStyle="1" w:styleId="ab">
    <w:name w:val="Долен колонтитул Знак"/>
    <w:basedOn w:val="a0"/>
    <w:link w:val="aa"/>
    <w:uiPriority w:val="99"/>
    <w:rsid w:val="00980BEA"/>
  </w:style>
  <w:style w:type="paragraph" w:styleId="ac">
    <w:name w:val="No Spacing"/>
    <w:link w:val="ad"/>
    <w:uiPriority w:val="1"/>
    <w:qFormat/>
    <w:rsid w:val="00980BEA"/>
    <w:pPr>
      <w:spacing w:after="0" w:line="240" w:lineRule="auto"/>
    </w:pPr>
    <w:rPr>
      <w:rFonts w:eastAsiaTheme="minorEastAsia"/>
      <w:lang w:val="en-US"/>
    </w:rPr>
  </w:style>
  <w:style w:type="character" w:customStyle="1" w:styleId="ad">
    <w:name w:val="Без разредка Знак"/>
    <w:basedOn w:val="a0"/>
    <w:link w:val="ac"/>
    <w:uiPriority w:val="1"/>
    <w:rsid w:val="00980BEA"/>
    <w:rPr>
      <w:rFonts w:eastAsiaTheme="minorEastAsia"/>
      <w:lang w:val="en-US"/>
    </w:rPr>
  </w:style>
  <w:style w:type="paragraph" w:styleId="ae">
    <w:name w:val="List Paragraph"/>
    <w:basedOn w:val="a"/>
    <w:uiPriority w:val="34"/>
    <w:qFormat/>
    <w:rsid w:val="004E6162"/>
    <w:pPr>
      <w:ind w:left="720"/>
      <w:contextualSpacing/>
    </w:pPr>
  </w:style>
  <w:style w:type="paragraph" w:styleId="af">
    <w:name w:val="caption"/>
    <w:basedOn w:val="a"/>
    <w:next w:val="a"/>
    <w:uiPriority w:val="35"/>
    <w:unhideWhenUsed/>
    <w:qFormat/>
    <w:rsid w:val="00D85D1A"/>
    <w:pPr>
      <w:spacing w:after="200" w:line="240" w:lineRule="auto"/>
    </w:pPr>
    <w:rPr>
      <w:i/>
      <w:iCs/>
      <w:color w:val="44546A" w:themeColor="text2"/>
      <w:sz w:val="18"/>
      <w:szCs w:val="18"/>
    </w:rPr>
  </w:style>
  <w:style w:type="table" w:styleId="af0">
    <w:name w:val="Table Grid"/>
    <w:basedOn w:val="a1"/>
    <w:uiPriority w:val="39"/>
    <w:rsid w:val="00063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rmal (Web)"/>
    <w:basedOn w:val="a"/>
    <w:uiPriority w:val="99"/>
    <w:unhideWhenUsed/>
    <w:rsid w:val="00664992"/>
    <w:pPr>
      <w:spacing w:before="100" w:beforeAutospacing="1" w:after="100" w:afterAutospacing="1" w:line="240" w:lineRule="auto"/>
    </w:pPr>
    <w:rPr>
      <w:rFonts w:ascii="Times New Roman" w:eastAsiaTheme="minorEastAsia" w:hAnsi="Times New Roman" w:cs="Times New Roman"/>
      <w:sz w:val="24"/>
      <w:szCs w:val="24"/>
      <w:lang w:eastAsia="bg-BG"/>
    </w:rPr>
  </w:style>
  <w:style w:type="table" w:customStyle="1" w:styleId="TableGrid1">
    <w:name w:val="Table Grid1"/>
    <w:basedOn w:val="a1"/>
    <w:next w:val="af0"/>
    <w:uiPriority w:val="39"/>
    <w:rsid w:val="00AD69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74166">
      <w:bodyDiv w:val="1"/>
      <w:marLeft w:val="0"/>
      <w:marRight w:val="0"/>
      <w:marTop w:val="0"/>
      <w:marBottom w:val="0"/>
      <w:divBdr>
        <w:top w:val="none" w:sz="0" w:space="0" w:color="auto"/>
        <w:left w:val="none" w:sz="0" w:space="0" w:color="auto"/>
        <w:bottom w:val="none" w:sz="0" w:space="0" w:color="auto"/>
        <w:right w:val="none" w:sz="0" w:space="0" w:color="auto"/>
      </w:divBdr>
      <w:divsChild>
        <w:div w:id="81876268">
          <w:marLeft w:val="547"/>
          <w:marRight w:val="0"/>
          <w:marTop w:val="0"/>
          <w:marBottom w:val="0"/>
          <w:divBdr>
            <w:top w:val="none" w:sz="0" w:space="0" w:color="auto"/>
            <w:left w:val="none" w:sz="0" w:space="0" w:color="auto"/>
            <w:bottom w:val="none" w:sz="0" w:space="0" w:color="auto"/>
            <w:right w:val="none" w:sz="0" w:space="0" w:color="auto"/>
          </w:divBdr>
        </w:div>
      </w:divsChild>
    </w:div>
    <w:div w:id="1443920045">
      <w:bodyDiv w:val="1"/>
      <w:marLeft w:val="0"/>
      <w:marRight w:val="0"/>
      <w:marTop w:val="0"/>
      <w:marBottom w:val="0"/>
      <w:divBdr>
        <w:top w:val="none" w:sz="0" w:space="0" w:color="auto"/>
        <w:left w:val="none" w:sz="0" w:space="0" w:color="auto"/>
        <w:bottom w:val="none" w:sz="0" w:space="0" w:color="auto"/>
        <w:right w:val="none" w:sz="0" w:space="0" w:color="auto"/>
      </w:divBdr>
    </w:div>
    <w:div w:id="192317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www.keep.eu/keep/statistic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www.iemed.org/publicacions/historic-de-publicacions/enquesta-euromed/euromed-survey-2015/contents-of-the-6th-euromed-surve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users.sussex.ac.uk/~grahamh/RM1web/Pearsonstable.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users.sussex.ac.uk/~grahamh/RM1web/Pearsonstable.pdf" TargetMode="External"/><Relationship Id="rId2" Type="http://schemas.openxmlformats.org/officeDocument/2006/relationships/hyperlink" Target="http://eeas.europa.eu/delegations/algeria/documents/rapport_cooperation_2014-_fianle_-_version_web.pdf" TargetMode="External"/><Relationship Id="rId1" Type="http://schemas.openxmlformats.org/officeDocument/2006/relationships/hyperlink" Target="http://www.iemed.org/publicacions/historic-de-publicacions/enquesta-euromed/euromed-survey-2015/contents-of-the-6th-euromed-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 г.</PublishDate>
  <Abstract/>
  <CompanyAddress>нов български университет</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BE0DF9-EFFF-49C2-9571-ACDE97281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10</Pages>
  <Words>3076</Words>
  <Characters>17534</Characters>
  <Application>Microsoft Office Word</Application>
  <DocSecurity>0</DocSecurity>
  <Lines>146</Lines>
  <Paragraphs>41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методика за изследване на трансграничното сътрудничество като инструмент на европейския съюз за повишаване на сигурността</vt:lpstr>
      <vt:lpstr>методика за изследване на трансграничното сътрудничество като инструмент на европейския съюз за повишаване на сигурността</vt:lpstr>
    </vt:vector>
  </TitlesOfParts>
  <Company>Дафинка Сидова, редовен докторант</Company>
  <LinksUpToDate>false</LinksUpToDate>
  <CharactersWithSpaces>20569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методика за изследване на трансграничното сътрудничество като инструмент на европейския съюз за повишаване на сигурността</dc:title>
  <dc:subject>/доклад/</dc:subject>
  <dc:creator>Dafi</dc:creator>
  <cp:keywords/>
  <dc:description/>
  <cp:lastModifiedBy>Mihael Dimitrov</cp:lastModifiedBy>
  <cp:revision>26</cp:revision>
  <cp:lastPrinted>2015-05-21T16:50:00Z</cp:lastPrinted>
  <dcterms:created xsi:type="dcterms:W3CDTF">2016-05-30T22:02:00Z</dcterms:created>
  <dcterms:modified xsi:type="dcterms:W3CDTF">2016-06-28T15:24:00Z</dcterms:modified>
</cp:coreProperties>
</file>