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15D" w:rsidRPr="0082306C" w:rsidRDefault="0030715D" w:rsidP="0030715D">
      <w:pPr>
        <w:jc w:val="center"/>
        <w:rPr>
          <w:rFonts w:ascii="Times New Roman" w:eastAsia="+mj-ea" w:hAnsi="Times New Roman" w:cs="Times New Roman"/>
          <w:b/>
          <w:color w:val="000000"/>
          <w:kern w:val="24"/>
          <w:sz w:val="28"/>
          <w:szCs w:val="28"/>
        </w:rPr>
      </w:pPr>
      <w:r w:rsidRPr="0030715D">
        <w:rPr>
          <w:rFonts w:ascii="Times New Roman" w:eastAsia="+mj-ea" w:hAnsi="Times New Roman" w:cs="Times New Roman"/>
          <w:b/>
          <w:color w:val="000000"/>
          <w:kern w:val="24"/>
          <w:sz w:val="28"/>
          <w:szCs w:val="28"/>
        </w:rPr>
        <w:t xml:space="preserve">Основни проблеми на политиката за сигурност в разширения </w:t>
      </w:r>
      <w:r w:rsidRPr="0082306C">
        <w:rPr>
          <w:rFonts w:ascii="Times New Roman" w:eastAsia="+mj-ea" w:hAnsi="Times New Roman" w:cs="Times New Roman"/>
          <w:b/>
          <w:color w:val="000000"/>
          <w:kern w:val="24"/>
          <w:sz w:val="28"/>
          <w:szCs w:val="28"/>
        </w:rPr>
        <w:t>европейски контекст</w:t>
      </w:r>
    </w:p>
    <w:p w:rsidR="00D80522" w:rsidRPr="0082306C" w:rsidRDefault="0082306C" w:rsidP="0082306C">
      <w:pPr>
        <w:jc w:val="center"/>
        <w:rPr>
          <w:rFonts w:ascii="Times New Roman" w:eastAsia="+mj-ea" w:hAnsi="Times New Roman" w:cs="Times New Roman"/>
          <w:b/>
          <w:color w:val="000000"/>
          <w:kern w:val="24"/>
          <w:sz w:val="24"/>
          <w:szCs w:val="24"/>
        </w:rPr>
      </w:pPr>
      <w:r w:rsidRPr="0082306C">
        <w:rPr>
          <w:rFonts w:ascii="Times New Roman" w:eastAsia="+mj-ea" w:hAnsi="Times New Roman" w:cs="Times New Roman"/>
          <w:b/>
          <w:color w:val="000000"/>
          <w:kern w:val="24"/>
          <w:sz w:val="24"/>
          <w:szCs w:val="24"/>
        </w:rPr>
        <w:t>Д-р Георги Кръстев</w:t>
      </w:r>
      <w:r>
        <w:rPr>
          <w:rStyle w:val="FootnoteReference"/>
          <w:rFonts w:ascii="Times New Roman" w:eastAsia="+mj-ea" w:hAnsi="Times New Roman" w:cs="Times New Roman"/>
          <w:b/>
          <w:color w:val="000000"/>
          <w:kern w:val="24"/>
          <w:sz w:val="24"/>
          <w:szCs w:val="24"/>
        </w:rPr>
        <w:footnoteReference w:id="1"/>
      </w:r>
    </w:p>
    <w:p w:rsidR="009B2AE3" w:rsidRDefault="00D80522" w:rsidP="00D80522">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Темата за ситурността в Европа до началото на втората половина от второта десетилие на ХХ</w:t>
      </w:r>
      <w:r>
        <w:rPr>
          <w:rFonts w:ascii="Times New Roman" w:eastAsia="+mj-ea" w:hAnsi="Times New Roman" w:cs="Times New Roman"/>
          <w:color w:val="000000"/>
          <w:kern w:val="24"/>
          <w:sz w:val="24"/>
          <w:szCs w:val="24"/>
          <w:lang w:val="en-US"/>
        </w:rPr>
        <w:t>I</w:t>
      </w:r>
      <w:r>
        <w:rPr>
          <w:rFonts w:ascii="Times New Roman" w:eastAsia="+mj-ea" w:hAnsi="Times New Roman" w:cs="Times New Roman"/>
          <w:color w:val="000000"/>
          <w:kern w:val="24"/>
          <w:sz w:val="24"/>
          <w:szCs w:val="24"/>
        </w:rPr>
        <w:t xml:space="preserve"> век изглежда губиши своята актуалност. В същото време европейските норми, ценности с концептуален и стратегически характер, както и правила и процедурите, регулиращи всекидневния живот на хората нерекъснато разширяваха териториалния си обхват. Нарастваше броят на държавите членки на Европейския съюз</w:t>
      </w:r>
      <w:r w:rsidR="009B2AE3">
        <w:rPr>
          <w:rFonts w:ascii="Times New Roman" w:eastAsia="+mj-ea" w:hAnsi="Times New Roman" w:cs="Times New Roman"/>
          <w:color w:val="000000"/>
          <w:kern w:val="24"/>
          <w:sz w:val="24"/>
          <w:szCs w:val="24"/>
        </w:rPr>
        <w:t xml:space="preserve"> (ЕС)</w:t>
      </w:r>
      <w:r>
        <w:rPr>
          <w:rFonts w:ascii="Times New Roman" w:eastAsia="+mj-ea" w:hAnsi="Times New Roman" w:cs="Times New Roman"/>
          <w:color w:val="000000"/>
          <w:kern w:val="24"/>
          <w:sz w:val="24"/>
          <w:szCs w:val="24"/>
        </w:rPr>
        <w:t>, все по-активна ставаше ролята на Европейския парламент, на Европейската комисия</w:t>
      </w:r>
      <w:r w:rsidR="009B2AE3">
        <w:rPr>
          <w:rFonts w:ascii="Times New Roman" w:eastAsia="+mj-ea" w:hAnsi="Times New Roman" w:cs="Times New Roman"/>
          <w:color w:val="000000"/>
          <w:kern w:val="24"/>
          <w:sz w:val="24"/>
          <w:szCs w:val="24"/>
        </w:rPr>
        <w:t>. Възникваха нови структури на ЕС, като Агенцията за основните права, които усилваха провеждането на едни от най-важните политики, породили самата необходимост от неговото съществуване.</w:t>
      </w:r>
      <w:r w:rsidR="002006DC">
        <w:rPr>
          <w:rFonts w:ascii="Times New Roman" w:eastAsia="+mj-ea" w:hAnsi="Times New Roman" w:cs="Times New Roman"/>
          <w:color w:val="000000"/>
          <w:kern w:val="24"/>
          <w:sz w:val="24"/>
          <w:szCs w:val="24"/>
        </w:rPr>
        <w:t xml:space="preserve"> </w:t>
      </w:r>
      <w:r w:rsidR="00EF2F02">
        <w:rPr>
          <w:rFonts w:ascii="Times New Roman" w:eastAsia="+mj-ea" w:hAnsi="Times New Roman" w:cs="Times New Roman"/>
          <w:color w:val="000000"/>
          <w:kern w:val="24"/>
          <w:sz w:val="24"/>
          <w:szCs w:val="24"/>
        </w:rPr>
        <w:t xml:space="preserve">Въвеждането на Еврото не само създаде един от най-големите финансови и икономически фактори в света, но също така постави в качествено нова обстановка функционирането и развитието на държавите от Еврозоната и създаде нов притегателен стимул, инструмент и механизъм за провеждане на интеграционни политики. Постепенно и неотклонно продължаваше процеса на разширяване на ЕС с применето на 10 държави през 2005 г., на България и Румъния през </w:t>
      </w:r>
      <w:r w:rsidR="006041D8">
        <w:rPr>
          <w:rFonts w:ascii="Times New Roman" w:eastAsia="+mj-ea" w:hAnsi="Times New Roman" w:cs="Times New Roman"/>
          <w:color w:val="000000"/>
          <w:kern w:val="24"/>
          <w:sz w:val="24"/>
          <w:szCs w:val="24"/>
        </w:rPr>
        <w:t>2007 г. и на Хърватска през 2013</w:t>
      </w:r>
      <w:r w:rsidR="00EF2F02">
        <w:rPr>
          <w:rFonts w:ascii="Times New Roman" w:eastAsia="+mj-ea" w:hAnsi="Times New Roman" w:cs="Times New Roman"/>
          <w:color w:val="000000"/>
          <w:kern w:val="24"/>
          <w:sz w:val="24"/>
          <w:szCs w:val="24"/>
        </w:rPr>
        <w:t xml:space="preserve"> г.</w:t>
      </w:r>
      <w:r w:rsidR="00B248CE">
        <w:rPr>
          <w:rFonts w:ascii="Times New Roman" w:eastAsia="+mj-ea" w:hAnsi="Times New Roman" w:cs="Times New Roman"/>
          <w:color w:val="000000"/>
          <w:kern w:val="24"/>
          <w:sz w:val="24"/>
          <w:szCs w:val="24"/>
        </w:rPr>
        <w:t xml:space="preserve"> Разширяването на ЕС беше не само териториялно. Разширяваше се и са задълбочаваше сътрудничеството между държавите членки. Нарастваше ролята на гражданите, на техните стопански и нестопански организации (предприемачи, неправителствени организации и т.н.) във създаването на нови форми на взаимодействие, а не просто на сътрудничество. Европейската интерация на държавите членки и на потенциалните страни членки имаше ясна и безспорна перспектива като разширяване на пространство на свобода, сигурност, стабилност. Военните аспекти на държавната политика, както и общо политиката за сигурност постоянно намаляваха своето присъствие в разговорите на различни равнища и формати на дискусии в ЕС.</w:t>
      </w:r>
    </w:p>
    <w:p w:rsidR="00D80522" w:rsidRDefault="00B248CE" w:rsidP="00D80522">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В условията на засилване на икономическите, финансовите и хуманитарните аспекти и особено след края</w:t>
      </w:r>
      <w:r w:rsidR="00EF2F02">
        <w:rPr>
          <w:rFonts w:ascii="Times New Roman" w:eastAsia="+mj-ea" w:hAnsi="Times New Roman" w:cs="Times New Roman"/>
          <w:color w:val="000000"/>
          <w:kern w:val="24"/>
          <w:sz w:val="24"/>
          <w:szCs w:val="24"/>
        </w:rPr>
        <w:t xml:space="preserve"> на войните на територията на Западните Балкани Организацията на Северно</w:t>
      </w:r>
      <w:r w:rsidR="009B2AE3">
        <w:rPr>
          <w:rFonts w:ascii="Times New Roman" w:eastAsia="+mj-ea" w:hAnsi="Times New Roman" w:cs="Times New Roman"/>
          <w:color w:val="000000"/>
          <w:kern w:val="24"/>
          <w:sz w:val="24"/>
          <w:szCs w:val="24"/>
        </w:rPr>
        <w:t>атлантическия договор</w:t>
      </w:r>
      <w:r w:rsidR="00EF2F02">
        <w:rPr>
          <w:rFonts w:ascii="Times New Roman" w:eastAsia="+mj-ea" w:hAnsi="Times New Roman" w:cs="Times New Roman"/>
          <w:color w:val="000000"/>
          <w:kern w:val="24"/>
          <w:sz w:val="24"/>
          <w:szCs w:val="24"/>
        </w:rPr>
        <w:t xml:space="preserve"> </w:t>
      </w:r>
      <w:r w:rsidR="00A10E8B">
        <w:rPr>
          <w:rFonts w:ascii="Times New Roman" w:eastAsia="+mj-ea" w:hAnsi="Times New Roman" w:cs="Times New Roman"/>
          <w:color w:val="000000"/>
          <w:kern w:val="24"/>
          <w:sz w:val="24"/>
          <w:szCs w:val="24"/>
        </w:rPr>
        <w:t xml:space="preserve">се оказа в сложна ситуация от гледна точка обосноваване на необходимостта от своето съществуване и функциониране като отбранителен съюз на територията на Европа и в Северния Атлантик. НАТО, подобно </w:t>
      </w:r>
      <w:r w:rsidR="00A10E8B">
        <w:rPr>
          <w:rFonts w:ascii="Times New Roman" w:eastAsia="+mj-ea" w:hAnsi="Times New Roman" w:cs="Times New Roman"/>
          <w:color w:val="000000"/>
          <w:kern w:val="24"/>
          <w:sz w:val="24"/>
          <w:szCs w:val="24"/>
        </w:rPr>
        <w:lastRenderedPageBreak/>
        <w:t>на ЕС продължи да се разширява. За този процес съществено допринесе създаването по инициатива на НАТО на формата НАТО – Русия, който направи възможни консултациите и дори сътрудничеството по традиционно най-острите проблеми на сигурността.</w:t>
      </w:r>
    </w:p>
    <w:p w:rsidR="00A10E8B" w:rsidRDefault="00C85CD0" w:rsidP="00D80522">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Развитието на интеграционните процеси в ЕС и НАТО се съпровождаше с активизиране и разширяване на форм</w:t>
      </w:r>
      <w:r w:rsidR="00AA428E">
        <w:rPr>
          <w:rFonts w:ascii="Times New Roman" w:eastAsia="+mj-ea" w:hAnsi="Times New Roman" w:cs="Times New Roman"/>
          <w:color w:val="000000"/>
          <w:kern w:val="24"/>
          <w:sz w:val="24"/>
          <w:szCs w:val="24"/>
        </w:rPr>
        <w:t>атите на сътрудничество с потен</w:t>
      </w:r>
      <w:r>
        <w:rPr>
          <w:rFonts w:ascii="Times New Roman" w:eastAsia="+mj-ea" w:hAnsi="Times New Roman" w:cs="Times New Roman"/>
          <w:color w:val="000000"/>
          <w:kern w:val="24"/>
          <w:sz w:val="24"/>
          <w:szCs w:val="24"/>
        </w:rPr>
        <w:t>циални страни членки или с партньорски страни. Инициативи като Процеса за сътрудничество и Югоизточна Европа,</w:t>
      </w:r>
      <w:r w:rsidR="00AA428E">
        <w:rPr>
          <w:rFonts w:ascii="Times New Roman" w:eastAsia="+mj-ea" w:hAnsi="Times New Roman" w:cs="Times New Roman"/>
          <w:color w:val="000000"/>
          <w:kern w:val="24"/>
          <w:sz w:val="24"/>
          <w:szCs w:val="24"/>
        </w:rPr>
        <w:t>Черномор</w:t>
      </w:r>
      <w:r>
        <w:rPr>
          <w:rFonts w:ascii="Times New Roman" w:eastAsia="+mj-ea" w:hAnsi="Times New Roman" w:cs="Times New Roman"/>
          <w:color w:val="000000"/>
          <w:kern w:val="24"/>
          <w:sz w:val="24"/>
          <w:szCs w:val="24"/>
        </w:rPr>
        <w:t>ската военна група (Блексийфор)</w:t>
      </w:r>
      <w:r w:rsidR="00AA428E">
        <w:rPr>
          <w:rFonts w:ascii="Times New Roman" w:eastAsia="+mj-ea" w:hAnsi="Times New Roman" w:cs="Times New Roman"/>
          <w:color w:val="000000"/>
          <w:kern w:val="24"/>
          <w:sz w:val="24"/>
          <w:szCs w:val="24"/>
        </w:rPr>
        <w:t>, Черноморското икономическо сътрудничество (включваща Парламентарна асамблея и Черноморска банка за търговия и развитие), независимо по инициатива на коя държава възникват, допринасят за разширяването на територията на взаимното разбирателство, сигурността и икономическия напредък.</w:t>
      </w:r>
    </w:p>
    <w:p w:rsidR="00AA428E" w:rsidRDefault="00AA428E" w:rsidP="00D80522">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Перспективата за разрастване на ЕС, НАТО и като цяло на взаимното разбирателство между страните от ЕС и близките региони не беше нарушена съществено от военните действия на територията на Грузия през лятото на 2008 г., дори и от началото през 2011 г. на т.нар. Арабска пролет и разпадането на изглеждащите като непоклатими диктаторски режими в Северна Африка и Близкия изток.</w:t>
      </w:r>
    </w:p>
    <w:p w:rsidR="00297251" w:rsidRDefault="00AA428E" w:rsidP="00297251">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Към средата на 2016 г. перспективата за неотклонното напредване на мира, сигурността, икономическото развитие и гражданск</w:t>
      </w:r>
      <w:r w:rsidR="00297251">
        <w:rPr>
          <w:rFonts w:ascii="Times New Roman" w:eastAsia="+mj-ea" w:hAnsi="Times New Roman" w:cs="Times New Roman"/>
          <w:color w:val="000000"/>
          <w:kern w:val="24"/>
          <w:sz w:val="24"/>
          <w:szCs w:val="24"/>
        </w:rPr>
        <w:t xml:space="preserve">ите права вече не се възприема като </w:t>
      </w:r>
      <w:r w:rsidR="00297251" w:rsidRPr="00297251">
        <w:rPr>
          <w:rFonts w:ascii="Times New Roman" w:eastAsia="+mj-ea" w:hAnsi="Times New Roman" w:cs="Times New Roman"/>
          <w:i/>
          <w:color w:val="000000"/>
          <w:kern w:val="24"/>
          <w:sz w:val="24"/>
          <w:szCs w:val="24"/>
        </w:rPr>
        <w:t>нещо разбиращо се от само себе си</w:t>
      </w:r>
      <w:r w:rsidR="00297251">
        <w:rPr>
          <w:rFonts w:ascii="Times New Roman" w:eastAsia="+mj-ea" w:hAnsi="Times New Roman" w:cs="Times New Roman"/>
          <w:color w:val="000000"/>
          <w:kern w:val="24"/>
          <w:sz w:val="24"/>
          <w:szCs w:val="24"/>
        </w:rPr>
        <w:t xml:space="preserve">, като </w:t>
      </w:r>
      <w:r w:rsidR="00297251">
        <w:rPr>
          <w:rFonts w:ascii="Times New Roman" w:eastAsia="+mj-ea" w:hAnsi="Times New Roman" w:cs="Times New Roman"/>
          <w:i/>
          <w:color w:val="000000"/>
          <w:kern w:val="24"/>
          <w:sz w:val="24"/>
          <w:szCs w:val="24"/>
        </w:rPr>
        <w:t>гарантирано по сама си същност</w:t>
      </w:r>
      <w:r w:rsidR="00297251">
        <w:rPr>
          <w:rFonts w:ascii="Times New Roman" w:eastAsia="+mj-ea" w:hAnsi="Times New Roman" w:cs="Times New Roman"/>
          <w:color w:val="000000"/>
          <w:kern w:val="24"/>
          <w:sz w:val="24"/>
          <w:szCs w:val="24"/>
        </w:rPr>
        <w:t>. Референдумът „за“ или „против“ членството на Великобритания за членство в ЕС, завършил с минимална преднина в полза на националистичния изолационизъм не е начало, но не и край, но е критичен момент в един процес на замяна на мира, разбирателството и сигурността с действия по завладяване на теритария на друга страна, с остри принципни противоречия по въпроса за мира, икономечсото развитие и международното право и с общо нарастване на несигурността в ЕС и всички съпределни геополитически райони.</w:t>
      </w:r>
    </w:p>
    <w:p w:rsidR="00297251" w:rsidRDefault="00297251" w:rsidP="00297251">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Хронологията на тази промяна през последните три години е кратка, но достатъчно наситена. Накратко с ключови имена тя може да бъде описана с „Киевския Майдан“</w:t>
      </w:r>
      <w:r w:rsidR="00B93ED7">
        <w:rPr>
          <w:rFonts w:ascii="Times New Roman" w:eastAsia="+mj-ea" w:hAnsi="Times New Roman" w:cs="Times New Roman"/>
          <w:color w:val="000000"/>
          <w:kern w:val="24"/>
          <w:sz w:val="24"/>
          <w:szCs w:val="24"/>
        </w:rPr>
        <w:t xml:space="preserve"> довел до качествена промяна на съотношението на властта и геополитическата ориентация на Украйна, анекс</w:t>
      </w:r>
      <w:r>
        <w:rPr>
          <w:rFonts w:ascii="Times New Roman" w:eastAsia="+mj-ea" w:hAnsi="Times New Roman" w:cs="Times New Roman"/>
          <w:color w:val="000000"/>
          <w:kern w:val="24"/>
          <w:sz w:val="24"/>
          <w:szCs w:val="24"/>
        </w:rPr>
        <w:t>ията на Кримския полуостров</w:t>
      </w:r>
      <w:r w:rsidR="00B93ED7">
        <w:rPr>
          <w:rFonts w:ascii="Times New Roman" w:eastAsia="+mj-ea" w:hAnsi="Times New Roman" w:cs="Times New Roman"/>
          <w:color w:val="000000"/>
          <w:kern w:val="24"/>
          <w:sz w:val="24"/>
          <w:szCs w:val="24"/>
        </w:rPr>
        <w:t xml:space="preserve"> от Руската федерация, сепаратизма в Източна Украйна, също получил силна подкрпа от Русия, международните санкции срещу Русия, завръщането на военно-патриотичната реторика като господстваща сред управляващите в Русия. Същевременно в НАТО и ЕС се </w:t>
      </w:r>
      <w:r w:rsidR="00B93ED7">
        <w:rPr>
          <w:rFonts w:ascii="Times New Roman" w:eastAsia="+mj-ea" w:hAnsi="Times New Roman" w:cs="Times New Roman"/>
          <w:color w:val="000000"/>
          <w:kern w:val="24"/>
          <w:sz w:val="24"/>
          <w:szCs w:val="24"/>
        </w:rPr>
        <w:lastRenderedPageBreak/>
        <w:t xml:space="preserve">заговори за </w:t>
      </w:r>
      <w:r w:rsidR="00B93ED7">
        <w:rPr>
          <w:rFonts w:ascii="Times New Roman" w:eastAsia="+mj-ea" w:hAnsi="Times New Roman" w:cs="Times New Roman"/>
          <w:i/>
          <w:color w:val="000000"/>
          <w:kern w:val="24"/>
          <w:sz w:val="24"/>
          <w:szCs w:val="24"/>
        </w:rPr>
        <w:t>хибридна война (или хибриден начин на водене на война)</w:t>
      </w:r>
      <w:r w:rsidR="00B93ED7">
        <w:rPr>
          <w:rFonts w:ascii="Times New Roman" w:eastAsia="+mj-ea" w:hAnsi="Times New Roman" w:cs="Times New Roman"/>
          <w:color w:val="000000"/>
          <w:kern w:val="24"/>
          <w:sz w:val="24"/>
          <w:szCs w:val="24"/>
        </w:rPr>
        <w:t xml:space="preserve">, за </w:t>
      </w:r>
      <w:r w:rsidR="00B93ED7">
        <w:rPr>
          <w:rFonts w:ascii="Times New Roman" w:eastAsia="+mj-ea" w:hAnsi="Times New Roman" w:cs="Times New Roman"/>
          <w:i/>
          <w:color w:val="000000"/>
          <w:kern w:val="24"/>
          <w:sz w:val="24"/>
          <w:szCs w:val="24"/>
        </w:rPr>
        <w:t xml:space="preserve"> кибервойна</w:t>
      </w:r>
      <w:r w:rsidR="00B93ED7">
        <w:rPr>
          <w:rFonts w:ascii="Times New Roman" w:eastAsia="+mj-ea" w:hAnsi="Times New Roman" w:cs="Times New Roman"/>
          <w:color w:val="000000"/>
          <w:kern w:val="24"/>
          <w:sz w:val="24"/>
          <w:szCs w:val="24"/>
        </w:rPr>
        <w:t xml:space="preserve"> и други нови или изострили се в последните две години събития, които макар и да имат аналог в меналато, днес се проявяват с нова сила и по различен начин поради наличието на днешните технологии и преди висчко</w:t>
      </w:r>
      <w:r w:rsidR="00B803C0">
        <w:rPr>
          <w:rFonts w:ascii="Times New Roman" w:eastAsia="+mj-ea" w:hAnsi="Times New Roman" w:cs="Times New Roman"/>
          <w:color w:val="000000"/>
          <w:kern w:val="24"/>
          <w:sz w:val="24"/>
          <w:szCs w:val="24"/>
        </w:rPr>
        <w:t xml:space="preserve"> на социалните мрежи в интерент </w:t>
      </w:r>
      <w:r w:rsidR="00B93ED7">
        <w:rPr>
          <w:rFonts w:ascii="Times New Roman" w:eastAsia="+mj-ea" w:hAnsi="Times New Roman" w:cs="Times New Roman"/>
          <w:color w:val="000000"/>
          <w:kern w:val="24"/>
          <w:sz w:val="24"/>
          <w:szCs w:val="24"/>
        </w:rPr>
        <w:t>пространството.</w:t>
      </w:r>
    </w:p>
    <w:p w:rsidR="00B93ED7" w:rsidRDefault="00B93ED7" w:rsidP="00297251">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 xml:space="preserve">Военно-политическото „възраждане“ на Русия, </w:t>
      </w:r>
      <w:r w:rsidR="00B803C0">
        <w:rPr>
          <w:rFonts w:ascii="Times New Roman" w:eastAsia="+mj-ea" w:hAnsi="Times New Roman" w:cs="Times New Roman"/>
          <w:color w:val="000000"/>
          <w:kern w:val="24"/>
          <w:sz w:val="24"/>
          <w:szCs w:val="24"/>
        </w:rPr>
        <w:t>операцията на нейните Въздушнокосмически сили в контекста на конфликта на територията на Сирия, опитите за активизиране на евразийските формати на икономическо, политическо и дори военно взаимодействие и сътрудничесто едновременно с кризисните процеси, касаещи състоянието и сигурността на ЕС (финансова криза, икономически кризи, бежанска и миграционна криза и накрая – рефереднумът във Великобритания от 23 юни 2016 г.) дават основание на политици и политолози да предричцат „началото на края на ЕС“, като намират аналогии в процеси от първите десетилетия на ХХ век, конкретно – разпадането на Австро-Унгарската империя. Интересно може би и това, че привържениците на тази теория по никакъв начин не правят аналогия с разпадането на Съюза на съветските социалистически републики, изненадал с</w:t>
      </w:r>
      <w:r w:rsidR="00A9535A">
        <w:rPr>
          <w:rFonts w:ascii="Times New Roman" w:eastAsia="+mj-ea" w:hAnsi="Times New Roman" w:cs="Times New Roman"/>
          <w:color w:val="000000"/>
          <w:kern w:val="24"/>
          <w:sz w:val="24"/>
          <w:szCs w:val="24"/>
        </w:rPr>
        <w:t>вета в една нощ на декември 1991</w:t>
      </w:r>
      <w:r w:rsidR="00B803C0">
        <w:rPr>
          <w:rFonts w:ascii="Times New Roman" w:eastAsia="+mj-ea" w:hAnsi="Times New Roman" w:cs="Times New Roman"/>
          <w:color w:val="000000"/>
          <w:kern w:val="24"/>
          <w:sz w:val="24"/>
          <w:szCs w:val="24"/>
        </w:rPr>
        <w:t xml:space="preserve"> г.</w:t>
      </w:r>
      <w:r w:rsidR="00A9535A">
        <w:rPr>
          <w:rStyle w:val="FootnoteReference"/>
          <w:rFonts w:ascii="Times New Roman" w:eastAsia="+mj-ea" w:hAnsi="Times New Roman" w:cs="Times New Roman"/>
          <w:color w:val="000000"/>
          <w:kern w:val="24"/>
          <w:sz w:val="24"/>
          <w:szCs w:val="24"/>
        </w:rPr>
        <w:footnoteReference w:id="2"/>
      </w:r>
    </w:p>
    <w:p w:rsidR="00A9535A" w:rsidRPr="00B93ED7" w:rsidRDefault="00B803C0" w:rsidP="00A9535A">
      <w:pPr>
        <w:spacing w:after="0" w:line="360" w:lineRule="auto"/>
        <w:ind w:firstLine="709"/>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Процесите в ЕС и съпределните геополитически райони са твърде съществени сами по себе си и важни за България, за да бъдат оставени политически и идеологически спекулации да се развихрят и да чертаят апокалиптични прогнози, които се очаква да се сбъднат от само себе си, като нещо предначертано и неизбежно.</w:t>
      </w:r>
      <w:r w:rsidR="00A9535A">
        <w:rPr>
          <w:rFonts w:ascii="Times New Roman" w:eastAsia="+mj-ea" w:hAnsi="Times New Roman" w:cs="Times New Roman"/>
          <w:color w:val="000000"/>
          <w:kern w:val="24"/>
          <w:sz w:val="24"/>
          <w:szCs w:val="24"/>
        </w:rPr>
        <w:t xml:space="preserve"> Анарогиите със събития в миналото и то в качествено други политически и икономически контексти са не просто неправилни и погрешни, но и опасни, ако се предлагат за основа на решения днес. Именно поради това е вежно да се направи съдържателен, макар и кратък преглед на развитието на ЕС. Този преглед има за цел да покаже уникалността на европийския проект, неговите корени в основните права и свободи на гражданите, неговата сила, произтичаща от желанието на гражданите, а не просто на правителствата да живеят в общо прастранство на мир, сигурност</w:t>
      </w:r>
      <w:r w:rsidR="00865E1B">
        <w:rPr>
          <w:rFonts w:ascii="Times New Roman" w:eastAsia="+mj-ea" w:hAnsi="Times New Roman" w:cs="Times New Roman"/>
          <w:color w:val="000000"/>
          <w:kern w:val="24"/>
          <w:sz w:val="24"/>
          <w:szCs w:val="24"/>
        </w:rPr>
        <w:t>, икономическо сътрудничество</w:t>
      </w:r>
      <w:r w:rsidR="00A9535A">
        <w:rPr>
          <w:rFonts w:ascii="Times New Roman" w:eastAsia="+mj-ea" w:hAnsi="Times New Roman" w:cs="Times New Roman"/>
          <w:color w:val="000000"/>
          <w:kern w:val="24"/>
          <w:sz w:val="24"/>
          <w:szCs w:val="24"/>
        </w:rPr>
        <w:t xml:space="preserve"> и единен правов ред.</w:t>
      </w:r>
      <w:r w:rsidR="00865E1B">
        <w:rPr>
          <w:rFonts w:ascii="Times New Roman" w:eastAsia="+mj-ea" w:hAnsi="Times New Roman" w:cs="Times New Roman"/>
          <w:color w:val="000000"/>
          <w:kern w:val="24"/>
          <w:sz w:val="24"/>
          <w:szCs w:val="24"/>
        </w:rPr>
        <w:t xml:space="preserve"> Това ще ни даде възможност  да определим източниците на кризисни процеси в ЕС, които нито са започнали след 2014 </w:t>
      </w:r>
      <w:r w:rsidR="00865E1B">
        <w:rPr>
          <w:rFonts w:ascii="Times New Roman" w:eastAsia="+mj-ea" w:hAnsi="Times New Roman" w:cs="Times New Roman"/>
          <w:color w:val="000000"/>
          <w:kern w:val="24"/>
          <w:sz w:val="24"/>
          <w:szCs w:val="24"/>
        </w:rPr>
        <w:lastRenderedPageBreak/>
        <w:t>г., нито ще изчезнат окончателно и след преодоляване на актуалната криза, породена от т.нар. Брекзит.</w:t>
      </w:r>
    </w:p>
    <w:p w:rsidR="0030715D" w:rsidRPr="00865E1B" w:rsidRDefault="0030715D" w:rsidP="0030715D">
      <w:pPr>
        <w:jc w:val="center"/>
        <w:rPr>
          <w:rFonts w:ascii="Times New Roman" w:eastAsia="+mj-ea" w:hAnsi="Times New Roman" w:cs="Times New Roman"/>
          <w:b/>
          <w:color w:val="000000"/>
          <w:kern w:val="24"/>
          <w:sz w:val="24"/>
          <w:szCs w:val="24"/>
        </w:rPr>
      </w:pPr>
      <w:r w:rsidRPr="00865E1B">
        <w:rPr>
          <w:rFonts w:ascii="Times New Roman" w:eastAsia="+mj-ea" w:hAnsi="Times New Roman" w:cs="Times New Roman"/>
          <w:b/>
          <w:color w:val="000000"/>
          <w:kern w:val="24"/>
          <w:sz w:val="24"/>
          <w:szCs w:val="24"/>
        </w:rPr>
        <w:t>Европейски контексти – териториални аспекти</w:t>
      </w:r>
    </w:p>
    <w:p w:rsidR="00865E1B" w:rsidRDefault="00865E1B" w:rsidP="005F5AA8">
      <w:pPr>
        <w:spacing w:after="0" w:line="360" w:lineRule="auto"/>
        <w:ind w:firstLine="709"/>
        <w:jc w:val="both"/>
        <w:rPr>
          <w:rFonts w:ascii="Times New Roman" w:eastAsia="+mn-ea" w:hAnsi="Times New Roman" w:cs="Times New Roman"/>
          <w:color w:val="000000"/>
          <w:kern w:val="24"/>
          <w:sz w:val="24"/>
          <w:szCs w:val="24"/>
        </w:rPr>
      </w:pPr>
      <w:r>
        <w:rPr>
          <w:rFonts w:ascii="Times New Roman" w:eastAsia="+mn-ea" w:hAnsi="Times New Roman" w:cs="Times New Roman"/>
          <w:color w:val="000000"/>
          <w:kern w:val="24"/>
          <w:sz w:val="24"/>
          <w:szCs w:val="24"/>
        </w:rPr>
        <w:t>Всъщност определянето на това що е „европейски контекст“</w:t>
      </w:r>
      <w:r w:rsidR="00796340">
        <w:rPr>
          <w:rFonts w:ascii="Times New Roman" w:eastAsia="+mn-ea" w:hAnsi="Times New Roman" w:cs="Times New Roman"/>
          <w:color w:val="000000"/>
          <w:kern w:val="24"/>
          <w:sz w:val="24"/>
          <w:szCs w:val="24"/>
        </w:rPr>
        <w:t xml:space="preserve"> и „европейски формат“ не е самоцелно теоретизиране. Този въпрос е особено важен за страни и общества, които са „гранични“ не толкова в георграфски, колкото в ценностен, поведенчески, макроикономически и геополитически план. В „най-чист вид“ въпросът за европейското и не-европейското в един и същи политически субект могат да бъдат открити в разсъжденията за европейското, азиатското или самобитното евразийско в руската/съветската/руската държавностроителна политика и практика. В много по-мек и силно битовизиран вид този въпрос стои и в рамките на българското общество и се проявява в различна степен </w:t>
      </w:r>
      <w:r w:rsidR="00EF31FF">
        <w:rPr>
          <w:rFonts w:ascii="Times New Roman" w:eastAsia="+mn-ea" w:hAnsi="Times New Roman" w:cs="Times New Roman"/>
          <w:color w:val="000000"/>
          <w:kern w:val="24"/>
          <w:sz w:val="24"/>
          <w:szCs w:val="24"/>
        </w:rPr>
        <w:t>дори след официалното и достатъч</w:t>
      </w:r>
      <w:r w:rsidR="00796340">
        <w:rPr>
          <w:rFonts w:ascii="Times New Roman" w:eastAsia="+mn-ea" w:hAnsi="Times New Roman" w:cs="Times New Roman"/>
          <w:color w:val="000000"/>
          <w:kern w:val="24"/>
          <w:sz w:val="24"/>
          <w:szCs w:val="24"/>
        </w:rPr>
        <w:t>но решително ценностно, икономическо и политическ ориентиране на страната ни към ЕС НАТО и други евро</w:t>
      </w:r>
      <w:r w:rsidR="00EF31FF">
        <w:rPr>
          <w:rFonts w:ascii="Times New Roman" w:eastAsia="+mn-ea" w:hAnsi="Times New Roman" w:cs="Times New Roman"/>
          <w:color w:val="000000"/>
          <w:kern w:val="24"/>
          <w:sz w:val="24"/>
          <w:szCs w:val="24"/>
        </w:rPr>
        <w:t>пейски и еврооатлантически</w:t>
      </w:r>
      <w:r w:rsidR="00796340">
        <w:rPr>
          <w:rFonts w:ascii="Times New Roman" w:eastAsia="+mn-ea" w:hAnsi="Times New Roman" w:cs="Times New Roman"/>
          <w:color w:val="000000"/>
          <w:kern w:val="24"/>
          <w:sz w:val="24"/>
          <w:szCs w:val="24"/>
        </w:rPr>
        <w:t>ти.</w:t>
      </w:r>
      <w:r w:rsidR="00EF31FF">
        <w:rPr>
          <w:rFonts w:ascii="Times New Roman" w:eastAsia="+mn-ea" w:hAnsi="Times New Roman" w:cs="Times New Roman"/>
          <w:color w:val="000000"/>
          <w:kern w:val="24"/>
          <w:sz w:val="24"/>
          <w:szCs w:val="24"/>
        </w:rPr>
        <w:t xml:space="preserve"> Тези прояви на политическа неустойчивост и дори разнопосочност не трябва да бъдат пренебрегвани; през последните две-три години те станаха причина или създадоха благоприятна обстановка за съществени отклонения на страната ни от процеса на европейска интеграция и утвърждаване на националния интерес.</w:t>
      </w:r>
    </w:p>
    <w:p w:rsidR="00EF31FF" w:rsidRDefault="00EF31FF" w:rsidP="005F5AA8">
      <w:pPr>
        <w:spacing w:after="0" w:line="360" w:lineRule="auto"/>
        <w:ind w:firstLine="709"/>
        <w:jc w:val="both"/>
        <w:rPr>
          <w:rFonts w:ascii="Times New Roman" w:eastAsia="+mn-ea" w:hAnsi="Times New Roman" w:cs="Times New Roman"/>
          <w:color w:val="000000"/>
          <w:kern w:val="24"/>
          <w:sz w:val="24"/>
          <w:szCs w:val="24"/>
        </w:rPr>
      </w:pPr>
      <w:r>
        <w:rPr>
          <w:rFonts w:ascii="Times New Roman" w:eastAsia="+mn-ea" w:hAnsi="Times New Roman" w:cs="Times New Roman"/>
          <w:color w:val="000000"/>
          <w:kern w:val="24"/>
          <w:sz w:val="24"/>
          <w:szCs w:val="24"/>
        </w:rPr>
        <w:t>Въпросът за същността и динамиката на</w:t>
      </w:r>
      <w:r w:rsidR="00F55471">
        <w:rPr>
          <w:rFonts w:ascii="Times New Roman" w:eastAsia="+mn-ea" w:hAnsi="Times New Roman" w:cs="Times New Roman"/>
          <w:color w:val="000000"/>
          <w:kern w:val="24"/>
          <w:sz w:val="24"/>
          <w:szCs w:val="24"/>
        </w:rPr>
        <w:t xml:space="preserve"> състава на ЕС и на</w:t>
      </w:r>
      <w:r>
        <w:rPr>
          <w:rFonts w:ascii="Times New Roman" w:eastAsia="+mn-ea" w:hAnsi="Times New Roman" w:cs="Times New Roman"/>
          <w:color w:val="000000"/>
          <w:kern w:val="24"/>
          <w:sz w:val="24"/>
          <w:szCs w:val="24"/>
        </w:rPr>
        <w:t xml:space="preserve"> ев</w:t>
      </w:r>
      <w:r w:rsidR="000E7F33">
        <w:rPr>
          <w:rFonts w:ascii="Times New Roman" w:eastAsia="+mn-ea" w:hAnsi="Times New Roman" w:cs="Times New Roman"/>
          <w:color w:val="000000"/>
          <w:kern w:val="24"/>
          <w:sz w:val="24"/>
          <w:szCs w:val="24"/>
        </w:rPr>
        <w:t>ропейските формати е важен и за проучване на промените в съотношението между националното, представяно от държавите членки, и общое</w:t>
      </w:r>
      <w:r w:rsidR="00F55471">
        <w:rPr>
          <w:rFonts w:ascii="Times New Roman" w:eastAsia="+mn-ea" w:hAnsi="Times New Roman" w:cs="Times New Roman"/>
          <w:color w:val="000000"/>
          <w:kern w:val="24"/>
          <w:sz w:val="24"/>
          <w:szCs w:val="24"/>
        </w:rPr>
        <w:t>в</w:t>
      </w:r>
      <w:r w:rsidR="000E7F33">
        <w:rPr>
          <w:rFonts w:ascii="Times New Roman" w:eastAsia="+mn-ea" w:hAnsi="Times New Roman" w:cs="Times New Roman"/>
          <w:color w:val="000000"/>
          <w:kern w:val="24"/>
          <w:sz w:val="24"/>
          <w:szCs w:val="24"/>
        </w:rPr>
        <w:t>ропейското, представяно от институциите на ЕС в Брюксел и техните администрации.</w:t>
      </w:r>
      <w:r w:rsidR="00F55471">
        <w:rPr>
          <w:rFonts w:ascii="Times New Roman" w:eastAsia="+mn-ea" w:hAnsi="Times New Roman" w:cs="Times New Roman"/>
          <w:color w:val="000000"/>
          <w:kern w:val="24"/>
          <w:sz w:val="24"/>
          <w:szCs w:val="24"/>
        </w:rPr>
        <w:t xml:space="preserve"> Само едно внимателно изследване на тези процеси и установяването на отстъпление и/или отклонение от </w:t>
      </w:r>
      <w:r w:rsidR="009D6ECE">
        <w:rPr>
          <w:rFonts w:ascii="Times New Roman" w:eastAsia="+mn-ea" w:hAnsi="Times New Roman" w:cs="Times New Roman"/>
          <w:color w:val="000000"/>
          <w:kern w:val="24"/>
          <w:sz w:val="24"/>
          <w:szCs w:val="24"/>
        </w:rPr>
        <w:t>концепцията да обединението на европейските държави и в още по-голяма степен на гражданите и обществата в единна общност ще ни даде възможност да разберем кризите и хранителната среда за евроскепицизма и квази-патриотизма, който прикрива сепаратизма.</w:t>
      </w:r>
    </w:p>
    <w:p w:rsidR="009D6ECE" w:rsidRDefault="000E7F33" w:rsidP="009D6ECE">
      <w:pPr>
        <w:spacing w:after="0" w:line="360" w:lineRule="auto"/>
        <w:ind w:firstLine="709"/>
        <w:jc w:val="both"/>
        <w:rPr>
          <w:rFonts w:ascii="Times New Roman" w:hAnsi="Times New Roman" w:cs="Times New Roman"/>
          <w:sz w:val="24"/>
          <w:szCs w:val="24"/>
        </w:rPr>
      </w:pPr>
      <w:r>
        <w:rPr>
          <w:rFonts w:ascii="Times New Roman" w:eastAsia="+mn-ea" w:hAnsi="Times New Roman" w:cs="Times New Roman"/>
          <w:b/>
          <w:color w:val="000000"/>
          <w:kern w:val="24"/>
          <w:sz w:val="24"/>
          <w:szCs w:val="24"/>
        </w:rPr>
        <w:t>Иде</w:t>
      </w:r>
      <w:r w:rsidR="009D6ECE">
        <w:rPr>
          <w:rFonts w:ascii="Times New Roman" w:eastAsia="+mn-ea" w:hAnsi="Times New Roman" w:cs="Times New Roman"/>
          <w:b/>
          <w:color w:val="000000"/>
          <w:kern w:val="24"/>
          <w:sz w:val="24"/>
          <w:szCs w:val="24"/>
        </w:rPr>
        <w:t>ята за обединение на европейскит</w:t>
      </w:r>
      <w:r>
        <w:rPr>
          <w:rFonts w:ascii="Times New Roman" w:eastAsia="+mn-ea" w:hAnsi="Times New Roman" w:cs="Times New Roman"/>
          <w:b/>
          <w:color w:val="000000"/>
          <w:kern w:val="24"/>
          <w:sz w:val="24"/>
          <w:szCs w:val="24"/>
        </w:rPr>
        <w:t xml:space="preserve">е </w:t>
      </w:r>
      <w:r w:rsidR="009D6ECE">
        <w:rPr>
          <w:rFonts w:ascii="Times New Roman" w:eastAsia="+mn-ea" w:hAnsi="Times New Roman" w:cs="Times New Roman"/>
          <w:b/>
          <w:color w:val="000000"/>
          <w:kern w:val="24"/>
          <w:sz w:val="24"/>
          <w:szCs w:val="24"/>
        </w:rPr>
        <w:t>народи</w:t>
      </w:r>
      <w:r w:rsidR="009D6ECE">
        <w:rPr>
          <w:rFonts w:ascii="Times New Roman" w:eastAsia="+mn-ea" w:hAnsi="Times New Roman" w:cs="Times New Roman"/>
          <w:color w:val="000000"/>
          <w:kern w:val="24"/>
          <w:sz w:val="24"/>
          <w:szCs w:val="24"/>
        </w:rPr>
        <w:t xml:space="preserve"> не възниква след Втората световна война, но именно тя поставя проблема с абсолютна необходимост. Тази необходимост ясно е формулирана в декларацията на френския министър на външните работи Робер</w:t>
      </w:r>
      <w:r w:rsidR="009D6ECE" w:rsidRPr="009D6ECE">
        <w:rPr>
          <w:rFonts w:ascii="Times New Roman" w:eastAsia="+mn-ea" w:hAnsi="Times New Roman" w:cs="Times New Roman"/>
          <w:color w:val="000000"/>
          <w:kern w:val="24"/>
          <w:sz w:val="24"/>
          <w:szCs w:val="24"/>
        </w:rPr>
        <w:t>т Шуман от 9 май 1950 г.</w:t>
      </w:r>
      <w:r w:rsidR="009D6ECE" w:rsidRPr="009D6ECE">
        <w:rPr>
          <w:rStyle w:val="FootnoteReference"/>
          <w:rFonts w:ascii="Times New Roman" w:eastAsia="+mn-ea" w:hAnsi="Times New Roman" w:cs="Times New Roman"/>
          <w:color w:val="000000"/>
          <w:kern w:val="24"/>
          <w:sz w:val="24"/>
          <w:szCs w:val="24"/>
        </w:rPr>
        <w:footnoteReference w:id="3"/>
      </w:r>
      <w:r w:rsidR="009D6ECE" w:rsidRPr="009D6ECE">
        <w:rPr>
          <w:rFonts w:ascii="Times New Roman" w:eastAsia="+mn-ea" w:hAnsi="Times New Roman" w:cs="Times New Roman"/>
          <w:color w:val="000000"/>
          <w:kern w:val="24"/>
          <w:sz w:val="24"/>
          <w:szCs w:val="24"/>
        </w:rPr>
        <w:t xml:space="preserve"> В нея се казва ясно, че обединението на европейските страни няма да е в резултат на нечий план и не ще се случи в кратко </w:t>
      </w:r>
      <w:r w:rsidR="009D6ECE" w:rsidRPr="009D6ECE">
        <w:rPr>
          <w:rFonts w:ascii="Times New Roman" w:eastAsia="+mn-ea" w:hAnsi="Times New Roman" w:cs="Times New Roman"/>
          <w:color w:val="000000"/>
          <w:kern w:val="24"/>
          <w:sz w:val="24"/>
          <w:szCs w:val="24"/>
        </w:rPr>
        <w:lastRenderedPageBreak/>
        <w:t>време, но „</w:t>
      </w:r>
      <w:r w:rsidR="009D6ECE" w:rsidRPr="009D6ECE">
        <w:rPr>
          <w:rFonts w:ascii="Times New Roman" w:hAnsi="Times New Roman" w:cs="Times New Roman"/>
          <w:sz w:val="24"/>
          <w:szCs w:val="24"/>
        </w:rPr>
        <w:t>ще бъде изградено чрез конкретни постижения, които първо създават чувство на солидарност.“</w:t>
      </w:r>
    </w:p>
    <w:p w:rsidR="004313C7" w:rsidRPr="004C201B" w:rsidRDefault="004313C7" w:rsidP="004313C7">
      <w:pPr>
        <w:spacing w:after="0" w:line="360" w:lineRule="auto"/>
        <w:ind w:firstLine="709"/>
        <w:jc w:val="both"/>
        <w:rPr>
          <w:rFonts w:ascii="Times New Roman" w:eastAsia="Times New Roman" w:hAnsi="Times New Roman" w:cs="Times New Roman"/>
          <w:sz w:val="24"/>
          <w:szCs w:val="24"/>
          <w:lang w:eastAsia="bg-BG"/>
        </w:rPr>
      </w:pPr>
      <w:r>
        <w:rPr>
          <w:rFonts w:ascii="Times New Roman" w:hAnsi="Times New Roman" w:cs="Times New Roman"/>
          <w:sz w:val="24"/>
          <w:szCs w:val="24"/>
        </w:rPr>
        <w:t>В декларацията пределно ясно се посочва целта на предлаганото обединение на усилията на Франция и Германия в управлението на производството на въглеща и стомана: „</w:t>
      </w:r>
      <w:r w:rsidRPr="004C201B">
        <w:rPr>
          <w:rFonts w:ascii="Times New Roman" w:eastAsia="Times New Roman" w:hAnsi="Times New Roman" w:cs="Times New Roman"/>
          <w:sz w:val="24"/>
          <w:szCs w:val="24"/>
          <w:lang w:eastAsia="bg-BG"/>
        </w:rPr>
        <w:t>Обединяването на производството на въглища и стомана веднага ще създаде база за икономическо развитие като първа стъпка към европейска федерация и ще промени съдбата на регионите, отдадени дълго време на производството на оръжия, на които те самите най-често бяха жертви.</w:t>
      </w:r>
    </w:p>
    <w:p w:rsidR="004313C7" w:rsidRDefault="004313C7" w:rsidP="009D6ECE">
      <w:pPr>
        <w:spacing w:after="0" w:line="360" w:lineRule="auto"/>
        <w:ind w:firstLine="709"/>
        <w:jc w:val="both"/>
        <w:rPr>
          <w:rFonts w:ascii="Times New Roman" w:hAnsi="Times New Roman" w:cs="Times New Roman"/>
          <w:sz w:val="24"/>
          <w:szCs w:val="24"/>
        </w:rPr>
      </w:pPr>
      <w:r w:rsidRPr="004313C7">
        <w:rPr>
          <w:rFonts w:ascii="Times New Roman" w:eastAsia="Times New Roman" w:hAnsi="Times New Roman" w:cs="Times New Roman"/>
          <w:sz w:val="24"/>
          <w:szCs w:val="24"/>
          <w:lang w:eastAsia="bg-BG"/>
        </w:rPr>
        <w:t>Така установената солидарност в производството ще направи евентуална война между Франция и Германия не просто немислима, но и практически невъзможна. Създаването на това мощно производствено обединение, отворено към всички желаещи да участват страни и целящо да осигури на всички държави-членки основни суровини за промишлено производство при еднакви условия, ще положи действителните основи на тяхното икономическо обединение.</w:t>
      </w:r>
      <w:r>
        <w:rPr>
          <w:rFonts w:ascii="Times New Roman" w:hAnsi="Times New Roman" w:cs="Times New Roman"/>
          <w:sz w:val="24"/>
          <w:szCs w:val="24"/>
        </w:rPr>
        <w:t>“</w:t>
      </w:r>
    </w:p>
    <w:p w:rsidR="004313C7" w:rsidRPr="00061E13" w:rsidRDefault="004313C7" w:rsidP="009D6ECE">
      <w:pPr>
        <w:spacing w:after="0" w:line="360" w:lineRule="auto"/>
        <w:ind w:firstLine="709"/>
        <w:jc w:val="both"/>
        <w:rPr>
          <w:rFonts w:ascii="Times New Roman" w:hAnsi="Times New Roman" w:cs="Times New Roman"/>
          <w:sz w:val="24"/>
          <w:szCs w:val="24"/>
        </w:rPr>
      </w:pPr>
      <w:r w:rsidRPr="00061E13">
        <w:rPr>
          <w:rFonts w:ascii="Times New Roman" w:hAnsi="Times New Roman" w:cs="Times New Roman"/>
          <w:sz w:val="24"/>
          <w:szCs w:val="24"/>
        </w:rPr>
        <w:t xml:space="preserve">Общото спорузумение между Франция и Германия за въглищата и стоманата поставя началото на формирането на ЕС. Както се вижда от декларацията, една от целите на споразуманието е отстраняването на всички поводи за военно решаване на спорните въпроси между страните. По-късно решаването на спорните въпроси става </w:t>
      </w:r>
      <w:r w:rsidR="006041D8" w:rsidRPr="00061E13">
        <w:rPr>
          <w:rFonts w:ascii="Times New Roman" w:hAnsi="Times New Roman" w:cs="Times New Roman"/>
          <w:sz w:val="24"/>
          <w:szCs w:val="24"/>
        </w:rPr>
        <w:t xml:space="preserve">предварително </w:t>
      </w:r>
      <w:r w:rsidRPr="00061E13">
        <w:rPr>
          <w:rFonts w:ascii="Times New Roman" w:hAnsi="Times New Roman" w:cs="Times New Roman"/>
          <w:sz w:val="24"/>
          <w:szCs w:val="24"/>
        </w:rPr>
        <w:t>изискване към всяка страна, която заявява своето желание да стане част от процеса на европейската интеграци</w:t>
      </w:r>
      <w:r w:rsidR="006041D8" w:rsidRPr="00061E13">
        <w:rPr>
          <w:rFonts w:ascii="Times New Roman" w:hAnsi="Times New Roman" w:cs="Times New Roman"/>
          <w:sz w:val="24"/>
          <w:szCs w:val="24"/>
        </w:rPr>
        <w:t>.</w:t>
      </w:r>
    </w:p>
    <w:p w:rsidR="006041D8" w:rsidRPr="00061E13" w:rsidRDefault="00061E13" w:rsidP="009D6ECE">
      <w:pPr>
        <w:spacing w:after="0" w:line="360" w:lineRule="auto"/>
        <w:ind w:firstLine="709"/>
        <w:jc w:val="both"/>
        <w:rPr>
          <w:rFonts w:ascii="Times New Roman" w:eastAsia="+mn-ea" w:hAnsi="Times New Roman" w:cs="Times New Roman"/>
          <w:color w:val="000000"/>
          <w:kern w:val="24"/>
          <w:sz w:val="24"/>
          <w:szCs w:val="24"/>
        </w:rPr>
      </w:pPr>
      <w:r>
        <w:rPr>
          <w:rFonts w:ascii="Times New Roman" w:hAnsi="Times New Roman" w:cs="Times New Roman"/>
          <w:sz w:val="24"/>
          <w:szCs w:val="24"/>
        </w:rPr>
        <w:t>През 1952 г. в П</w:t>
      </w:r>
      <w:r w:rsidR="006041D8" w:rsidRPr="00061E13">
        <w:rPr>
          <w:rFonts w:ascii="Times New Roman" w:hAnsi="Times New Roman" w:cs="Times New Roman"/>
          <w:sz w:val="24"/>
          <w:szCs w:val="24"/>
        </w:rPr>
        <w:t xml:space="preserve">ариж се сключва и през 1952 г. влиза в сила </w:t>
      </w:r>
      <w:r w:rsidRPr="00061E13">
        <w:rPr>
          <w:rFonts w:ascii="Times New Roman" w:hAnsi="Times New Roman" w:cs="Times New Roman"/>
          <w:sz w:val="24"/>
          <w:szCs w:val="24"/>
        </w:rPr>
        <w:t>учредителния Договор от Париж, подписан от 6 държави</w:t>
      </w:r>
      <w:r w:rsidRPr="00061E13">
        <w:rPr>
          <w:rStyle w:val="FootnoteReference"/>
          <w:rFonts w:ascii="Times New Roman" w:hAnsi="Times New Roman" w:cs="Times New Roman"/>
          <w:sz w:val="24"/>
          <w:szCs w:val="24"/>
        </w:rPr>
        <w:footnoteReference w:id="4"/>
      </w:r>
      <w:r w:rsidRPr="00061E13">
        <w:rPr>
          <w:rFonts w:ascii="Times New Roman" w:hAnsi="Times New Roman" w:cs="Times New Roman"/>
          <w:sz w:val="24"/>
          <w:szCs w:val="24"/>
        </w:rPr>
        <w:t xml:space="preserve">,с който е създадена Европейската общност за въглища и стомана. </w:t>
      </w:r>
      <w:r w:rsidR="006041D8" w:rsidRPr="00061E13">
        <w:rPr>
          <w:rFonts w:ascii="Times New Roman" w:hAnsi="Times New Roman" w:cs="Times New Roman"/>
          <w:sz w:val="24"/>
          <w:szCs w:val="24"/>
        </w:rPr>
        <w:t>През 1956 г. се сключа т.нар. Римски договор, скойто се създава Европейската икономическа общност</w:t>
      </w:r>
    </w:p>
    <w:p w:rsidR="00061E13" w:rsidRPr="00061E13" w:rsidRDefault="00061E13" w:rsidP="005F5AA8">
      <w:pPr>
        <w:spacing w:after="0" w:line="360" w:lineRule="auto"/>
        <w:ind w:firstLine="709"/>
        <w:jc w:val="both"/>
        <w:rPr>
          <w:rFonts w:ascii="Times New Roman" w:hAnsi="Times New Roman" w:cs="Times New Roman"/>
          <w:sz w:val="24"/>
          <w:szCs w:val="24"/>
        </w:rPr>
      </w:pPr>
      <w:r w:rsidRPr="00061E13">
        <w:rPr>
          <w:rFonts w:ascii="Times New Roman" w:hAnsi="Times New Roman" w:cs="Times New Roman"/>
          <w:sz w:val="24"/>
          <w:szCs w:val="24"/>
        </w:rPr>
        <w:t>На 25 март 1957 г. в Рим, Италия,</w:t>
      </w:r>
      <w:r>
        <w:rPr>
          <w:rFonts w:ascii="Times New Roman" w:hAnsi="Times New Roman" w:cs="Times New Roman"/>
          <w:sz w:val="24"/>
          <w:szCs w:val="24"/>
        </w:rPr>
        <w:t xml:space="preserve"> държавните ръководители на тези шест</w:t>
      </w:r>
      <w:r w:rsidRPr="00061E13">
        <w:rPr>
          <w:rFonts w:ascii="Times New Roman" w:hAnsi="Times New Roman" w:cs="Times New Roman"/>
          <w:sz w:val="24"/>
          <w:szCs w:val="24"/>
        </w:rPr>
        <w:t xml:space="preserve"> европейски държави подписват Договор за създаване на Европейска икономическа общност /ЕИО/. Договорът представлява своеобразна конституция за обединителните процеси в Европа със своите 248 текста, с прецизно формулираните цели, задачи, институции, етапи, права и задължения, рискове и преимущества. Учредителите са мотивирани от желанието да положат основите на общ пазар по пътя на икономическата интеграция, премахване на междудържавните бариери в търговията, както и създаването на условия за свободно движене на хора, стоки и капитали, </w:t>
      </w:r>
      <w:r w:rsidRPr="00061E13">
        <w:rPr>
          <w:rFonts w:ascii="Times New Roman" w:hAnsi="Times New Roman" w:cs="Times New Roman"/>
          <w:sz w:val="24"/>
          <w:szCs w:val="24"/>
        </w:rPr>
        <w:lastRenderedPageBreak/>
        <w:t>сближаване на законодателствата на страните членки. Предвижда се създаването на европейски социален фонд, за да се решават заедно проблемите на заетостта, и Европейска инвестиционна банка.</w:t>
      </w:r>
    </w:p>
    <w:p w:rsidR="00061E13" w:rsidRPr="00061E13" w:rsidRDefault="00061E13" w:rsidP="005F5AA8">
      <w:pPr>
        <w:spacing w:after="0" w:line="360" w:lineRule="auto"/>
        <w:ind w:firstLine="709"/>
        <w:jc w:val="both"/>
        <w:rPr>
          <w:rFonts w:ascii="Times New Roman" w:hAnsi="Times New Roman" w:cs="Times New Roman"/>
          <w:sz w:val="24"/>
          <w:szCs w:val="24"/>
        </w:rPr>
      </w:pPr>
      <w:r w:rsidRPr="00061E13">
        <w:rPr>
          <w:rFonts w:ascii="Times New Roman" w:hAnsi="Times New Roman" w:cs="Times New Roman"/>
          <w:sz w:val="24"/>
          <w:szCs w:val="24"/>
        </w:rPr>
        <w:t>Всеки нов договор, продължение на учредителния от Рим 1957 г., е предшестван от междуправителствена конференция, на която страните обсъждат институционалната система и правната основа на действието на съюза, както и процедурните правила за обсъждане и постигане на политически решения.</w:t>
      </w:r>
    </w:p>
    <w:p w:rsidR="009D6ECE" w:rsidRDefault="00061E13" w:rsidP="005F5AA8">
      <w:pPr>
        <w:spacing w:after="0" w:line="360" w:lineRule="auto"/>
        <w:ind w:firstLine="709"/>
        <w:jc w:val="both"/>
        <w:rPr>
          <w:rFonts w:ascii="Times New Roman" w:hAnsi="Times New Roman" w:cs="Times New Roman"/>
          <w:sz w:val="24"/>
          <w:szCs w:val="24"/>
        </w:rPr>
      </w:pPr>
      <w:r w:rsidRPr="00061E13">
        <w:rPr>
          <w:rFonts w:ascii="Times New Roman" w:hAnsi="Times New Roman" w:cs="Times New Roman"/>
          <w:sz w:val="24"/>
          <w:szCs w:val="24"/>
        </w:rPr>
        <w:t xml:space="preserve">С Римския договор са създадени Европейската икономическа общност (ЕИО) и Европейската общност за атомна енергия (ЕВРАТОМ). С договора за ЕИО се цели да се премахнат митата, квотите и другите търговски бариери между страните членки и да се гарантира свободното движение през границите на лица, услуги и капитали. Договорът постановява провеждането на общи политики в редица области - селското стопанство, търговията, транспорта, конкуренцията. Договорът за ЕВРАТОМ има за цел да насърчи използването на атомната енергия за мирни цели. </w:t>
      </w:r>
    </w:p>
    <w:p w:rsidR="003F4ADC" w:rsidRDefault="00061E13" w:rsidP="003F4AD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следващите десетилетия към европейските икономически общности постепенно се присъединяват Дания, Ирландия и Обединеното кралство (1973), Гърция (1981), Португалия и Испания (1986), Източна Германия чрез присъединяването й към Федерална република Германия, </w:t>
      </w:r>
      <w:r w:rsidR="003F4ADC">
        <w:rPr>
          <w:rFonts w:ascii="Times New Roman" w:hAnsi="Times New Roman" w:cs="Times New Roman"/>
          <w:sz w:val="24"/>
          <w:szCs w:val="24"/>
        </w:rPr>
        <w:t>Австрия, Финландия и Швеция (1995), Естония, Кипър, Латвия, литва, Малта, Полша, Словакия, Словения, Унгария и Чехия (2005), България и Румъния (2005), Хърватия (2013) г.</w:t>
      </w:r>
      <w:r w:rsidR="002110DA">
        <w:rPr>
          <w:rFonts w:ascii="Times New Roman" w:hAnsi="Times New Roman" w:cs="Times New Roman"/>
          <w:sz w:val="24"/>
          <w:szCs w:val="24"/>
        </w:rPr>
        <w:t xml:space="preserve"> Така от шест през 1951 през 2013 г. държавите членки на ЕС стават 28.</w:t>
      </w:r>
    </w:p>
    <w:p w:rsidR="00061E13" w:rsidRDefault="003F4ADC" w:rsidP="003F4AD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Разширяването на Европейските икономически общности и усложняването на механизмите на сътрудничество, формулирането на общите правила и тяхното спазване правят абсолятно необходимо създаването на съответстваща нормативна база. Тя е необходима и поради факта, че обективно и под въздействие на интересите на бизнеса и на гражданите </w:t>
      </w:r>
      <w:r w:rsidR="002110DA">
        <w:rPr>
          <w:rFonts w:ascii="Times New Roman" w:hAnsi="Times New Roman" w:cs="Times New Roman"/>
          <w:sz w:val="24"/>
          <w:szCs w:val="24"/>
        </w:rPr>
        <w:t>връзките в съюза стават все постоянни, дълготрайни, многопластови и обхващат всички страни на обществения и икономически живот, налагат решаването на казуси от публичен и частен характер, които изискват ако не обща, то поне синхронизирана практика на органи на съдебната власт. Регламентите и директивите на ЕС, макар понякога да изглеждат необосновани и дори неразумни, всъщност постепенно налагат обща и трайна практика в държавите членки, от която най-голяма полза имат придържащите се към закона граждани и юридически лица.</w:t>
      </w:r>
    </w:p>
    <w:p w:rsidR="00061E13" w:rsidRDefault="002110DA" w:rsidP="002110DA">
      <w:pPr>
        <w:spacing w:after="0" w:line="360" w:lineRule="auto"/>
        <w:ind w:firstLine="709"/>
        <w:jc w:val="both"/>
        <w:rPr>
          <w:rFonts w:ascii="Times New Roman" w:eastAsia="+mn-ea" w:hAnsi="Times New Roman" w:cs="Times New Roman"/>
          <w:color w:val="000000"/>
          <w:kern w:val="24"/>
          <w:sz w:val="24"/>
          <w:szCs w:val="24"/>
        </w:rPr>
      </w:pPr>
      <w:r>
        <w:rPr>
          <w:rFonts w:ascii="Times New Roman" w:hAnsi="Times New Roman" w:cs="Times New Roman"/>
          <w:sz w:val="24"/>
          <w:szCs w:val="24"/>
        </w:rPr>
        <w:lastRenderedPageBreak/>
        <w:t>Въвеждането на общата валута още повече облекчава стопанския оборот и свободното движение на хора. Към това несъмнено следва да се добави и съществуването на споразумението от Шенген.</w:t>
      </w:r>
    </w:p>
    <w:p w:rsidR="002110DA" w:rsidRPr="00C062E6" w:rsidRDefault="002110DA" w:rsidP="002110DA">
      <w:pPr>
        <w:spacing w:after="0" w:line="360" w:lineRule="auto"/>
        <w:ind w:firstLine="709"/>
        <w:jc w:val="both"/>
        <w:rPr>
          <w:rFonts w:ascii="Times New Roman" w:eastAsia="+mn-ea" w:hAnsi="Times New Roman" w:cs="Times New Roman"/>
          <w:color w:val="000000"/>
          <w:kern w:val="24"/>
          <w:sz w:val="24"/>
          <w:szCs w:val="24"/>
        </w:rPr>
      </w:pPr>
      <w:r>
        <w:rPr>
          <w:rFonts w:ascii="Times New Roman" w:eastAsia="+mn-ea" w:hAnsi="Times New Roman" w:cs="Times New Roman"/>
          <w:color w:val="000000"/>
          <w:kern w:val="24"/>
          <w:sz w:val="24"/>
          <w:szCs w:val="24"/>
        </w:rPr>
        <w:t xml:space="preserve">Към европейските формати на сътрудничество бихме могли да добавим Вишеградската четворка, като един от </w:t>
      </w:r>
      <w:r w:rsidRPr="00C062E6">
        <w:rPr>
          <w:rFonts w:ascii="Times New Roman" w:eastAsia="+mn-ea" w:hAnsi="Times New Roman" w:cs="Times New Roman"/>
          <w:color w:val="000000"/>
          <w:kern w:val="24"/>
          <w:sz w:val="24"/>
          <w:szCs w:val="24"/>
        </w:rPr>
        <w:t>най-успешните регионални неформа</w:t>
      </w:r>
      <w:r w:rsidR="00C062E6" w:rsidRPr="00C062E6">
        <w:rPr>
          <w:rFonts w:ascii="Times New Roman" w:eastAsia="+mn-ea" w:hAnsi="Times New Roman" w:cs="Times New Roman"/>
          <w:color w:val="000000"/>
          <w:kern w:val="24"/>
          <w:sz w:val="24"/>
          <w:szCs w:val="24"/>
        </w:rPr>
        <w:t>лни механизми на сътрудничество.</w:t>
      </w:r>
    </w:p>
    <w:p w:rsidR="00362AFD" w:rsidRDefault="00C062E6" w:rsidP="00362AFD">
      <w:pPr>
        <w:spacing w:after="0" w:line="360" w:lineRule="auto"/>
        <w:ind w:firstLine="709"/>
        <w:jc w:val="both"/>
        <w:rPr>
          <w:rFonts w:ascii="Times New Roman" w:eastAsia="+mn-ea" w:hAnsi="Times New Roman" w:cs="Times New Roman"/>
          <w:color w:val="000000"/>
          <w:kern w:val="24"/>
          <w:sz w:val="24"/>
          <w:szCs w:val="24"/>
        </w:rPr>
      </w:pPr>
      <w:r w:rsidRPr="00C062E6">
        <w:rPr>
          <w:rFonts w:ascii="Times New Roman" w:eastAsia="+mn-ea" w:hAnsi="Times New Roman" w:cs="Times New Roman"/>
          <w:color w:val="000000"/>
          <w:kern w:val="24"/>
          <w:sz w:val="24"/>
          <w:szCs w:val="24"/>
        </w:rPr>
        <w:t>Европейски по своята същност са също така Средиземноморският съюз</w:t>
      </w:r>
      <w:r w:rsidRPr="00C062E6">
        <w:rPr>
          <w:rStyle w:val="FootnoteReference"/>
          <w:rFonts w:ascii="Times New Roman" w:eastAsia="+mn-ea" w:hAnsi="Times New Roman" w:cs="Times New Roman"/>
          <w:color w:val="000000"/>
          <w:kern w:val="24"/>
          <w:sz w:val="24"/>
          <w:szCs w:val="24"/>
        </w:rPr>
        <w:footnoteReference w:id="5"/>
      </w:r>
      <w:r w:rsidRPr="00C062E6">
        <w:rPr>
          <w:rFonts w:ascii="Times New Roman" w:eastAsia="+mn-ea" w:hAnsi="Times New Roman" w:cs="Times New Roman"/>
          <w:color w:val="000000"/>
          <w:kern w:val="24"/>
          <w:sz w:val="24"/>
          <w:szCs w:val="24"/>
        </w:rPr>
        <w:t xml:space="preserve">, така и </w:t>
      </w:r>
      <w:r w:rsidRPr="00C062E6">
        <w:rPr>
          <w:rFonts w:ascii="Times New Roman" w:hAnsi="Times New Roman" w:cs="Times New Roman"/>
          <w:sz w:val="24"/>
          <w:szCs w:val="24"/>
        </w:rPr>
        <w:t>програма</w:t>
      </w:r>
      <w:r w:rsidRPr="00C062E6">
        <w:rPr>
          <w:rFonts w:ascii="Times New Roman" w:hAnsi="Times New Roman" w:cs="Times New Roman"/>
          <w:sz w:val="24"/>
          <w:szCs w:val="24"/>
        </w:rPr>
        <w:t>та на Европейския съюз</w:t>
      </w:r>
      <w:r w:rsidRPr="00C062E6">
        <w:rPr>
          <w:rFonts w:ascii="Times New Roman" w:hAnsi="Times New Roman" w:cs="Times New Roman"/>
          <w:sz w:val="24"/>
          <w:szCs w:val="24"/>
        </w:rPr>
        <w:t xml:space="preserve"> за транснационално сътрудничество за Балканите и Средиземноморието</w:t>
      </w:r>
      <w:r w:rsidR="00362AFD">
        <w:rPr>
          <w:rStyle w:val="FootnoteReference"/>
          <w:rFonts w:ascii="Times New Roman" w:hAnsi="Times New Roman" w:cs="Times New Roman"/>
          <w:sz w:val="24"/>
          <w:szCs w:val="24"/>
        </w:rPr>
        <w:footnoteReference w:id="6"/>
      </w:r>
      <w:r w:rsidRPr="00C062E6">
        <w:rPr>
          <w:rFonts w:ascii="Times New Roman" w:hAnsi="Times New Roman" w:cs="Times New Roman"/>
          <w:sz w:val="24"/>
          <w:szCs w:val="24"/>
        </w:rPr>
        <w:t>, обхващаща Балканския полуостров и източната част на Средиземно море. В програмата участват три държави от ЕС (Гърция, България и Кипър) и две държави извън Съюза (Албания и</w:t>
      </w:r>
      <w:r w:rsidRPr="00C062E6">
        <w:rPr>
          <w:rFonts w:ascii="Times New Roman" w:hAnsi="Times New Roman" w:cs="Times New Roman"/>
          <w:sz w:val="24"/>
          <w:szCs w:val="24"/>
        </w:rPr>
        <w:t xml:space="preserve"> Р</w:t>
      </w:r>
      <w:r w:rsidRPr="00C062E6">
        <w:rPr>
          <w:rFonts w:ascii="Times New Roman" w:hAnsi="Times New Roman" w:cs="Times New Roman"/>
          <w:sz w:val="24"/>
          <w:szCs w:val="24"/>
        </w:rPr>
        <w:t>епублика Македония).</w:t>
      </w:r>
    </w:p>
    <w:p w:rsidR="00362AFD" w:rsidRPr="00331FA4" w:rsidRDefault="00362AFD" w:rsidP="00331FA4">
      <w:pPr>
        <w:spacing w:after="0" w:line="360" w:lineRule="auto"/>
        <w:ind w:firstLine="709"/>
        <w:jc w:val="both"/>
        <w:rPr>
          <w:rFonts w:ascii="Times New Roman" w:eastAsia="+mn-ea" w:hAnsi="Times New Roman" w:cs="Times New Roman"/>
          <w:color w:val="000000"/>
          <w:kern w:val="24"/>
          <w:sz w:val="24"/>
          <w:szCs w:val="24"/>
        </w:rPr>
      </w:pPr>
      <w:r>
        <w:rPr>
          <w:rFonts w:ascii="Times New Roman" w:eastAsia="+mn-ea" w:hAnsi="Times New Roman" w:cs="Times New Roman"/>
          <w:color w:val="000000"/>
          <w:kern w:val="24"/>
          <w:sz w:val="24"/>
          <w:szCs w:val="24"/>
        </w:rPr>
        <w:t>Несъмнено съществена част от европейския контекст са Съветът на Европа и Организацията за сигурност и сътрудничество в Европа. Не може да не прави впечатление, че членове на тези европейски по определение организации са страни като Казахстан, Узбекистан, Таджикистан, Киргизстан, дори Монголия, т.е. страни, чиято история, а известен смисъл и настояще не</w:t>
      </w:r>
      <w:r w:rsidRPr="00331FA4">
        <w:rPr>
          <w:rFonts w:ascii="Times New Roman" w:eastAsia="+mn-ea" w:hAnsi="Times New Roman" w:cs="Times New Roman"/>
          <w:color w:val="000000"/>
          <w:kern w:val="24"/>
          <w:sz w:val="24"/>
          <w:szCs w:val="24"/>
        </w:rPr>
        <w:t xml:space="preserve"> са силно свързани с европейската теория и практика в икономиката, политиката, социалната и хуманитарната сфера.</w:t>
      </w:r>
      <w:r w:rsidRPr="00331FA4">
        <w:rPr>
          <w:rStyle w:val="FootnoteReference"/>
          <w:rFonts w:ascii="Times New Roman" w:eastAsia="+mn-ea" w:hAnsi="Times New Roman" w:cs="Times New Roman"/>
          <w:color w:val="000000"/>
          <w:kern w:val="24"/>
          <w:sz w:val="24"/>
          <w:szCs w:val="24"/>
        </w:rPr>
        <w:footnoteReference w:id="7"/>
      </w:r>
    </w:p>
    <w:p w:rsidR="00362AFD" w:rsidRDefault="00362AFD" w:rsidP="00331FA4">
      <w:pPr>
        <w:spacing w:after="0" w:line="360" w:lineRule="auto"/>
        <w:ind w:firstLine="709"/>
        <w:jc w:val="both"/>
        <w:rPr>
          <w:rFonts w:ascii="Times New Roman" w:hAnsi="Times New Roman" w:cs="Times New Roman"/>
          <w:sz w:val="24"/>
          <w:szCs w:val="24"/>
        </w:rPr>
      </w:pPr>
      <w:r w:rsidRPr="00331FA4">
        <w:rPr>
          <w:rFonts w:ascii="Times New Roman" w:eastAsia="+mn-ea" w:hAnsi="Times New Roman" w:cs="Times New Roman"/>
          <w:color w:val="000000"/>
          <w:kern w:val="24"/>
          <w:sz w:val="24"/>
          <w:szCs w:val="24"/>
        </w:rPr>
        <w:t>В сферата на военната сигурност европейският контекст се формира основно от НАТО, за около 50 години след Втора</w:t>
      </w:r>
      <w:r w:rsidR="00331FA4" w:rsidRPr="00331FA4">
        <w:rPr>
          <w:rFonts w:ascii="Times New Roman" w:eastAsia="+mn-ea" w:hAnsi="Times New Roman" w:cs="Times New Roman"/>
          <w:color w:val="000000"/>
          <w:kern w:val="24"/>
          <w:sz w:val="24"/>
          <w:szCs w:val="24"/>
        </w:rPr>
        <w:t>та световна война, макар и в поч</w:t>
      </w:r>
      <w:r w:rsidRPr="00331FA4">
        <w:rPr>
          <w:rFonts w:ascii="Times New Roman" w:eastAsia="+mn-ea" w:hAnsi="Times New Roman" w:cs="Times New Roman"/>
          <w:color w:val="000000"/>
          <w:kern w:val="24"/>
          <w:sz w:val="24"/>
          <w:szCs w:val="24"/>
        </w:rPr>
        <w:t xml:space="preserve">ти пренебрежителен мащаб – и </w:t>
      </w:r>
      <w:r w:rsidR="00331FA4" w:rsidRPr="00331FA4">
        <w:rPr>
          <w:rFonts w:ascii="Times New Roman" w:eastAsia="+mn-ea" w:hAnsi="Times New Roman" w:cs="Times New Roman"/>
          <w:color w:val="000000"/>
          <w:kern w:val="24"/>
          <w:sz w:val="24"/>
          <w:szCs w:val="24"/>
        </w:rPr>
        <w:t xml:space="preserve">от Западноевропейския съюз. Добре известно е разширяването на НАТО – от 12 страни-учредителки, през разширяване с Гърция и Турция (1952), с Германия (1955), Испания (1982), </w:t>
      </w:r>
      <w:r w:rsidR="00331FA4" w:rsidRPr="00331FA4">
        <w:rPr>
          <w:rFonts w:ascii="Times New Roman" w:hAnsi="Times New Roman" w:cs="Times New Roman"/>
          <w:sz w:val="24"/>
          <w:szCs w:val="24"/>
        </w:rPr>
        <w:t>Полша, Чехия и Унгария</w:t>
      </w:r>
      <w:r w:rsidR="00331FA4" w:rsidRPr="00331FA4">
        <w:rPr>
          <w:rFonts w:ascii="Times New Roman" w:hAnsi="Times New Roman" w:cs="Times New Roman"/>
          <w:sz w:val="24"/>
          <w:szCs w:val="24"/>
        </w:rPr>
        <w:t xml:space="preserve"> (1999), </w:t>
      </w:r>
      <w:r w:rsidR="00331FA4" w:rsidRPr="00331FA4">
        <w:rPr>
          <w:rFonts w:ascii="Times New Roman" w:hAnsi="Times New Roman" w:cs="Times New Roman"/>
          <w:sz w:val="24"/>
          <w:szCs w:val="24"/>
        </w:rPr>
        <w:t>Литва, Латвия и Естония, България, Румъния, Словакия, Словения</w:t>
      </w:r>
      <w:r w:rsidR="00331FA4" w:rsidRPr="00331FA4">
        <w:rPr>
          <w:rFonts w:ascii="Times New Roman" w:hAnsi="Times New Roman" w:cs="Times New Roman"/>
          <w:sz w:val="24"/>
          <w:szCs w:val="24"/>
        </w:rPr>
        <w:t xml:space="preserve"> (2004), Хърватия и Албания (2009) и Черна гора (2016) – до 30 държави през 2016 г.</w:t>
      </w:r>
    </w:p>
    <w:p w:rsidR="00FB09C8" w:rsidRDefault="00331FA4" w:rsidP="00FB09C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Този кратък преглед на институционлното развитие на европейските институции показва колко многобройни, сложни и взаимно свързани са както те, така и съставящите ги държави.</w:t>
      </w:r>
      <w:r w:rsidR="001144D9">
        <w:rPr>
          <w:rFonts w:ascii="Times New Roman" w:hAnsi="Times New Roman" w:cs="Times New Roman"/>
          <w:sz w:val="24"/>
          <w:szCs w:val="24"/>
        </w:rPr>
        <w:t xml:space="preserve"> Впечатляващ е териториалният обхват, който е въпрос на </w:t>
      </w:r>
      <w:r w:rsidR="001144D9">
        <w:rPr>
          <w:rFonts w:ascii="Times New Roman" w:hAnsi="Times New Roman" w:cs="Times New Roman"/>
          <w:sz w:val="24"/>
          <w:szCs w:val="24"/>
        </w:rPr>
        <w:lastRenderedPageBreak/>
        <w:t xml:space="preserve">квадратни километри, но преди всичко част от света, в която в една или друга степен и в различен обем са спазват права и задължения, определени от европейската теория и практика. Тази теория и практика формира </w:t>
      </w:r>
      <w:r w:rsidR="001144D9" w:rsidRPr="001144D9">
        <w:rPr>
          <w:rFonts w:ascii="Times New Roman" w:eastAsia="+mj-ea" w:hAnsi="Times New Roman" w:cs="Times New Roman"/>
          <w:b/>
          <w:color w:val="000000"/>
          <w:kern w:val="24"/>
          <w:sz w:val="24"/>
          <w:szCs w:val="24"/>
        </w:rPr>
        <w:t>проблемни</w:t>
      </w:r>
      <w:r w:rsidR="001144D9">
        <w:rPr>
          <w:rFonts w:ascii="Times New Roman" w:eastAsia="+mj-ea" w:hAnsi="Times New Roman" w:cs="Times New Roman"/>
          <w:b/>
          <w:color w:val="000000"/>
          <w:kern w:val="24"/>
          <w:sz w:val="24"/>
          <w:szCs w:val="24"/>
        </w:rPr>
        <w:t>те</w:t>
      </w:r>
      <w:r w:rsidR="001144D9" w:rsidRPr="001144D9">
        <w:rPr>
          <w:rFonts w:ascii="Times New Roman" w:eastAsia="+mj-ea" w:hAnsi="Times New Roman" w:cs="Times New Roman"/>
          <w:b/>
          <w:color w:val="000000"/>
          <w:kern w:val="24"/>
          <w:sz w:val="24"/>
          <w:szCs w:val="24"/>
        </w:rPr>
        <w:t xml:space="preserve"> аспекти</w:t>
      </w:r>
      <w:r w:rsidR="001144D9">
        <w:rPr>
          <w:rFonts w:ascii="Times New Roman" w:eastAsia="+mj-ea" w:hAnsi="Times New Roman" w:cs="Times New Roman"/>
          <w:b/>
          <w:color w:val="000000"/>
          <w:kern w:val="24"/>
          <w:sz w:val="24"/>
          <w:szCs w:val="24"/>
        </w:rPr>
        <w:t xml:space="preserve"> на европейските </w:t>
      </w:r>
      <w:r w:rsidR="0030715D" w:rsidRPr="001144D9">
        <w:rPr>
          <w:rFonts w:ascii="Times New Roman" w:eastAsia="+mj-ea" w:hAnsi="Times New Roman" w:cs="Times New Roman"/>
          <w:b/>
          <w:color w:val="000000"/>
          <w:kern w:val="24"/>
          <w:sz w:val="24"/>
          <w:szCs w:val="24"/>
        </w:rPr>
        <w:t>контексти</w:t>
      </w:r>
      <w:r w:rsidR="001144D9" w:rsidRPr="001144D9">
        <w:rPr>
          <w:rFonts w:ascii="Times New Roman" w:eastAsia="+mj-ea" w:hAnsi="Times New Roman" w:cs="Times New Roman"/>
          <w:color w:val="000000"/>
          <w:kern w:val="24"/>
          <w:sz w:val="24"/>
          <w:szCs w:val="24"/>
        </w:rPr>
        <w:t>, както в тесен смисъл (ЕС и НАТО), така и в разширен, в широк смисъл (Съвет на Европа и ОССЕ)</w:t>
      </w:r>
      <w:r w:rsidR="001144D9">
        <w:rPr>
          <w:rFonts w:ascii="Times New Roman" w:eastAsia="+mj-ea" w:hAnsi="Times New Roman" w:cs="Times New Roman"/>
          <w:color w:val="000000"/>
          <w:kern w:val="24"/>
          <w:sz w:val="24"/>
          <w:szCs w:val="24"/>
        </w:rPr>
        <w:t xml:space="preserve">. </w:t>
      </w:r>
      <w:r w:rsidR="00761A74">
        <w:rPr>
          <w:rFonts w:ascii="Times New Roman" w:eastAsia="+mj-ea" w:hAnsi="Times New Roman" w:cs="Times New Roman"/>
          <w:color w:val="000000"/>
          <w:kern w:val="24"/>
          <w:sz w:val="24"/>
          <w:szCs w:val="24"/>
        </w:rPr>
        <w:t>И ако в началото на процеса на европейското единство акцентът е върху икономическите аспекти (производство на въглища и стомана, уреждането на иконимическите проблеми между страните), то от началото на ХХ</w:t>
      </w:r>
      <w:r w:rsidR="00761A74">
        <w:rPr>
          <w:rFonts w:ascii="Times New Roman" w:eastAsia="+mj-ea" w:hAnsi="Times New Roman" w:cs="Times New Roman"/>
          <w:color w:val="000000"/>
          <w:kern w:val="24"/>
          <w:sz w:val="24"/>
          <w:szCs w:val="24"/>
          <w:lang w:val="en-US"/>
        </w:rPr>
        <w:t>I</w:t>
      </w:r>
      <w:r w:rsidR="00761A74">
        <w:rPr>
          <w:rFonts w:ascii="Times New Roman" w:eastAsia="+mj-ea" w:hAnsi="Times New Roman" w:cs="Times New Roman"/>
          <w:color w:val="000000"/>
          <w:kern w:val="24"/>
          <w:sz w:val="24"/>
          <w:szCs w:val="24"/>
        </w:rPr>
        <w:t xml:space="preserve"> век все повече се говори за единна система от права и свободи, за свободно движение на хара, стоки и капитали. Анализът на проблемните, тематичните аспекти би показал в</w:t>
      </w:r>
      <w:r w:rsidR="00CE43BE">
        <w:rPr>
          <w:rFonts w:ascii="Times New Roman" w:hAnsi="Times New Roman" w:cs="Times New Roman"/>
          <w:sz w:val="24"/>
          <w:szCs w:val="24"/>
        </w:rPr>
        <w:t xml:space="preserve"> каква висока и взаимно изгодна връзка са не само държавите, но и гражданите и иономическите субекти</w:t>
      </w:r>
      <w:r w:rsidR="00761A74">
        <w:rPr>
          <w:rFonts w:ascii="Times New Roman" w:hAnsi="Times New Roman" w:cs="Times New Roman"/>
          <w:sz w:val="24"/>
          <w:szCs w:val="24"/>
        </w:rPr>
        <w:t>.</w:t>
      </w:r>
      <w:r w:rsidR="00FB09C8">
        <w:rPr>
          <w:rFonts w:ascii="Times New Roman" w:hAnsi="Times New Roman" w:cs="Times New Roman"/>
          <w:sz w:val="24"/>
          <w:szCs w:val="24"/>
        </w:rPr>
        <w:t xml:space="preserve"> Тази взаимна зависимост, която се дължи на желанието и стремежа на включените в нея държави и общества е едно от основанията да не се очаква „разпадане на ЕС“.</w:t>
      </w:r>
    </w:p>
    <w:p w:rsidR="00FB09C8" w:rsidRDefault="00FB09C8" w:rsidP="00FB09C8">
      <w:pPr>
        <w:spacing w:after="0" w:line="360" w:lineRule="auto"/>
        <w:jc w:val="both"/>
        <w:rPr>
          <w:rFonts w:ascii="Times New Roman" w:hAnsi="Times New Roman" w:cs="Times New Roman"/>
          <w:sz w:val="24"/>
          <w:szCs w:val="24"/>
        </w:rPr>
      </w:pPr>
    </w:p>
    <w:p w:rsidR="00FB09C8" w:rsidRDefault="00FB09C8" w:rsidP="00FB09C8">
      <w:pPr>
        <w:spacing w:after="0" w:line="360" w:lineRule="auto"/>
        <w:jc w:val="both"/>
        <w:rPr>
          <w:rFonts w:ascii="Times New Roman" w:hAnsi="Times New Roman" w:cs="Times New Roman"/>
          <w:sz w:val="24"/>
          <w:szCs w:val="24"/>
        </w:rPr>
      </w:pPr>
    </w:p>
    <w:p w:rsidR="0030715D" w:rsidRDefault="00726B45" w:rsidP="00FB09C8">
      <w:pPr>
        <w:spacing w:after="0" w:line="360" w:lineRule="auto"/>
        <w:jc w:val="center"/>
        <w:rPr>
          <w:rFonts w:ascii="Times New Roman" w:eastAsia="+mj-ea" w:hAnsi="Times New Roman" w:cs="Times New Roman"/>
          <w:b/>
          <w:color w:val="000000"/>
          <w:kern w:val="24"/>
          <w:sz w:val="24"/>
          <w:szCs w:val="24"/>
        </w:rPr>
      </w:pPr>
      <w:r>
        <w:rPr>
          <w:rFonts w:ascii="Times New Roman" w:eastAsia="+mj-ea" w:hAnsi="Times New Roman" w:cs="Times New Roman"/>
          <w:b/>
          <w:color w:val="000000"/>
          <w:kern w:val="24"/>
          <w:sz w:val="24"/>
          <w:szCs w:val="24"/>
        </w:rPr>
        <w:t>Основни п</w:t>
      </w:r>
      <w:r w:rsidR="0030715D" w:rsidRPr="00FB09C8">
        <w:rPr>
          <w:rFonts w:ascii="Times New Roman" w:eastAsia="+mj-ea" w:hAnsi="Times New Roman" w:cs="Times New Roman"/>
          <w:b/>
          <w:color w:val="000000"/>
          <w:kern w:val="24"/>
          <w:sz w:val="24"/>
          <w:szCs w:val="24"/>
        </w:rPr>
        <w:t xml:space="preserve">роблеми </w:t>
      </w:r>
      <w:r>
        <w:rPr>
          <w:rFonts w:ascii="Times New Roman" w:eastAsia="+mj-ea" w:hAnsi="Times New Roman" w:cs="Times New Roman"/>
          <w:b/>
          <w:color w:val="000000"/>
          <w:kern w:val="24"/>
          <w:sz w:val="24"/>
          <w:szCs w:val="24"/>
        </w:rPr>
        <w:t xml:space="preserve">пред Европейския съюз – </w:t>
      </w:r>
      <w:r w:rsidR="0030715D" w:rsidRPr="00FB09C8">
        <w:rPr>
          <w:rFonts w:ascii="Times New Roman" w:eastAsia="+mj-ea" w:hAnsi="Times New Roman" w:cs="Times New Roman"/>
          <w:b/>
          <w:color w:val="000000"/>
          <w:kern w:val="24"/>
          <w:sz w:val="24"/>
          <w:szCs w:val="24"/>
        </w:rPr>
        <w:t>сигурността</w:t>
      </w:r>
      <w:r>
        <w:rPr>
          <w:rFonts w:ascii="Times New Roman" w:eastAsia="+mj-ea" w:hAnsi="Times New Roman" w:cs="Times New Roman"/>
          <w:b/>
          <w:color w:val="000000"/>
          <w:kern w:val="24"/>
          <w:sz w:val="24"/>
          <w:szCs w:val="24"/>
        </w:rPr>
        <w:t xml:space="preserve"> и доброто управление</w:t>
      </w:r>
    </w:p>
    <w:p w:rsidR="00087C54" w:rsidRDefault="00087C54" w:rsidP="00087C54">
      <w:pPr>
        <w:spacing w:after="0" w:line="360" w:lineRule="auto"/>
        <w:jc w:val="both"/>
        <w:rPr>
          <w:rFonts w:ascii="Times New Roman" w:eastAsia="+mj-ea" w:hAnsi="Times New Roman" w:cs="Times New Roman"/>
          <w:color w:val="000000"/>
          <w:kern w:val="24"/>
          <w:sz w:val="24"/>
          <w:szCs w:val="24"/>
        </w:rPr>
      </w:pPr>
      <w:r>
        <w:rPr>
          <w:rFonts w:ascii="Times New Roman" w:eastAsia="+mj-ea" w:hAnsi="Times New Roman" w:cs="Times New Roman"/>
          <w:b/>
          <w:color w:val="000000"/>
          <w:kern w:val="24"/>
          <w:sz w:val="24"/>
          <w:szCs w:val="24"/>
        </w:rPr>
        <w:tab/>
      </w:r>
      <w:r w:rsidRPr="00087C54">
        <w:rPr>
          <w:rFonts w:ascii="Times New Roman" w:eastAsia="+mj-ea" w:hAnsi="Times New Roman" w:cs="Times New Roman"/>
          <w:color w:val="000000"/>
          <w:kern w:val="24"/>
          <w:sz w:val="24"/>
          <w:szCs w:val="24"/>
        </w:rPr>
        <w:t>Е</w:t>
      </w:r>
      <w:r>
        <w:rPr>
          <w:rFonts w:ascii="Times New Roman" w:eastAsia="+mj-ea" w:hAnsi="Times New Roman" w:cs="Times New Roman"/>
          <w:color w:val="000000"/>
          <w:kern w:val="24"/>
          <w:sz w:val="24"/>
          <w:szCs w:val="24"/>
        </w:rPr>
        <w:t>вропейският съюз, включително и неговите предшественици, се съсредоточават и сякаш имат за единствена цел решаването на икономическо-сооиално-хуманитарните проблеми и създаване на условия за благоденствие на гражданите на държавите членки, които вече са и граждани на самия ЕС. Въпросите на сигурността, а в още по-голяма степен въпросите на отбрланата, дълго време бяха оставени на НАТО и, доколкото бе възможно – на Западдноевропейския съюз. След 2001 г. и особено след атентатите в Мадрид (2004) и Лондон (2005) темата за сигурността навлезе и в дневния ред на европейските институции, като отбраната продължи да бъде от компетентност на Организацията на Северноатлантическия договор. Причина за това бе фактическата липса на основания за включване на темата за отбраната в дневния ред и в планирането на способности от страна на ЕС.</w:t>
      </w:r>
    </w:p>
    <w:p w:rsidR="009D736A" w:rsidRDefault="00087C54" w:rsidP="00087C54">
      <w:pPr>
        <w:spacing w:after="0" w:line="360" w:lineRule="auto"/>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ab/>
        <w:t xml:space="preserve">В същото време безпроблемното и ускорено разширяване на ЕС, увеличаването на възможностите за инвестиции в новите страни членки и необходимостта от разработване и прилагане на оперативни програми с цел повишаване на нивото на икономическо развитие и преодоляване на зратичните разлики между старите и новите страни членки, разко повиши ролята на административните структури на ЕС и то до степен те да започнат да преобладават над </w:t>
      </w:r>
      <w:r w:rsidR="009D736A">
        <w:rPr>
          <w:rFonts w:ascii="Times New Roman" w:eastAsia="+mj-ea" w:hAnsi="Times New Roman" w:cs="Times New Roman"/>
          <w:color w:val="000000"/>
          <w:kern w:val="24"/>
          <w:sz w:val="24"/>
          <w:szCs w:val="24"/>
        </w:rPr>
        <w:t xml:space="preserve">дискусиите за политическите измерения на развитието на ЕС и държавите членки. Ако можем да използваме заглавието на една </w:t>
      </w:r>
      <w:r w:rsidR="009D736A">
        <w:rPr>
          <w:rFonts w:ascii="Times New Roman" w:eastAsia="+mj-ea" w:hAnsi="Times New Roman" w:cs="Times New Roman"/>
          <w:color w:val="000000"/>
          <w:kern w:val="24"/>
          <w:sz w:val="24"/>
          <w:szCs w:val="24"/>
        </w:rPr>
        <w:lastRenderedPageBreak/>
        <w:t>нашумяла в края на 80-те години книга на Франсис Фукояма, който пишеше за „Края на идеологиите“, то през първото десетилетие на ХХ</w:t>
      </w:r>
      <w:r w:rsidR="009D736A">
        <w:rPr>
          <w:rFonts w:ascii="Times New Roman" w:eastAsia="+mj-ea" w:hAnsi="Times New Roman" w:cs="Times New Roman"/>
          <w:color w:val="000000"/>
          <w:kern w:val="24"/>
          <w:sz w:val="24"/>
          <w:szCs w:val="24"/>
          <w:lang w:val="en-US"/>
        </w:rPr>
        <w:t>I</w:t>
      </w:r>
      <w:r w:rsidR="009D736A">
        <w:rPr>
          <w:rFonts w:ascii="Times New Roman" w:eastAsia="+mj-ea" w:hAnsi="Times New Roman" w:cs="Times New Roman"/>
          <w:color w:val="000000"/>
          <w:kern w:val="24"/>
          <w:sz w:val="24"/>
          <w:szCs w:val="24"/>
        </w:rPr>
        <w:t xml:space="preserve"> век сякаш негласно настъпи“край на политическото“. Дори по такъв политически, т.е. ксаещ важни обществени отношения въпрос като интеграцията на уязвими малцинства, административните дейности по реализиране на политически по своя характер стратегически документи, надделяха над политическто, т.е. на целесъобразността от гледна точка не на текущото усвояване на средства, а от гледна точка на развитието на обществото/обществата в дългосрочен план.</w:t>
      </w:r>
    </w:p>
    <w:p w:rsidR="00F25D6E" w:rsidRDefault="009D736A" w:rsidP="00F25D6E">
      <w:pPr>
        <w:spacing w:after="0" w:line="360" w:lineRule="auto"/>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ab/>
        <w:t>Липсата на необходимата чувствителност по отношение на поблемите на сигурността и фактическото подценяване на политическите аспекти в полза на административните са възможната пречена ЕС да се окаже недостатъчно подготвен както за новата остра криза в постсъветското пространство (Крим и Източна Украйна), така и за рязкото нарастване на изолационистките настроения в държавите членки.</w:t>
      </w:r>
      <w:r w:rsidR="003A00CA">
        <w:rPr>
          <w:rFonts w:ascii="Times New Roman" w:eastAsia="+mj-ea" w:hAnsi="Times New Roman" w:cs="Times New Roman"/>
          <w:color w:val="000000"/>
          <w:kern w:val="24"/>
          <w:sz w:val="24"/>
          <w:szCs w:val="24"/>
        </w:rPr>
        <w:t xml:space="preserve"> ЕС определено се оказа недостатъчно подгтотвен и за бежанския и миграционните потоци през 2014-2015 г. Декларациите и добрите пожелания на най-високо ниво в ЕС, както и административните </w:t>
      </w:r>
      <w:r>
        <w:rPr>
          <w:rFonts w:ascii="Times New Roman" w:eastAsia="+mj-ea" w:hAnsi="Times New Roman" w:cs="Times New Roman"/>
          <w:color w:val="000000"/>
          <w:kern w:val="24"/>
          <w:sz w:val="24"/>
          <w:szCs w:val="24"/>
        </w:rPr>
        <w:t xml:space="preserve"> </w:t>
      </w:r>
      <w:r w:rsidR="003A00CA">
        <w:rPr>
          <w:rFonts w:ascii="Times New Roman" w:eastAsia="+mj-ea" w:hAnsi="Times New Roman" w:cs="Times New Roman"/>
          <w:color w:val="000000"/>
          <w:kern w:val="24"/>
          <w:sz w:val="24"/>
          <w:szCs w:val="24"/>
        </w:rPr>
        <w:t>по своя характер предложения за справяне с кризата чрез заделяне на повече финансови средства и механично разместване на сравнително големи групи хора не дадоха очаквания</w:t>
      </w:r>
      <w:r w:rsidR="003A00CA">
        <w:rPr>
          <w:rFonts w:ascii="Times New Roman" w:eastAsia="+mj-ea" w:hAnsi="Times New Roman" w:cs="Times New Roman"/>
          <w:color w:val="000000"/>
          <w:kern w:val="24"/>
          <w:sz w:val="24"/>
          <w:szCs w:val="24"/>
        </w:rPr>
        <w:t xml:space="preserve"> </w:t>
      </w:r>
      <w:r w:rsidR="003A00CA">
        <w:rPr>
          <w:rFonts w:ascii="Times New Roman" w:eastAsia="+mj-ea" w:hAnsi="Times New Roman" w:cs="Times New Roman"/>
          <w:color w:val="000000"/>
          <w:kern w:val="24"/>
          <w:sz w:val="24"/>
          <w:szCs w:val="24"/>
        </w:rPr>
        <w:t>резултат. Вместо стратегически решения за общи действия взети на „ниво Брюксел“, политическите решения се вземаха на национално равнище често при липса на съгласие и дори при наличие на съществени разногласия.</w:t>
      </w:r>
      <w:r w:rsidR="00F25D6E">
        <w:rPr>
          <w:rFonts w:ascii="Times New Roman" w:eastAsia="+mj-ea" w:hAnsi="Times New Roman" w:cs="Times New Roman"/>
          <w:color w:val="000000"/>
          <w:kern w:val="24"/>
          <w:sz w:val="24"/>
          <w:szCs w:val="24"/>
        </w:rPr>
        <w:t xml:space="preserve"> При това страните на предната линия, в зоната на пряк досег с проблема, каквато е и България се оказаха недостатъчно подкрепени в един решителен момент. Ясното поставяне по време на форумите на Съвета на Европейския съюз и то по политически начен на проблемите и възможните решения саздаде условия за съществена промяна и в мерките, прилагани на съйзно равнище. Така стана възможно рязкото нарастване на усилията за защита на външните граници на ЕС, привличане на сили и средства на ФРОНТЕКС, провеждането на военноморска операция на НАТО по общата граница на Гърция и Турция.</w:t>
      </w:r>
    </w:p>
    <w:p w:rsidR="00F25D6E" w:rsidRDefault="00F25D6E" w:rsidP="00F25D6E">
      <w:pPr>
        <w:spacing w:after="0" w:line="360" w:lineRule="auto"/>
        <w:jc w:val="both"/>
        <w:rPr>
          <w:rFonts w:ascii="Times New Roman" w:eastAsia="+mj-ea" w:hAnsi="Times New Roman" w:cs="Times New Roman"/>
          <w:color w:val="000000"/>
          <w:kern w:val="24"/>
          <w:sz w:val="24"/>
          <w:szCs w:val="24"/>
        </w:rPr>
      </w:pPr>
      <w:r>
        <w:rPr>
          <w:rFonts w:ascii="Times New Roman" w:eastAsia="+mj-ea" w:hAnsi="Times New Roman" w:cs="Times New Roman"/>
          <w:color w:val="000000"/>
          <w:kern w:val="24"/>
          <w:sz w:val="24"/>
          <w:szCs w:val="24"/>
        </w:rPr>
        <w:tab/>
        <w:t xml:space="preserve">Следващто, което ЕС трябва да направи и то не търпи отлагане след референдума в Обединеното кралство, е да преодолее дисбаланса между политическото и административното, да върне доверието на гражданите в уникалния проект, какъвто представлява европейското обединение. Кризата, в която немалко хора и дори експерти виждат началото на разпада всъщност може да се окаже източник на нови и със стратегическа перспектива решения. Тези решения обаче са политически, те трябва за имат своите макро измерения, те трябва да са философски, социологически, </w:t>
      </w:r>
      <w:r>
        <w:rPr>
          <w:rFonts w:ascii="Times New Roman" w:eastAsia="+mj-ea" w:hAnsi="Times New Roman" w:cs="Times New Roman"/>
          <w:color w:val="000000"/>
          <w:kern w:val="24"/>
          <w:sz w:val="24"/>
          <w:szCs w:val="24"/>
        </w:rPr>
        <w:lastRenderedPageBreak/>
        <w:t>икономически, хуманитарни, технологични и технически и да се стремят къч създаването на нови условия за дейност на хората, а не да се стремят к</w:t>
      </w:r>
      <w:r w:rsidR="006D48EE">
        <w:rPr>
          <w:rFonts w:ascii="Times New Roman" w:eastAsia="+mj-ea" w:hAnsi="Times New Roman" w:cs="Times New Roman"/>
          <w:color w:val="000000"/>
          <w:kern w:val="24"/>
          <w:sz w:val="24"/>
          <w:szCs w:val="24"/>
        </w:rPr>
        <w:t>ъ</w:t>
      </w:r>
      <w:r>
        <w:rPr>
          <w:rFonts w:ascii="Times New Roman" w:eastAsia="+mj-ea" w:hAnsi="Times New Roman" w:cs="Times New Roman"/>
          <w:color w:val="000000"/>
          <w:kern w:val="24"/>
          <w:sz w:val="24"/>
          <w:szCs w:val="24"/>
        </w:rPr>
        <w:t>м временно закрепване на положението, което по стар навик да бъде представено за стратегически успех.</w:t>
      </w:r>
    </w:p>
    <w:p w:rsidR="006D48EE" w:rsidRPr="0030715D" w:rsidRDefault="006D48EE" w:rsidP="00F25D6E">
      <w:pPr>
        <w:spacing w:after="0" w:line="360" w:lineRule="auto"/>
        <w:jc w:val="both"/>
        <w:rPr>
          <w:rFonts w:ascii="Times New Roman" w:eastAsia="Times New Roman" w:hAnsi="Times New Roman" w:cs="Times New Roman"/>
          <w:sz w:val="24"/>
          <w:szCs w:val="24"/>
          <w:lang w:eastAsia="bg-BG"/>
        </w:rPr>
      </w:pPr>
      <w:r>
        <w:rPr>
          <w:rFonts w:ascii="Times New Roman" w:eastAsia="+mj-ea" w:hAnsi="Times New Roman" w:cs="Times New Roman"/>
          <w:color w:val="000000"/>
          <w:kern w:val="24"/>
          <w:sz w:val="24"/>
          <w:szCs w:val="24"/>
        </w:rPr>
        <w:tab/>
        <w:t xml:space="preserve">Съществено изискване на днешната реалност е политиката за сигурност да отчита както невоенните, така и военните аспекти на опасностите и заплахите. </w:t>
      </w:r>
      <w:r w:rsidR="00581A52">
        <w:rPr>
          <w:rFonts w:ascii="Times New Roman" w:eastAsia="+mj-ea" w:hAnsi="Times New Roman" w:cs="Times New Roman"/>
          <w:color w:val="000000"/>
          <w:kern w:val="24"/>
          <w:sz w:val="24"/>
          <w:szCs w:val="24"/>
        </w:rPr>
        <w:t>Необходимо е ЕС да вземе решение за своята роля в сферата на сигурността и отбраната, както и за това дали не е по-ефективно тези проблеми да останат от компетентност на НАТО предвид изградените и отработени в тази организация норми, правила и процедури. Това е означава ЕС да абдикира от всякаква активност по тези проблеми. Съюзът би мъгал да е много по-ефективен в сферата на дипломацията. Въпросът е за обективно възможната, а не за желаната сфера на дейност и интензивност с цел преодоляване критичното съвпадение на вътрешните трудности в ЕС с външните опасноти, породени от кризи в постсъве</w:t>
      </w:r>
      <w:bookmarkStart w:id="0" w:name="_GoBack"/>
      <w:bookmarkEnd w:id="0"/>
      <w:r w:rsidR="00581A52">
        <w:rPr>
          <w:rFonts w:ascii="Times New Roman" w:eastAsia="+mj-ea" w:hAnsi="Times New Roman" w:cs="Times New Roman"/>
          <w:color w:val="000000"/>
          <w:kern w:val="24"/>
          <w:sz w:val="24"/>
          <w:szCs w:val="24"/>
        </w:rPr>
        <w:t>тското пространство, Африка, Близкия и Средния изток.</w:t>
      </w:r>
    </w:p>
    <w:p w:rsidR="0030715D" w:rsidRPr="0030715D" w:rsidRDefault="006D48EE" w:rsidP="006D48EE">
      <w:pPr>
        <w:spacing w:after="0" w:line="240" w:lineRule="auto"/>
        <w:contextualSpacing/>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eastAsia="bg-BG"/>
        </w:rPr>
        <w:tab/>
      </w:r>
    </w:p>
    <w:p w:rsidR="0030715D" w:rsidRPr="0030715D" w:rsidRDefault="0030715D" w:rsidP="0030715D">
      <w:pPr>
        <w:jc w:val="center"/>
        <w:rPr>
          <w:rFonts w:ascii="Times New Roman" w:eastAsia="+mj-ea" w:hAnsi="Times New Roman" w:cs="Times New Roman"/>
          <w:color w:val="000000"/>
          <w:kern w:val="24"/>
          <w:sz w:val="24"/>
          <w:szCs w:val="24"/>
        </w:rPr>
      </w:pPr>
    </w:p>
    <w:p w:rsidR="0030715D" w:rsidRPr="0030715D" w:rsidRDefault="0030715D" w:rsidP="0030715D">
      <w:pPr>
        <w:jc w:val="center"/>
        <w:rPr>
          <w:rFonts w:ascii="Times New Roman" w:eastAsia="+mj-ea" w:hAnsi="Times New Roman" w:cs="Times New Roman"/>
          <w:color w:val="000000"/>
          <w:kern w:val="24"/>
          <w:sz w:val="24"/>
          <w:szCs w:val="24"/>
        </w:rPr>
      </w:pPr>
      <w:r w:rsidRPr="0030715D">
        <w:rPr>
          <w:rFonts w:ascii="Times New Roman" w:eastAsia="+mj-ea" w:hAnsi="Times New Roman" w:cs="Times New Roman"/>
          <w:color w:val="000000"/>
          <w:kern w:val="24"/>
          <w:sz w:val="24"/>
          <w:szCs w:val="24"/>
        </w:rPr>
        <w:t>Военните аспекти и решения</w:t>
      </w:r>
    </w:p>
    <w:p w:rsidR="0030715D" w:rsidRPr="0030715D" w:rsidRDefault="0030715D" w:rsidP="0030715D">
      <w:pPr>
        <w:jc w:val="center"/>
        <w:rPr>
          <w:rFonts w:ascii="Times New Roman" w:eastAsia="+mj-ea" w:hAnsi="Times New Roman" w:cs="Times New Roman"/>
          <w:color w:val="000000"/>
          <w:kern w:val="24"/>
          <w:sz w:val="24"/>
          <w:szCs w:val="24"/>
        </w:rPr>
      </w:pPr>
    </w:p>
    <w:p w:rsidR="0030715D" w:rsidRPr="0030715D" w:rsidRDefault="0030715D" w:rsidP="0030715D">
      <w:pPr>
        <w:jc w:val="center"/>
        <w:rPr>
          <w:rFonts w:ascii="Times New Roman" w:eastAsia="+mj-ea" w:hAnsi="Times New Roman" w:cs="Times New Roman"/>
          <w:color w:val="000000"/>
          <w:kern w:val="24"/>
          <w:sz w:val="24"/>
          <w:szCs w:val="24"/>
        </w:rPr>
      </w:pPr>
      <w:r w:rsidRPr="0030715D">
        <w:rPr>
          <w:rFonts w:ascii="Times New Roman" w:eastAsia="+mj-ea" w:hAnsi="Times New Roman" w:cs="Times New Roman"/>
          <w:color w:val="000000"/>
          <w:kern w:val="24"/>
          <w:sz w:val="24"/>
          <w:szCs w:val="24"/>
        </w:rPr>
        <w:t>Невоенните аспекти и решения</w:t>
      </w:r>
    </w:p>
    <w:p w:rsidR="0030715D" w:rsidRPr="0030715D" w:rsidRDefault="0030715D" w:rsidP="0030715D">
      <w:pPr>
        <w:jc w:val="center"/>
        <w:rPr>
          <w:rFonts w:ascii="Times New Roman" w:eastAsia="+mj-ea" w:hAnsi="Times New Roman" w:cs="Times New Roman"/>
          <w:color w:val="000000"/>
          <w:kern w:val="24"/>
          <w:sz w:val="24"/>
          <w:szCs w:val="24"/>
        </w:rPr>
      </w:pPr>
    </w:p>
    <w:p w:rsidR="0030715D" w:rsidRPr="0030715D" w:rsidRDefault="0030715D" w:rsidP="0030715D">
      <w:pPr>
        <w:jc w:val="center"/>
        <w:rPr>
          <w:rFonts w:ascii="Times New Roman" w:eastAsia="+mj-ea" w:hAnsi="Times New Roman" w:cs="Times New Roman"/>
          <w:color w:val="000000"/>
          <w:kern w:val="24"/>
          <w:sz w:val="24"/>
          <w:szCs w:val="24"/>
        </w:rPr>
      </w:pPr>
      <w:r w:rsidRPr="0030715D">
        <w:rPr>
          <w:rFonts w:ascii="Times New Roman" w:eastAsia="+mj-ea" w:hAnsi="Times New Roman" w:cs="Times New Roman"/>
          <w:color w:val="000000"/>
          <w:kern w:val="24"/>
          <w:sz w:val="24"/>
          <w:szCs w:val="24"/>
        </w:rPr>
        <w:t>Субектност на ЕС в сигурността</w:t>
      </w:r>
    </w:p>
    <w:p w:rsidR="0030715D" w:rsidRPr="0030715D" w:rsidRDefault="0030715D" w:rsidP="0030715D">
      <w:pPr>
        <w:jc w:val="center"/>
        <w:rPr>
          <w:rFonts w:ascii="Times New Roman" w:eastAsia="+mj-ea" w:hAnsi="Times New Roman" w:cs="Times New Roman"/>
          <w:color w:val="000000"/>
          <w:kern w:val="24"/>
          <w:sz w:val="24"/>
          <w:szCs w:val="24"/>
        </w:rPr>
      </w:pPr>
    </w:p>
    <w:p w:rsidR="0030715D" w:rsidRPr="0030715D" w:rsidRDefault="0030715D" w:rsidP="0030715D">
      <w:pPr>
        <w:jc w:val="center"/>
        <w:rPr>
          <w:rFonts w:ascii="Times New Roman" w:eastAsia="+mj-ea" w:hAnsi="Times New Roman" w:cs="Times New Roman"/>
          <w:color w:val="000000"/>
          <w:kern w:val="24"/>
          <w:sz w:val="24"/>
          <w:szCs w:val="24"/>
        </w:rPr>
      </w:pPr>
      <w:r w:rsidRPr="0030715D">
        <w:rPr>
          <w:rFonts w:ascii="Times New Roman" w:eastAsia="+mj-ea" w:hAnsi="Times New Roman" w:cs="Times New Roman"/>
          <w:color w:val="000000"/>
          <w:kern w:val="24"/>
          <w:sz w:val="24"/>
          <w:szCs w:val="24"/>
        </w:rPr>
        <w:t>Институции за сигурност и отбрана</w:t>
      </w:r>
    </w:p>
    <w:p w:rsidR="0030715D" w:rsidRPr="0030715D" w:rsidRDefault="0030715D" w:rsidP="0030715D">
      <w:pPr>
        <w:jc w:val="center"/>
        <w:rPr>
          <w:rFonts w:ascii="Times New Roman" w:eastAsia="+mj-ea" w:hAnsi="Times New Roman" w:cs="Times New Roman"/>
          <w:b/>
          <w:color w:val="000000"/>
          <w:kern w:val="24"/>
          <w:sz w:val="24"/>
          <w:szCs w:val="24"/>
        </w:rPr>
      </w:pPr>
    </w:p>
    <w:p w:rsidR="0030715D" w:rsidRPr="0030715D" w:rsidRDefault="0030715D" w:rsidP="0030715D">
      <w:pPr>
        <w:jc w:val="center"/>
        <w:rPr>
          <w:rFonts w:ascii="Times New Roman" w:hAnsi="Times New Roman" w:cs="Times New Roman"/>
          <w:b/>
          <w:sz w:val="28"/>
          <w:szCs w:val="28"/>
        </w:rPr>
      </w:pPr>
    </w:p>
    <w:sectPr w:rsidR="0030715D" w:rsidRPr="003071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ADC" w:rsidRDefault="003F4ADC" w:rsidP="00A9535A">
      <w:pPr>
        <w:spacing w:after="0" w:line="240" w:lineRule="auto"/>
      </w:pPr>
      <w:r>
        <w:separator/>
      </w:r>
    </w:p>
  </w:endnote>
  <w:endnote w:type="continuationSeparator" w:id="0">
    <w:p w:rsidR="003F4ADC" w:rsidRDefault="003F4ADC" w:rsidP="00A9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j-ea">
    <w:panose1 w:val="00000000000000000000"/>
    <w:charset w:val="00"/>
    <w:family w:val="roman"/>
    <w:notTrueType/>
    <w:pitch w:val="default"/>
  </w:font>
  <w:font w:name="+mn-e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ADC" w:rsidRDefault="003F4ADC" w:rsidP="00A9535A">
      <w:pPr>
        <w:spacing w:after="0" w:line="240" w:lineRule="auto"/>
      </w:pPr>
      <w:r>
        <w:separator/>
      </w:r>
    </w:p>
  </w:footnote>
  <w:footnote w:type="continuationSeparator" w:id="0">
    <w:p w:rsidR="003F4ADC" w:rsidRDefault="003F4ADC" w:rsidP="00A9535A">
      <w:pPr>
        <w:spacing w:after="0" w:line="240" w:lineRule="auto"/>
      </w:pPr>
      <w:r>
        <w:continuationSeparator/>
      </w:r>
    </w:p>
  </w:footnote>
  <w:footnote w:id="1">
    <w:p w:rsidR="0082306C" w:rsidRPr="0082306C" w:rsidRDefault="0082306C" w:rsidP="0082306C">
      <w:pPr>
        <w:pStyle w:val="FootnoteText"/>
        <w:jc w:val="both"/>
        <w:rPr>
          <w:rFonts w:ascii="Times New Roman" w:hAnsi="Times New Roman" w:cs="Times New Roman"/>
        </w:rPr>
      </w:pPr>
      <w:r w:rsidRPr="0082306C">
        <w:rPr>
          <w:rStyle w:val="FootnoteReference"/>
          <w:rFonts w:ascii="Times New Roman" w:hAnsi="Times New Roman" w:cs="Times New Roman"/>
        </w:rPr>
        <w:footnoteRef/>
      </w:r>
      <w:r w:rsidRPr="0082306C">
        <w:rPr>
          <w:rFonts w:ascii="Times New Roman" w:hAnsi="Times New Roman" w:cs="Times New Roman"/>
        </w:rPr>
        <w:t xml:space="preserve"> </w:t>
      </w:r>
      <w:r>
        <w:rPr>
          <w:rFonts w:ascii="Times New Roman" w:hAnsi="Times New Roman" w:cs="Times New Roman"/>
        </w:rPr>
        <w:t>Докладът изразява лични позиции и не ангажира институциите, в които авторът работи.</w:t>
      </w:r>
    </w:p>
  </w:footnote>
  <w:footnote w:id="2">
    <w:p w:rsidR="003F4ADC" w:rsidRDefault="003F4ADC" w:rsidP="00A9535A">
      <w:pPr>
        <w:pStyle w:val="FootnoteText"/>
        <w:jc w:val="both"/>
      </w:pPr>
      <w:r>
        <w:rPr>
          <w:rStyle w:val="FootnoteReference"/>
        </w:rPr>
        <w:footnoteRef/>
      </w:r>
      <w:r>
        <w:t xml:space="preserve"> </w:t>
      </w:r>
      <w:r w:rsidRPr="00A9535A">
        <w:rPr>
          <w:rFonts w:ascii="Times New Roman" w:hAnsi="Times New Roman" w:cs="Times New Roman"/>
        </w:rPr>
        <w:t>На 8 декември 1991 г. президентите на Росийската съветска федеративна социалистическа република, Украинската съветска република и Белоруската съветска република обявяват в своя декларация, че СССР не практически не съществува. На 26 декември същата година Върховният савет на СССР с декларация признава, че Съветсксият соъюз е престанал да съществува катъ държава и субект на международното право.</w:t>
      </w:r>
    </w:p>
  </w:footnote>
  <w:footnote w:id="3">
    <w:p w:rsidR="003F4ADC" w:rsidRPr="00061E13" w:rsidRDefault="003F4ADC" w:rsidP="00061E13">
      <w:pPr>
        <w:pStyle w:val="FootnoteText"/>
        <w:jc w:val="both"/>
        <w:rPr>
          <w:rFonts w:ascii="Times New Roman" w:hAnsi="Times New Roman" w:cs="Times New Roman"/>
        </w:rPr>
      </w:pPr>
      <w:r>
        <w:rPr>
          <w:rStyle w:val="FootnoteReference"/>
        </w:rPr>
        <w:footnoteRef/>
      </w:r>
      <w:r>
        <w:t xml:space="preserve"> </w:t>
      </w:r>
      <w:hyperlink r:id="rId1" w:history="1">
        <w:r w:rsidRPr="00430839">
          <w:rPr>
            <w:rStyle w:val="Hyperlink"/>
          </w:rPr>
          <w:t>http://europa.eu/about-eu/basic-information/symbols/europe-day/schuman-declaration/index_bg.htm</w:t>
        </w:r>
      </w:hyperlink>
    </w:p>
    <w:p w:rsidR="003F4ADC" w:rsidRPr="00061E13" w:rsidRDefault="003F4ADC" w:rsidP="00061E13">
      <w:pPr>
        <w:pStyle w:val="FootnoteText"/>
        <w:jc w:val="both"/>
        <w:rPr>
          <w:rFonts w:ascii="Times New Roman" w:hAnsi="Times New Roman" w:cs="Times New Roman"/>
        </w:rPr>
      </w:pPr>
    </w:p>
  </w:footnote>
  <w:footnote w:id="4">
    <w:p w:rsidR="003F4ADC" w:rsidRDefault="003F4ADC" w:rsidP="00061E13">
      <w:pPr>
        <w:pStyle w:val="FootnoteText"/>
        <w:jc w:val="both"/>
      </w:pPr>
      <w:r w:rsidRPr="00061E13">
        <w:rPr>
          <w:rStyle w:val="FootnoteReference"/>
          <w:rFonts w:ascii="Times New Roman" w:hAnsi="Times New Roman" w:cs="Times New Roman"/>
        </w:rPr>
        <w:footnoteRef/>
      </w:r>
      <w:r w:rsidRPr="00061E13">
        <w:rPr>
          <w:rFonts w:ascii="Times New Roman" w:hAnsi="Times New Roman" w:cs="Times New Roman"/>
        </w:rPr>
        <w:t xml:space="preserve"> </w:t>
      </w:r>
      <w:r w:rsidRPr="00061E13">
        <w:rPr>
          <w:rFonts w:ascii="Times New Roman" w:hAnsi="Times New Roman" w:cs="Times New Roman"/>
        </w:rPr>
        <w:t>Страни основателки са Белгия, Франция, Западна Германия, Италия, Люксембург и Нидерландия.</w:t>
      </w:r>
    </w:p>
  </w:footnote>
  <w:footnote w:id="5">
    <w:p w:rsidR="00C062E6" w:rsidRDefault="00C062E6" w:rsidP="00C062E6">
      <w:pPr>
        <w:pStyle w:val="FootnoteText"/>
        <w:jc w:val="both"/>
      </w:pPr>
      <w:r>
        <w:rPr>
          <w:rStyle w:val="FootnoteReference"/>
        </w:rPr>
        <w:footnoteRef/>
      </w:r>
      <w:r>
        <w:t xml:space="preserve"> </w:t>
      </w:r>
      <w:r>
        <w:rPr>
          <w:rFonts w:ascii="Times New Roman" w:hAnsi="Times New Roman" w:cs="Times New Roman"/>
        </w:rPr>
        <w:t>Институционализирана форма на сътрудничество, която включва</w:t>
      </w:r>
      <w:r w:rsidRPr="00C062E6">
        <w:rPr>
          <w:rFonts w:ascii="Times New Roman" w:hAnsi="Times New Roman" w:cs="Times New Roman"/>
        </w:rPr>
        <w:t xml:space="preserve"> 43 държави: 27 страни членки на</w:t>
      </w:r>
      <w:r w:rsidRPr="00C062E6">
        <w:rPr>
          <w:rFonts w:ascii="Times New Roman" w:hAnsi="Times New Roman" w:cs="Times New Roman"/>
        </w:rPr>
        <w:t xml:space="preserve"> ЕС </w:t>
      </w:r>
      <w:r w:rsidRPr="00C062E6">
        <w:rPr>
          <w:rFonts w:ascii="Times New Roman" w:hAnsi="Times New Roman" w:cs="Times New Roman"/>
        </w:rPr>
        <w:t xml:space="preserve">и 16 средиземноморски страни от Северна Африка, Близкия изток и </w:t>
      </w:r>
      <w:r>
        <w:rPr>
          <w:rFonts w:ascii="Times New Roman" w:hAnsi="Times New Roman" w:cs="Times New Roman"/>
        </w:rPr>
        <w:t>Балканския полуостров</w:t>
      </w:r>
      <w:r w:rsidRPr="00C062E6">
        <w:rPr>
          <w:rFonts w:ascii="Times New Roman" w:hAnsi="Times New Roman" w:cs="Times New Roman"/>
        </w:rPr>
        <w:t xml:space="preserve">. </w:t>
      </w:r>
      <w:r w:rsidRPr="00C062E6">
        <w:rPr>
          <w:rFonts w:ascii="Times New Roman" w:hAnsi="Times New Roman" w:cs="Times New Roman"/>
        </w:rPr>
        <w:t>С</w:t>
      </w:r>
      <w:r w:rsidRPr="00C062E6">
        <w:rPr>
          <w:rFonts w:ascii="Times New Roman" w:hAnsi="Times New Roman" w:cs="Times New Roman"/>
        </w:rPr>
        <w:t xml:space="preserve">ъздаден </w:t>
      </w:r>
      <w:r w:rsidRPr="00C062E6">
        <w:rPr>
          <w:rFonts w:ascii="Times New Roman" w:hAnsi="Times New Roman" w:cs="Times New Roman"/>
        </w:rPr>
        <w:t xml:space="preserve">е </w:t>
      </w:r>
      <w:r w:rsidRPr="00C062E6">
        <w:rPr>
          <w:rFonts w:ascii="Times New Roman" w:hAnsi="Times New Roman" w:cs="Times New Roman"/>
        </w:rPr>
        <w:t xml:space="preserve">през юли 2008 година като продължение на Барселонския процес от 1995 година. </w:t>
      </w:r>
      <w:r>
        <w:rPr>
          <w:rFonts w:ascii="Times New Roman" w:hAnsi="Times New Roman" w:cs="Times New Roman"/>
        </w:rPr>
        <w:t xml:space="preserve">Поставя си </w:t>
      </w:r>
      <w:r w:rsidRPr="00C062E6">
        <w:rPr>
          <w:rFonts w:ascii="Times New Roman" w:hAnsi="Times New Roman" w:cs="Times New Roman"/>
        </w:rPr>
        <w:t>за цел</w:t>
      </w:r>
      <w:r>
        <w:rPr>
          <w:rFonts w:ascii="Times New Roman" w:hAnsi="Times New Roman" w:cs="Times New Roman"/>
        </w:rPr>
        <w:t>и установяването на</w:t>
      </w:r>
      <w:r w:rsidRPr="00C062E6">
        <w:rPr>
          <w:rFonts w:ascii="Times New Roman" w:hAnsi="Times New Roman" w:cs="Times New Roman"/>
        </w:rPr>
        <w:t xml:space="preserve"> стаби</w:t>
      </w:r>
      <w:r>
        <w:rPr>
          <w:rFonts w:ascii="Times New Roman" w:hAnsi="Times New Roman" w:cs="Times New Roman"/>
        </w:rPr>
        <w:t>лност и сигурност в региона, подобряване на</w:t>
      </w:r>
      <w:r w:rsidRPr="00C062E6">
        <w:rPr>
          <w:rFonts w:ascii="Times New Roman" w:hAnsi="Times New Roman" w:cs="Times New Roman"/>
        </w:rPr>
        <w:t xml:space="preserve"> икономическите вр</w:t>
      </w:r>
      <w:r>
        <w:rPr>
          <w:rFonts w:ascii="Times New Roman" w:hAnsi="Times New Roman" w:cs="Times New Roman"/>
        </w:rPr>
        <w:t xml:space="preserve">ъзки и обмен, както и развитието на </w:t>
      </w:r>
      <w:r w:rsidRPr="00C062E6">
        <w:rPr>
          <w:rFonts w:ascii="Times New Roman" w:hAnsi="Times New Roman" w:cs="Times New Roman"/>
        </w:rPr>
        <w:t>редица проекти, свързани с околната сре</w:t>
      </w:r>
      <w:r>
        <w:rPr>
          <w:rFonts w:ascii="Times New Roman" w:hAnsi="Times New Roman" w:cs="Times New Roman"/>
        </w:rPr>
        <w:t>да и хуманитерни и социални аспекти от обществения живот</w:t>
      </w:r>
      <w:r w:rsidRPr="00C062E6">
        <w:rPr>
          <w:rFonts w:ascii="Times New Roman" w:hAnsi="Times New Roman" w:cs="Times New Roman"/>
        </w:rPr>
        <w:t>.</w:t>
      </w:r>
    </w:p>
  </w:footnote>
  <w:footnote w:id="6">
    <w:p w:rsidR="00362AFD" w:rsidRPr="00362AFD" w:rsidRDefault="00362AFD" w:rsidP="00362AFD">
      <w:pPr>
        <w:pStyle w:val="FootnoteText"/>
        <w:jc w:val="both"/>
        <w:rPr>
          <w:rFonts w:ascii="Times New Roman" w:hAnsi="Times New Roman" w:cs="Times New Roman"/>
        </w:rPr>
      </w:pPr>
      <w:r>
        <w:rPr>
          <w:rStyle w:val="FootnoteReference"/>
        </w:rPr>
        <w:footnoteRef/>
      </w:r>
      <w:r>
        <w:t> </w:t>
      </w:r>
      <w:hyperlink r:id="rId2" w:history="1">
        <w:r w:rsidRPr="00362AFD">
          <w:rPr>
            <w:rStyle w:val="Hyperlink"/>
            <w:rFonts w:ascii="Times New Roman" w:hAnsi="Times New Roman" w:cs="Times New Roman"/>
          </w:rPr>
          <w:t>http://ec.europa.eu/regional_policy/bg/newsroom/news/2015/09/commission-adopts-a-transnational-cooperation-programme-for-the-balkan-mediterranean-area-for-the-first-time</w:t>
        </w:r>
      </w:hyperlink>
    </w:p>
  </w:footnote>
  <w:footnote w:id="7">
    <w:p w:rsidR="00362AFD" w:rsidRDefault="00362AFD" w:rsidP="00362AFD">
      <w:pPr>
        <w:pStyle w:val="FootnoteText"/>
        <w:jc w:val="both"/>
      </w:pPr>
      <w:r w:rsidRPr="00362AFD">
        <w:rPr>
          <w:rStyle w:val="FootnoteReference"/>
          <w:rFonts w:ascii="Times New Roman" w:hAnsi="Times New Roman" w:cs="Times New Roman"/>
        </w:rPr>
        <w:footnoteRef/>
      </w:r>
      <w:r w:rsidRPr="00362AFD">
        <w:rPr>
          <w:rFonts w:ascii="Times New Roman" w:hAnsi="Times New Roman" w:cs="Times New Roman"/>
        </w:rPr>
        <w:t xml:space="preserve"> </w:t>
      </w:r>
      <w:r w:rsidRPr="00362AFD">
        <w:rPr>
          <w:rFonts w:ascii="Times New Roman" w:hAnsi="Times New Roman" w:cs="Times New Roman"/>
        </w:rPr>
        <w:t>Акцентът върху тези различия показва, защо вниманието не се насочва към члеството в ОССЕ на САЩ и Канадан.</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1F5"/>
    <w:multiLevelType w:val="hybridMultilevel"/>
    <w:tmpl w:val="FC723822"/>
    <w:lvl w:ilvl="0" w:tplc="CDA266F2">
      <w:start w:val="1"/>
      <w:numFmt w:val="bullet"/>
      <w:lvlText w:val="•"/>
      <w:lvlJc w:val="left"/>
      <w:pPr>
        <w:tabs>
          <w:tab w:val="num" w:pos="720"/>
        </w:tabs>
        <w:ind w:left="720" w:hanging="360"/>
      </w:pPr>
      <w:rPr>
        <w:rFonts w:ascii="Arial" w:hAnsi="Arial" w:hint="default"/>
      </w:rPr>
    </w:lvl>
    <w:lvl w:ilvl="1" w:tplc="E46A4026" w:tentative="1">
      <w:start w:val="1"/>
      <w:numFmt w:val="bullet"/>
      <w:lvlText w:val="•"/>
      <w:lvlJc w:val="left"/>
      <w:pPr>
        <w:tabs>
          <w:tab w:val="num" w:pos="1440"/>
        </w:tabs>
        <w:ind w:left="1440" w:hanging="360"/>
      </w:pPr>
      <w:rPr>
        <w:rFonts w:ascii="Arial" w:hAnsi="Arial" w:hint="default"/>
      </w:rPr>
    </w:lvl>
    <w:lvl w:ilvl="2" w:tplc="7F206E36" w:tentative="1">
      <w:start w:val="1"/>
      <w:numFmt w:val="bullet"/>
      <w:lvlText w:val="•"/>
      <w:lvlJc w:val="left"/>
      <w:pPr>
        <w:tabs>
          <w:tab w:val="num" w:pos="2160"/>
        </w:tabs>
        <w:ind w:left="2160" w:hanging="360"/>
      </w:pPr>
      <w:rPr>
        <w:rFonts w:ascii="Arial" w:hAnsi="Arial" w:hint="default"/>
      </w:rPr>
    </w:lvl>
    <w:lvl w:ilvl="3" w:tplc="6616F032" w:tentative="1">
      <w:start w:val="1"/>
      <w:numFmt w:val="bullet"/>
      <w:lvlText w:val="•"/>
      <w:lvlJc w:val="left"/>
      <w:pPr>
        <w:tabs>
          <w:tab w:val="num" w:pos="2880"/>
        </w:tabs>
        <w:ind w:left="2880" w:hanging="360"/>
      </w:pPr>
      <w:rPr>
        <w:rFonts w:ascii="Arial" w:hAnsi="Arial" w:hint="default"/>
      </w:rPr>
    </w:lvl>
    <w:lvl w:ilvl="4" w:tplc="34A2712E" w:tentative="1">
      <w:start w:val="1"/>
      <w:numFmt w:val="bullet"/>
      <w:lvlText w:val="•"/>
      <w:lvlJc w:val="left"/>
      <w:pPr>
        <w:tabs>
          <w:tab w:val="num" w:pos="3600"/>
        </w:tabs>
        <w:ind w:left="3600" w:hanging="360"/>
      </w:pPr>
      <w:rPr>
        <w:rFonts w:ascii="Arial" w:hAnsi="Arial" w:hint="default"/>
      </w:rPr>
    </w:lvl>
    <w:lvl w:ilvl="5" w:tplc="6F7C4CD0" w:tentative="1">
      <w:start w:val="1"/>
      <w:numFmt w:val="bullet"/>
      <w:lvlText w:val="•"/>
      <w:lvlJc w:val="left"/>
      <w:pPr>
        <w:tabs>
          <w:tab w:val="num" w:pos="4320"/>
        </w:tabs>
        <w:ind w:left="4320" w:hanging="360"/>
      </w:pPr>
      <w:rPr>
        <w:rFonts w:ascii="Arial" w:hAnsi="Arial" w:hint="default"/>
      </w:rPr>
    </w:lvl>
    <w:lvl w:ilvl="6" w:tplc="1CE4C98E" w:tentative="1">
      <w:start w:val="1"/>
      <w:numFmt w:val="bullet"/>
      <w:lvlText w:val="•"/>
      <w:lvlJc w:val="left"/>
      <w:pPr>
        <w:tabs>
          <w:tab w:val="num" w:pos="5040"/>
        </w:tabs>
        <w:ind w:left="5040" w:hanging="360"/>
      </w:pPr>
      <w:rPr>
        <w:rFonts w:ascii="Arial" w:hAnsi="Arial" w:hint="default"/>
      </w:rPr>
    </w:lvl>
    <w:lvl w:ilvl="7" w:tplc="E800F99C" w:tentative="1">
      <w:start w:val="1"/>
      <w:numFmt w:val="bullet"/>
      <w:lvlText w:val="•"/>
      <w:lvlJc w:val="left"/>
      <w:pPr>
        <w:tabs>
          <w:tab w:val="num" w:pos="5760"/>
        </w:tabs>
        <w:ind w:left="5760" w:hanging="360"/>
      </w:pPr>
      <w:rPr>
        <w:rFonts w:ascii="Arial" w:hAnsi="Arial" w:hint="default"/>
      </w:rPr>
    </w:lvl>
    <w:lvl w:ilvl="8" w:tplc="9230C458" w:tentative="1">
      <w:start w:val="1"/>
      <w:numFmt w:val="bullet"/>
      <w:lvlText w:val="•"/>
      <w:lvlJc w:val="left"/>
      <w:pPr>
        <w:tabs>
          <w:tab w:val="num" w:pos="6480"/>
        </w:tabs>
        <w:ind w:left="6480" w:hanging="360"/>
      </w:pPr>
      <w:rPr>
        <w:rFonts w:ascii="Arial" w:hAnsi="Arial" w:hint="default"/>
      </w:rPr>
    </w:lvl>
  </w:abstractNum>
  <w:abstractNum w:abstractNumId="1">
    <w:nsid w:val="147507D7"/>
    <w:multiLevelType w:val="hybridMultilevel"/>
    <w:tmpl w:val="ED02F548"/>
    <w:lvl w:ilvl="0" w:tplc="556452A6">
      <w:start w:val="1"/>
      <w:numFmt w:val="bullet"/>
      <w:lvlText w:val="•"/>
      <w:lvlJc w:val="left"/>
      <w:pPr>
        <w:tabs>
          <w:tab w:val="num" w:pos="720"/>
        </w:tabs>
        <w:ind w:left="720" w:hanging="360"/>
      </w:pPr>
      <w:rPr>
        <w:rFonts w:ascii="Arial" w:hAnsi="Arial" w:hint="default"/>
      </w:rPr>
    </w:lvl>
    <w:lvl w:ilvl="1" w:tplc="3C445C68" w:tentative="1">
      <w:start w:val="1"/>
      <w:numFmt w:val="bullet"/>
      <w:lvlText w:val="•"/>
      <w:lvlJc w:val="left"/>
      <w:pPr>
        <w:tabs>
          <w:tab w:val="num" w:pos="1440"/>
        </w:tabs>
        <w:ind w:left="1440" w:hanging="360"/>
      </w:pPr>
      <w:rPr>
        <w:rFonts w:ascii="Arial" w:hAnsi="Arial" w:hint="default"/>
      </w:rPr>
    </w:lvl>
    <w:lvl w:ilvl="2" w:tplc="752ED9DC" w:tentative="1">
      <w:start w:val="1"/>
      <w:numFmt w:val="bullet"/>
      <w:lvlText w:val="•"/>
      <w:lvlJc w:val="left"/>
      <w:pPr>
        <w:tabs>
          <w:tab w:val="num" w:pos="2160"/>
        </w:tabs>
        <w:ind w:left="2160" w:hanging="360"/>
      </w:pPr>
      <w:rPr>
        <w:rFonts w:ascii="Arial" w:hAnsi="Arial" w:hint="default"/>
      </w:rPr>
    </w:lvl>
    <w:lvl w:ilvl="3" w:tplc="5DC25BC0" w:tentative="1">
      <w:start w:val="1"/>
      <w:numFmt w:val="bullet"/>
      <w:lvlText w:val="•"/>
      <w:lvlJc w:val="left"/>
      <w:pPr>
        <w:tabs>
          <w:tab w:val="num" w:pos="2880"/>
        </w:tabs>
        <w:ind w:left="2880" w:hanging="360"/>
      </w:pPr>
      <w:rPr>
        <w:rFonts w:ascii="Arial" w:hAnsi="Arial" w:hint="default"/>
      </w:rPr>
    </w:lvl>
    <w:lvl w:ilvl="4" w:tplc="5FFA842E" w:tentative="1">
      <w:start w:val="1"/>
      <w:numFmt w:val="bullet"/>
      <w:lvlText w:val="•"/>
      <w:lvlJc w:val="left"/>
      <w:pPr>
        <w:tabs>
          <w:tab w:val="num" w:pos="3600"/>
        </w:tabs>
        <w:ind w:left="3600" w:hanging="360"/>
      </w:pPr>
      <w:rPr>
        <w:rFonts w:ascii="Arial" w:hAnsi="Arial" w:hint="default"/>
      </w:rPr>
    </w:lvl>
    <w:lvl w:ilvl="5" w:tplc="53A8D35E" w:tentative="1">
      <w:start w:val="1"/>
      <w:numFmt w:val="bullet"/>
      <w:lvlText w:val="•"/>
      <w:lvlJc w:val="left"/>
      <w:pPr>
        <w:tabs>
          <w:tab w:val="num" w:pos="4320"/>
        </w:tabs>
        <w:ind w:left="4320" w:hanging="360"/>
      </w:pPr>
      <w:rPr>
        <w:rFonts w:ascii="Arial" w:hAnsi="Arial" w:hint="default"/>
      </w:rPr>
    </w:lvl>
    <w:lvl w:ilvl="6" w:tplc="35F6AB4E" w:tentative="1">
      <w:start w:val="1"/>
      <w:numFmt w:val="bullet"/>
      <w:lvlText w:val="•"/>
      <w:lvlJc w:val="left"/>
      <w:pPr>
        <w:tabs>
          <w:tab w:val="num" w:pos="5040"/>
        </w:tabs>
        <w:ind w:left="5040" w:hanging="360"/>
      </w:pPr>
      <w:rPr>
        <w:rFonts w:ascii="Arial" w:hAnsi="Arial" w:hint="default"/>
      </w:rPr>
    </w:lvl>
    <w:lvl w:ilvl="7" w:tplc="794E1A38" w:tentative="1">
      <w:start w:val="1"/>
      <w:numFmt w:val="bullet"/>
      <w:lvlText w:val="•"/>
      <w:lvlJc w:val="left"/>
      <w:pPr>
        <w:tabs>
          <w:tab w:val="num" w:pos="5760"/>
        </w:tabs>
        <w:ind w:left="5760" w:hanging="360"/>
      </w:pPr>
      <w:rPr>
        <w:rFonts w:ascii="Arial" w:hAnsi="Arial" w:hint="default"/>
      </w:rPr>
    </w:lvl>
    <w:lvl w:ilvl="8" w:tplc="4CCE02C4" w:tentative="1">
      <w:start w:val="1"/>
      <w:numFmt w:val="bullet"/>
      <w:lvlText w:val="•"/>
      <w:lvlJc w:val="left"/>
      <w:pPr>
        <w:tabs>
          <w:tab w:val="num" w:pos="6480"/>
        </w:tabs>
        <w:ind w:left="6480" w:hanging="360"/>
      </w:pPr>
      <w:rPr>
        <w:rFonts w:ascii="Arial" w:hAnsi="Arial" w:hint="default"/>
      </w:rPr>
    </w:lvl>
  </w:abstractNum>
  <w:abstractNum w:abstractNumId="2">
    <w:nsid w:val="4C371CA7"/>
    <w:multiLevelType w:val="hybridMultilevel"/>
    <w:tmpl w:val="E676F1E6"/>
    <w:lvl w:ilvl="0" w:tplc="92D68272">
      <w:start w:val="1"/>
      <w:numFmt w:val="bullet"/>
      <w:lvlText w:val="•"/>
      <w:lvlJc w:val="left"/>
      <w:pPr>
        <w:tabs>
          <w:tab w:val="num" w:pos="720"/>
        </w:tabs>
        <w:ind w:left="720" w:hanging="360"/>
      </w:pPr>
      <w:rPr>
        <w:rFonts w:ascii="Arial" w:hAnsi="Arial" w:hint="default"/>
      </w:rPr>
    </w:lvl>
    <w:lvl w:ilvl="1" w:tplc="CF34BD2E" w:tentative="1">
      <w:start w:val="1"/>
      <w:numFmt w:val="bullet"/>
      <w:lvlText w:val="•"/>
      <w:lvlJc w:val="left"/>
      <w:pPr>
        <w:tabs>
          <w:tab w:val="num" w:pos="1440"/>
        </w:tabs>
        <w:ind w:left="1440" w:hanging="360"/>
      </w:pPr>
      <w:rPr>
        <w:rFonts w:ascii="Arial" w:hAnsi="Arial" w:hint="default"/>
      </w:rPr>
    </w:lvl>
    <w:lvl w:ilvl="2" w:tplc="0240BF64" w:tentative="1">
      <w:start w:val="1"/>
      <w:numFmt w:val="bullet"/>
      <w:lvlText w:val="•"/>
      <w:lvlJc w:val="left"/>
      <w:pPr>
        <w:tabs>
          <w:tab w:val="num" w:pos="2160"/>
        </w:tabs>
        <w:ind w:left="2160" w:hanging="360"/>
      </w:pPr>
      <w:rPr>
        <w:rFonts w:ascii="Arial" w:hAnsi="Arial" w:hint="default"/>
      </w:rPr>
    </w:lvl>
    <w:lvl w:ilvl="3" w:tplc="D488054A" w:tentative="1">
      <w:start w:val="1"/>
      <w:numFmt w:val="bullet"/>
      <w:lvlText w:val="•"/>
      <w:lvlJc w:val="left"/>
      <w:pPr>
        <w:tabs>
          <w:tab w:val="num" w:pos="2880"/>
        </w:tabs>
        <w:ind w:left="2880" w:hanging="360"/>
      </w:pPr>
      <w:rPr>
        <w:rFonts w:ascii="Arial" w:hAnsi="Arial" w:hint="default"/>
      </w:rPr>
    </w:lvl>
    <w:lvl w:ilvl="4" w:tplc="5A804876" w:tentative="1">
      <w:start w:val="1"/>
      <w:numFmt w:val="bullet"/>
      <w:lvlText w:val="•"/>
      <w:lvlJc w:val="left"/>
      <w:pPr>
        <w:tabs>
          <w:tab w:val="num" w:pos="3600"/>
        </w:tabs>
        <w:ind w:left="3600" w:hanging="360"/>
      </w:pPr>
      <w:rPr>
        <w:rFonts w:ascii="Arial" w:hAnsi="Arial" w:hint="default"/>
      </w:rPr>
    </w:lvl>
    <w:lvl w:ilvl="5" w:tplc="2E12DA8C" w:tentative="1">
      <w:start w:val="1"/>
      <w:numFmt w:val="bullet"/>
      <w:lvlText w:val="•"/>
      <w:lvlJc w:val="left"/>
      <w:pPr>
        <w:tabs>
          <w:tab w:val="num" w:pos="4320"/>
        </w:tabs>
        <w:ind w:left="4320" w:hanging="360"/>
      </w:pPr>
      <w:rPr>
        <w:rFonts w:ascii="Arial" w:hAnsi="Arial" w:hint="default"/>
      </w:rPr>
    </w:lvl>
    <w:lvl w:ilvl="6" w:tplc="B7326B8C" w:tentative="1">
      <w:start w:val="1"/>
      <w:numFmt w:val="bullet"/>
      <w:lvlText w:val="•"/>
      <w:lvlJc w:val="left"/>
      <w:pPr>
        <w:tabs>
          <w:tab w:val="num" w:pos="5040"/>
        </w:tabs>
        <w:ind w:left="5040" w:hanging="360"/>
      </w:pPr>
      <w:rPr>
        <w:rFonts w:ascii="Arial" w:hAnsi="Arial" w:hint="default"/>
      </w:rPr>
    </w:lvl>
    <w:lvl w:ilvl="7" w:tplc="6C14D214" w:tentative="1">
      <w:start w:val="1"/>
      <w:numFmt w:val="bullet"/>
      <w:lvlText w:val="•"/>
      <w:lvlJc w:val="left"/>
      <w:pPr>
        <w:tabs>
          <w:tab w:val="num" w:pos="5760"/>
        </w:tabs>
        <w:ind w:left="5760" w:hanging="360"/>
      </w:pPr>
      <w:rPr>
        <w:rFonts w:ascii="Arial" w:hAnsi="Arial" w:hint="default"/>
      </w:rPr>
    </w:lvl>
    <w:lvl w:ilvl="8" w:tplc="E70A0ECA" w:tentative="1">
      <w:start w:val="1"/>
      <w:numFmt w:val="bullet"/>
      <w:lvlText w:val="•"/>
      <w:lvlJc w:val="left"/>
      <w:pPr>
        <w:tabs>
          <w:tab w:val="num" w:pos="6480"/>
        </w:tabs>
        <w:ind w:left="6480" w:hanging="360"/>
      </w:pPr>
      <w:rPr>
        <w:rFonts w:ascii="Arial" w:hAnsi="Arial" w:hint="default"/>
      </w:rPr>
    </w:lvl>
  </w:abstractNum>
  <w:abstractNum w:abstractNumId="3">
    <w:nsid w:val="7C115B30"/>
    <w:multiLevelType w:val="hybridMultilevel"/>
    <w:tmpl w:val="0B02B4DE"/>
    <w:lvl w:ilvl="0" w:tplc="5E06649A">
      <w:start w:val="1"/>
      <w:numFmt w:val="bullet"/>
      <w:lvlText w:val="•"/>
      <w:lvlJc w:val="left"/>
      <w:pPr>
        <w:tabs>
          <w:tab w:val="num" w:pos="720"/>
        </w:tabs>
        <w:ind w:left="720" w:hanging="360"/>
      </w:pPr>
      <w:rPr>
        <w:rFonts w:ascii="Arial" w:hAnsi="Arial" w:hint="default"/>
      </w:rPr>
    </w:lvl>
    <w:lvl w:ilvl="1" w:tplc="BCD0FA3E" w:tentative="1">
      <w:start w:val="1"/>
      <w:numFmt w:val="bullet"/>
      <w:lvlText w:val="•"/>
      <w:lvlJc w:val="left"/>
      <w:pPr>
        <w:tabs>
          <w:tab w:val="num" w:pos="1440"/>
        </w:tabs>
        <w:ind w:left="1440" w:hanging="360"/>
      </w:pPr>
      <w:rPr>
        <w:rFonts w:ascii="Arial" w:hAnsi="Arial" w:hint="default"/>
      </w:rPr>
    </w:lvl>
    <w:lvl w:ilvl="2" w:tplc="BF9AFFEA" w:tentative="1">
      <w:start w:val="1"/>
      <w:numFmt w:val="bullet"/>
      <w:lvlText w:val="•"/>
      <w:lvlJc w:val="left"/>
      <w:pPr>
        <w:tabs>
          <w:tab w:val="num" w:pos="2160"/>
        </w:tabs>
        <w:ind w:left="2160" w:hanging="360"/>
      </w:pPr>
      <w:rPr>
        <w:rFonts w:ascii="Arial" w:hAnsi="Arial" w:hint="default"/>
      </w:rPr>
    </w:lvl>
    <w:lvl w:ilvl="3" w:tplc="3DC065FA" w:tentative="1">
      <w:start w:val="1"/>
      <w:numFmt w:val="bullet"/>
      <w:lvlText w:val="•"/>
      <w:lvlJc w:val="left"/>
      <w:pPr>
        <w:tabs>
          <w:tab w:val="num" w:pos="2880"/>
        </w:tabs>
        <w:ind w:left="2880" w:hanging="360"/>
      </w:pPr>
      <w:rPr>
        <w:rFonts w:ascii="Arial" w:hAnsi="Arial" w:hint="default"/>
      </w:rPr>
    </w:lvl>
    <w:lvl w:ilvl="4" w:tplc="ABEE6FA4" w:tentative="1">
      <w:start w:val="1"/>
      <w:numFmt w:val="bullet"/>
      <w:lvlText w:val="•"/>
      <w:lvlJc w:val="left"/>
      <w:pPr>
        <w:tabs>
          <w:tab w:val="num" w:pos="3600"/>
        </w:tabs>
        <w:ind w:left="3600" w:hanging="360"/>
      </w:pPr>
      <w:rPr>
        <w:rFonts w:ascii="Arial" w:hAnsi="Arial" w:hint="default"/>
      </w:rPr>
    </w:lvl>
    <w:lvl w:ilvl="5" w:tplc="7528EEAE" w:tentative="1">
      <w:start w:val="1"/>
      <w:numFmt w:val="bullet"/>
      <w:lvlText w:val="•"/>
      <w:lvlJc w:val="left"/>
      <w:pPr>
        <w:tabs>
          <w:tab w:val="num" w:pos="4320"/>
        </w:tabs>
        <w:ind w:left="4320" w:hanging="360"/>
      </w:pPr>
      <w:rPr>
        <w:rFonts w:ascii="Arial" w:hAnsi="Arial" w:hint="default"/>
      </w:rPr>
    </w:lvl>
    <w:lvl w:ilvl="6" w:tplc="239EF1D8" w:tentative="1">
      <w:start w:val="1"/>
      <w:numFmt w:val="bullet"/>
      <w:lvlText w:val="•"/>
      <w:lvlJc w:val="left"/>
      <w:pPr>
        <w:tabs>
          <w:tab w:val="num" w:pos="5040"/>
        </w:tabs>
        <w:ind w:left="5040" w:hanging="360"/>
      </w:pPr>
      <w:rPr>
        <w:rFonts w:ascii="Arial" w:hAnsi="Arial" w:hint="default"/>
      </w:rPr>
    </w:lvl>
    <w:lvl w:ilvl="7" w:tplc="7F22DB58" w:tentative="1">
      <w:start w:val="1"/>
      <w:numFmt w:val="bullet"/>
      <w:lvlText w:val="•"/>
      <w:lvlJc w:val="left"/>
      <w:pPr>
        <w:tabs>
          <w:tab w:val="num" w:pos="5760"/>
        </w:tabs>
        <w:ind w:left="5760" w:hanging="360"/>
      </w:pPr>
      <w:rPr>
        <w:rFonts w:ascii="Arial" w:hAnsi="Arial" w:hint="default"/>
      </w:rPr>
    </w:lvl>
    <w:lvl w:ilvl="8" w:tplc="81F2BAF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15D"/>
    <w:rsid w:val="00061E13"/>
    <w:rsid w:val="00087C54"/>
    <w:rsid w:val="000E7F33"/>
    <w:rsid w:val="001144D9"/>
    <w:rsid w:val="001436A1"/>
    <w:rsid w:val="002006DC"/>
    <w:rsid w:val="002110DA"/>
    <w:rsid w:val="002779F5"/>
    <w:rsid w:val="00297251"/>
    <w:rsid w:val="0030715D"/>
    <w:rsid w:val="00331FA4"/>
    <w:rsid w:val="00362AFD"/>
    <w:rsid w:val="003A00CA"/>
    <w:rsid w:val="003F4ADC"/>
    <w:rsid w:val="004313C7"/>
    <w:rsid w:val="00581A52"/>
    <w:rsid w:val="005B607D"/>
    <w:rsid w:val="005F5AA8"/>
    <w:rsid w:val="006041D8"/>
    <w:rsid w:val="006D48EE"/>
    <w:rsid w:val="00726B45"/>
    <w:rsid w:val="00761A74"/>
    <w:rsid w:val="00796340"/>
    <w:rsid w:val="0082306C"/>
    <w:rsid w:val="00865E1B"/>
    <w:rsid w:val="009B2AE3"/>
    <w:rsid w:val="009D6ECE"/>
    <w:rsid w:val="009D736A"/>
    <w:rsid w:val="00A10E8B"/>
    <w:rsid w:val="00A71716"/>
    <w:rsid w:val="00A9535A"/>
    <w:rsid w:val="00AA428E"/>
    <w:rsid w:val="00B248CE"/>
    <w:rsid w:val="00B803C0"/>
    <w:rsid w:val="00B93ED7"/>
    <w:rsid w:val="00C062E6"/>
    <w:rsid w:val="00C85CD0"/>
    <w:rsid w:val="00CE43BE"/>
    <w:rsid w:val="00D80522"/>
    <w:rsid w:val="00DC4044"/>
    <w:rsid w:val="00EF2F02"/>
    <w:rsid w:val="00EF31FF"/>
    <w:rsid w:val="00F25D6E"/>
    <w:rsid w:val="00F55471"/>
    <w:rsid w:val="00FB09C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5D"/>
    <w:pPr>
      <w:spacing w:after="0" w:line="240" w:lineRule="auto"/>
      <w:ind w:left="720"/>
      <w:contextualSpacing/>
    </w:pPr>
    <w:rPr>
      <w:rFonts w:ascii="Times New Roman" w:eastAsia="Times New Roman" w:hAnsi="Times New Roman" w:cs="Times New Roman"/>
      <w:sz w:val="24"/>
      <w:szCs w:val="24"/>
      <w:lang w:eastAsia="bg-BG"/>
    </w:rPr>
  </w:style>
  <w:style w:type="paragraph" w:styleId="FootnoteText">
    <w:name w:val="footnote text"/>
    <w:basedOn w:val="Normal"/>
    <w:link w:val="FootnoteTextChar"/>
    <w:uiPriority w:val="99"/>
    <w:semiHidden/>
    <w:unhideWhenUsed/>
    <w:rsid w:val="00A95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35A"/>
    <w:rPr>
      <w:sz w:val="20"/>
      <w:szCs w:val="20"/>
    </w:rPr>
  </w:style>
  <w:style w:type="character" w:styleId="FootnoteReference">
    <w:name w:val="footnote reference"/>
    <w:basedOn w:val="DefaultParagraphFont"/>
    <w:uiPriority w:val="99"/>
    <w:semiHidden/>
    <w:unhideWhenUsed/>
    <w:rsid w:val="00A9535A"/>
    <w:rPr>
      <w:vertAlign w:val="superscript"/>
    </w:rPr>
  </w:style>
  <w:style w:type="character" w:styleId="Hyperlink">
    <w:name w:val="Hyperlink"/>
    <w:basedOn w:val="DefaultParagraphFont"/>
    <w:uiPriority w:val="99"/>
    <w:unhideWhenUsed/>
    <w:rsid w:val="009D6E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5D"/>
    <w:pPr>
      <w:spacing w:after="0" w:line="240" w:lineRule="auto"/>
      <w:ind w:left="720"/>
      <w:contextualSpacing/>
    </w:pPr>
    <w:rPr>
      <w:rFonts w:ascii="Times New Roman" w:eastAsia="Times New Roman" w:hAnsi="Times New Roman" w:cs="Times New Roman"/>
      <w:sz w:val="24"/>
      <w:szCs w:val="24"/>
      <w:lang w:eastAsia="bg-BG"/>
    </w:rPr>
  </w:style>
  <w:style w:type="paragraph" w:styleId="FootnoteText">
    <w:name w:val="footnote text"/>
    <w:basedOn w:val="Normal"/>
    <w:link w:val="FootnoteTextChar"/>
    <w:uiPriority w:val="99"/>
    <w:semiHidden/>
    <w:unhideWhenUsed/>
    <w:rsid w:val="00A95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35A"/>
    <w:rPr>
      <w:sz w:val="20"/>
      <w:szCs w:val="20"/>
    </w:rPr>
  </w:style>
  <w:style w:type="character" w:styleId="FootnoteReference">
    <w:name w:val="footnote reference"/>
    <w:basedOn w:val="DefaultParagraphFont"/>
    <w:uiPriority w:val="99"/>
    <w:semiHidden/>
    <w:unhideWhenUsed/>
    <w:rsid w:val="00A9535A"/>
    <w:rPr>
      <w:vertAlign w:val="superscript"/>
    </w:rPr>
  </w:style>
  <w:style w:type="character" w:styleId="Hyperlink">
    <w:name w:val="Hyperlink"/>
    <w:basedOn w:val="DefaultParagraphFont"/>
    <w:uiPriority w:val="99"/>
    <w:unhideWhenUsed/>
    <w:rsid w:val="009D6E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38918">
      <w:bodyDiv w:val="1"/>
      <w:marLeft w:val="0"/>
      <w:marRight w:val="0"/>
      <w:marTop w:val="0"/>
      <w:marBottom w:val="0"/>
      <w:divBdr>
        <w:top w:val="none" w:sz="0" w:space="0" w:color="auto"/>
        <w:left w:val="none" w:sz="0" w:space="0" w:color="auto"/>
        <w:bottom w:val="none" w:sz="0" w:space="0" w:color="auto"/>
        <w:right w:val="none" w:sz="0" w:space="0" w:color="auto"/>
      </w:divBdr>
      <w:divsChild>
        <w:div w:id="957222497">
          <w:marLeft w:val="547"/>
          <w:marRight w:val="0"/>
          <w:marTop w:val="154"/>
          <w:marBottom w:val="0"/>
          <w:divBdr>
            <w:top w:val="none" w:sz="0" w:space="0" w:color="auto"/>
            <w:left w:val="none" w:sz="0" w:space="0" w:color="auto"/>
            <w:bottom w:val="none" w:sz="0" w:space="0" w:color="auto"/>
            <w:right w:val="none" w:sz="0" w:space="0" w:color="auto"/>
          </w:divBdr>
        </w:div>
        <w:div w:id="1976833943">
          <w:marLeft w:val="547"/>
          <w:marRight w:val="0"/>
          <w:marTop w:val="154"/>
          <w:marBottom w:val="0"/>
          <w:divBdr>
            <w:top w:val="none" w:sz="0" w:space="0" w:color="auto"/>
            <w:left w:val="none" w:sz="0" w:space="0" w:color="auto"/>
            <w:bottom w:val="none" w:sz="0" w:space="0" w:color="auto"/>
            <w:right w:val="none" w:sz="0" w:space="0" w:color="auto"/>
          </w:divBdr>
        </w:div>
        <w:div w:id="1617252348">
          <w:marLeft w:val="547"/>
          <w:marRight w:val="0"/>
          <w:marTop w:val="154"/>
          <w:marBottom w:val="0"/>
          <w:divBdr>
            <w:top w:val="none" w:sz="0" w:space="0" w:color="auto"/>
            <w:left w:val="none" w:sz="0" w:space="0" w:color="auto"/>
            <w:bottom w:val="none" w:sz="0" w:space="0" w:color="auto"/>
            <w:right w:val="none" w:sz="0" w:space="0" w:color="auto"/>
          </w:divBdr>
        </w:div>
        <w:div w:id="811681371">
          <w:marLeft w:val="547"/>
          <w:marRight w:val="0"/>
          <w:marTop w:val="154"/>
          <w:marBottom w:val="0"/>
          <w:divBdr>
            <w:top w:val="none" w:sz="0" w:space="0" w:color="auto"/>
            <w:left w:val="none" w:sz="0" w:space="0" w:color="auto"/>
            <w:bottom w:val="none" w:sz="0" w:space="0" w:color="auto"/>
            <w:right w:val="none" w:sz="0" w:space="0" w:color="auto"/>
          </w:divBdr>
        </w:div>
        <w:div w:id="545022548">
          <w:marLeft w:val="547"/>
          <w:marRight w:val="0"/>
          <w:marTop w:val="154"/>
          <w:marBottom w:val="0"/>
          <w:divBdr>
            <w:top w:val="none" w:sz="0" w:space="0" w:color="auto"/>
            <w:left w:val="none" w:sz="0" w:space="0" w:color="auto"/>
            <w:bottom w:val="none" w:sz="0" w:space="0" w:color="auto"/>
            <w:right w:val="none" w:sz="0" w:space="0" w:color="auto"/>
          </w:divBdr>
        </w:div>
        <w:div w:id="1176261122">
          <w:marLeft w:val="547"/>
          <w:marRight w:val="0"/>
          <w:marTop w:val="154"/>
          <w:marBottom w:val="0"/>
          <w:divBdr>
            <w:top w:val="none" w:sz="0" w:space="0" w:color="auto"/>
            <w:left w:val="none" w:sz="0" w:space="0" w:color="auto"/>
            <w:bottom w:val="none" w:sz="0" w:space="0" w:color="auto"/>
            <w:right w:val="none" w:sz="0" w:space="0" w:color="auto"/>
          </w:divBdr>
        </w:div>
        <w:div w:id="537746015">
          <w:marLeft w:val="547"/>
          <w:marRight w:val="0"/>
          <w:marTop w:val="154"/>
          <w:marBottom w:val="0"/>
          <w:divBdr>
            <w:top w:val="none" w:sz="0" w:space="0" w:color="auto"/>
            <w:left w:val="none" w:sz="0" w:space="0" w:color="auto"/>
            <w:bottom w:val="none" w:sz="0" w:space="0" w:color="auto"/>
            <w:right w:val="none" w:sz="0" w:space="0" w:color="auto"/>
          </w:divBdr>
        </w:div>
        <w:div w:id="594169806">
          <w:marLeft w:val="547"/>
          <w:marRight w:val="0"/>
          <w:marTop w:val="154"/>
          <w:marBottom w:val="0"/>
          <w:divBdr>
            <w:top w:val="none" w:sz="0" w:space="0" w:color="auto"/>
            <w:left w:val="none" w:sz="0" w:space="0" w:color="auto"/>
            <w:bottom w:val="none" w:sz="0" w:space="0" w:color="auto"/>
            <w:right w:val="none" w:sz="0" w:space="0" w:color="auto"/>
          </w:divBdr>
        </w:div>
        <w:div w:id="1418943265">
          <w:marLeft w:val="547"/>
          <w:marRight w:val="0"/>
          <w:marTop w:val="154"/>
          <w:marBottom w:val="0"/>
          <w:divBdr>
            <w:top w:val="none" w:sz="0" w:space="0" w:color="auto"/>
            <w:left w:val="none" w:sz="0" w:space="0" w:color="auto"/>
            <w:bottom w:val="none" w:sz="0" w:space="0" w:color="auto"/>
            <w:right w:val="none" w:sz="0" w:space="0" w:color="auto"/>
          </w:divBdr>
        </w:div>
      </w:divsChild>
    </w:div>
    <w:div w:id="903637438">
      <w:bodyDiv w:val="1"/>
      <w:marLeft w:val="0"/>
      <w:marRight w:val="0"/>
      <w:marTop w:val="0"/>
      <w:marBottom w:val="0"/>
      <w:divBdr>
        <w:top w:val="none" w:sz="0" w:space="0" w:color="auto"/>
        <w:left w:val="none" w:sz="0" w:space="0" w:color="auto"/>
        <w:bottom w:val="none" w:sz="0" w:space="0" w:color="auto"/>
        <w:right w:val="none" w:sz="0" w:space="0" w:color="auto"/>
      </w:divBdr>
    </w:div>
    <w:div w:id="957881480">
      <w:bodyDiv w:val="1"/>
      <w:marLeft w:val="0"/>
      <w:marRight w:val="0"/>
      <w:marTop w:val="0"/>
      <w:marBottom w:val="0"/>
      <w:divBdr>
        <w:top w:val="none" w:sz="0" w:space="0" w:color="auto"/>
        <w:left w:val="none" w:sz="0" w:space="0" w:color="auto"/>
        <w:bottom w:val="none" w:sz="0" w:space="0" w:color="auto"/>
        <w:right w:val="none" w:sz="0" w:space="0" w:color="auto"/>
      </w:divBdr>
    </w:div>
    <w:div w:id="1082096979">
      <w:bodyDiv w:val="1"/>
      <w:marLeft w:val="0"/>
      <w:marRight w:val="0"/>
      <w:marTop w:val="0"/>
      <w:marBottom w:val="0"/>
      <w:divBdr>
        <w:top w:val="none" w:sz="0" w:space="0" w:color="auto"/>
        <w:left w:val="none" w:sz="0" w:space="0" w:color="auto"/>
        <w:bottom w:val="none" w:sz="0" w:space="0" w:color="auto"/>
        <w:right w:val="none" w:sz="0" w:space="0" w:color="auto"/>
      </w:divBdr>
      <w:divsChild>
        <w:div w:id="1171482068">
          <w:marLeft w:val="547"/>
          <w:marRight w:val="0"/>
          <w:marTop w:val="154"/>
          <w:marBottom w:val="0"/>
          <w:divBdr>
            <w:top w:val="none" w:sz="0" w:space="0" w:color="auto"/>
            <w:left w:val="none" w:sz="0" w:space="0" w:color="auto"/>
            <w:bottom w:val="none" w:sz="0" w:space="0" w:color="auto"/>
            <w:right w:val="none" w:sz="0" w:space="0" w:color="auto"/>
          </w:divBdr>
        </w:div>
        <w:div w:id="1399136961">
          <w:marLeft w:val="547"/>
          <w:marRight w:val="0"/>
          <w:marTop w:val="154"/>
          <w:marBottom w:val="0"/>
          <w:divBdr>
            <w:top w:val="none" w:sz="0" w:space="0" w:color="auto"/>
            <w:left w:val="none" w:sz="0" w:space="0" w:color="auto"/>
            <w:bottom w:val="none" w:sz="0" w:space="0" w:color="auto"/>
            <w:right w:val="none" w:sz="0" w:space="0" w:color="auto"/>
          </w:divBdr>
        </w:div>
        <w:div w:id="95830096">
          <w:marLeft w:val="547"/>
          <w:marRight w:val="0"/>
          <w:marTop w:val="154"/>
          <w:marBottom w:val="0"/>
          <w:divBdr>
            <w:top w:val="none" w:sz="0" w:space="0" w:color="auto"/>
            <w:left w:val="none" w:sz="0" w:space="0" w:color="auto"/>
            <w:bottom w:val="none" w:sz="0" w:space="0" w:color="auto"/>
            <w:right w:val="none" w:sz="0" w:space="0" w:color="auto"/>
          </w:divBdr>
        </w:div>
        <w:div w:id="1000081209">
          <w:marLeft w:val="547"/>
          <w:marRight w:val="0"/>
          <w:marTop w:val="154"/>
          <w:marBottom w:val="0"/>
          <w:divBdr>
            <w:top w:val="none" w:sz="0" w:space="0" w:color="auto"/>
            <w:left w:val="none" w:sz="0" w:space="0" w:color="auto"/>
            <w:bottom w:val="none" w:sz="0" w:space="0" w:color="auto"/>
            <w:right w:val="none" w:sz="0" w:space="0" w:color="auto"/>
          </w:divBdr>
        </w:div>
        <w:div w:id="1666737327">
          <w:marLeft w:val="547"/>
          <w:marRight w:val="0"/>
          <w:marTop w:val="154"/>
          <w:marBottom w:val="0"/>
          <w:divBdr>
            <w:top w:val="none" w:sz="0" w:space="0" w:color="auto"/>
            <w:left w:val="none" w:sz="0" w:space="0" w:color="auto"/>
            <w:bottom w:val="none" w:sz="0" w:space="0" w:color="auto"/>
            <w:right w:val="none" w:sz="0" w:space="0" w:color="auto"/>
          </w:divBdr>
        </w:div>
      </w:divsChild>
    </w:div>
    <w:div w:id="1384407269">
      <w:bodyDiv w:val="1"/>
      <w:marLeft w:val="0"/>
      <w:marRight w:val="0"/>
      <w:marTop w:val="0"/>
      <w:marBottom w:val="0"/>
      <w:divBdr>
        <w:top w:val="none" w:sz="0" w:space="0" w:color="auto"/>
        <w:left w:val="none" w:sz="0" w:space="0" w:color="auto"/>
        <w:bottom w:val="none" w:sz="0" w:space="0" w:color="auto"/>
        <w:right w:val="none" w:sz="0" w:space="0" w:color="auto"/>
      </w:divBdr>
      <w:divsChild>
        <w:div w:id="500514464">
          <w:marLeft w:val="547"/>
          <w:marRight w:val="0"/>
          <w:marTop w:val="154"/>
          <w:marBottom w:val="0"/>
          <w:divBdr>
            <w:top w:val="none" w:sz="0" w:space="0" w:color="auto"/>
            <w:left w:val="none" w:sz="0" w:space="0" w:color="auto"/>
            <w:bottom w:val="none" w:sz="0" w:space="0" w:color="auto"/>
            <w:right w:val="none" w:sz="0" w:space="0" w:color="auto"/>
          </w:divBdr>
        </w:div>
        <w:div w:id="172959935">
          <w:marLeft w:val="547"/>
          <w:marRight w:val="0"/>
          <w:marTop w:val="154"/>
          <w:marBottom w:val="0"/>
          <w:divBdr>
            <w:top w:val="none" w:sz="0" w:space="0" w:color="auto"/>
            <w:left w:val="none" w:sz="0" w:space="0" w:color="auto"/>
            <w:bottom w:val="none" w:sz="0" w:space="0" w:color="auto"/>
            <w:right w:val="none" w:sz="0" w:space="0" w:color="auto"/>
          </w:divBdr>
        </w:div>
        <w:div w:id="398671568">
          <w:marLeft w:val="547"/>
          <w:marRight w:val="0"/>
          <w:marTop w:val="154"/>
          <w:marBottom w:val="0"/>
          <w:divBdr>
            <w:top w:val="none" w:sz="0" w:space="0" w:color="auto"/>
            <w:left w:val="none" w:sz="0" w:space="0" w:color="auto"/>
            <w:bottom w:val="none" w:sz="0" w:space="0" w:color="auto"/>
            <w:right w:val="none" w:sz="0" w:space="0" w:color="auto"/>
          </w:divBdr>
        </w:div>
        <w:div w:id="313920791">
          <w:marLeft w:val="547"/>
          <w:marRight w:val="0"/>
          <w:marTop w:val="154"/>
          <w:marBottom w:val="0"/>
          <w:divBdr>
            <w:top w:val="none" w:sz="0" w:space="0" w:color="auto"/>
            <w:left w:val="none" w:sz="0" w:space="0" w:color="auto"/>
            <w:bottom w:val="none" w:sz="0" w:space="0" w:color="auto"/>
            <w:right w:val="none" w:sz="0" w:space="0" w:color="auto"/>
          </w:divBdr>
        </w:div>
        <w:div w:id="1149053085">
          <w:marLeft w:val="547"/>
          <w:marRight w:val="0"/>
          <w:marTop w:val="154"/>
          <w:marBottom w:val="0"/>
          <w:divBdr>
            <w:top w:val="none" w:sz="0" w:space="0" w:color="auto"/>
            <w:left w:val="none" w:sz="0" w:space="0" w:color="auto"/>
            <w:bottom w:val="none" w:sz="0" w:space="0" w:color="auto"/>
            <w:right w:val="none" w:sz="0" w:space="0" w:color="auto"/>
          </w:divBdr>
        </w:div>
        <w:div w:id="567351006">
          <w:marLeft w:val="547"/>
          <w:marRight w:val="0"/>
          <w:marTop w:val="154"/>
          <w:marBottom w:val="0"/>
          <w:divBdr>
            <w:top w:val="none" w:sz="0" w:space="0" w:color="auto"/>
            <w:left w:val="none" w:sz="0" w:space="0" w:color="auto"/>
            <w:bottom w:val="none" w:sz="0" w:space="0" w:color="auto"/>
            <w:right w:val="none" w:sz="0" w:space="0" w:color="auto"/>
          </w:divBdr>
        </w:div>
      </w:divsChild>
    </w:div>
    <w:div w:id="1903712498">
      <w:bodyDiv w:val="1"/>
      <w:marLeft w:val="0"/>
      <w:marRight w:val="0"/>
      <w:marTop w:val="0"/>
      <w:marBottom w:val="0"/>
      <w:divBdr>
        <w:top w:val="none" w:sz="0" w:space="0" w:color="auto"/>
        <w:left w:val="none" w:sz="0" w:space="0" w:color="auto"/>
        <w:bottom w:val="none" w:sz="0" w:space="0" w:color="auto"/>
        <w:right w:val="none" w:sz="0" w:space="0" w:color="auto"/>
      </w:divBdr>
      <w:divsChild>
        <w:div w:id="1245648406">
          <w:marLeft w:val="547"/>
          <w:marRight w:val="0"/>
          <w:marTop w:val="154"/>
          <w:marBottom w:val="0"/>
          <w:divBdr>
            <w:top w:val="none" w:sz="0" w:space="0" w:color="auto"/>
            <w:left w:val="none" w:sz="0" w:space="0" w:color="auto"/>
            <w:bottom w:val="none" w:sz="0" w:space="0" w:color="auto"/>
            <w:right w:val="none" w:sz="0" w:space="0" w:color="auto"/>
          </w:divBdr>
        </w:div>
        <w:div w:id="1727142088">
          <w:marLeft w:val="547"/>
          <w:marRight w:val="0"/>
          <w:marTop w:val="154"/>
          <w:marBottom w:val="0"/>
          <w:divBdr>
            <w:top w:val="none" w:sz="0" w:space="0" w:color="auto"/>
            <w:left w:val="none" w:sz="0" w:space="0" w:color="auto"/>
            <w:bottom w:val="none" w:sz="0" w:space="0" w:color="auto"/>
            <w:right w:val="none" w:sz="0" w:space="0" w:color="auto"/>
          </w:divBdr>
        </w:div>
        <w:div w:id="363336283">
          <w:marLeft w:val="547"/>
          <w:marRight w:val="0"/>
          <w:marTop w:val="154"/>
          <w:marBottom w:val="0"/>
          <w:divBdr>
            <w:top w:val="none" w:sz="0" w:space="0" w:color="auto"/>
            <w:left w:val="none" w:sz="0" w:space="0" w:color="auto"/>
            <w:bottom w:val="none" w:sz="0" w:space="0" w:color="auto"/>
            <w:right w:val="none" w:sz="0" w:space="0" w:color="auto"/>
          </w:divBdr>
        </w:div>
        <w:div w:id="850414044">
          <w:marLeft w:val="547"/>
          <w:marRight w:val="0"/>
          <w:marTop w:val="154"/>
          <w:marBottom w:val="0"/>
          <w:divBdr>
            <w:top w:val="none" w:sz="0" w:space="0" w:color="auto"/>
            <w:left w:val="none" w:sz="0" w:space="0" w:color="auto"/>
            <w:bottom w:val="none" w:sz="0" w:space="0" w:color="auto"/>
            <w:right w:val="none" w:sz="0" w:space="0" w:color="auto"/>
          </w:divBdr>
        </w:div>
        <w:div w:id="1053895456">
          <w:marLeft w:val="547"/>
          <w:marRight w:val="0"/>
          <w:marTop w:val="154"/>
          <w:marBottom w:val="0"/>
          <w:divBdr>
            <w:top w:val="none" w:sz="0" w:space="0" w:color="auto"/>
            <w:left w:val="none" w:sz="0" w:space="0" w:color="auto"/>
            <w:bottom w:val="none" w:sz="0" w:space="0" w:color="auto"/>
            <w:right w:val="none" w:sz="0" w:space="0" w:color="auto"/>
          </w:divBdr>
        </w:div>
        <w:div w:id="1777823925">
          <w:marLeft w:val="547"/>
          <w:marRight w:val="0"/>
          <w:marTop w:val="154"/>
          <w:marBottom w:val="0"/>
          <w:divBdr>
            <w:top w:val="none" w:sz="0" w:space="0" w:color="auto"/>
            <w:left w:val="none" w:sz="0" w:space="0" w:color="auto"/>
            <w:bottom w:val="none" w:sz="0" w:space="0" w:color="auto"/>
            <w:right w:val="none" w:sz="0" w:space="0" w:color="auto"/>
          </w:divBdr>
        </w:div>
        <w:div w:id="73821336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c.europa.eu/regional_policy/bg/newsroom/news/2015/09/commission-adopts-a-transnational-cooperation-programme-for-the-balkan-mediterranean-area-for-the-first-time" TargetMode="External"/><Relationship Id="rId1" Type="http://schemas.openxmlformats.org/officeDocument/2006/relationships/hyperlink" Target="http://europa.eu/about-eu/basic-information/symbols/europe-day/schuman-declaration/index_b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ACF31-AADB-4DF9-B41D-921796384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 Krystev</dc:creator>
  <cp:lastModifiedBy>Georgi Krystev</cp:lastModifiedBy>
  <cp:revision>2</cp:revision>
  <dcterms:created xsi:type="dcterms:W3CDTF">2016-06-27T05:53:00Z</dcterms:created>
  <dcterms:modified xsi:type="dcterms:W3CDTF">2016-06-27T05:53:00Z</dcterms:modified>
</cp:coreProperties>
</file>