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FF" w:rsidRPr="00A953FF" w:rsidRDefault="00CA7859" w:rsidP="00CA7859">
      <w:pPr>
        <w:spacing w:after="0" w:line="240" w:lineRule="auto"/>
        <w:jc w:val="center"/>
        <w:rPr>
          <w:rFonts w:ascii="Times New Roman" w:eastAsia="Calibri" w:hAnsi="Times New Roman" w:cs="Times New Roman"/>
          <w:b/>
          <w:sz w:val="28"/>
          <w:szCs w:val="28"/>
          <w:lang w:val="bg-BG"/>
        </w:rPr>
      </w:pPr>
      <w:r>
        <w:rPr>
          <w:rFonts w:ascii="Times New Roman" w:eastAsia="Calibri" w:hAnsi="Times New Roman" w:cs="Times New Roman"/>
          <w:b/>
          <w:sz w:val="28"/>
          <w:szCs w:val="28"/>
          <w:lang w:val="bg-BG"/>
        </w:rPr>
        <w:t>ГЕНЕРИР</w:t>
      </w:r>
      <w:r w:rsidR="00D12D38">
        <w:rPr>
          <w:rFonts w:ascii="Times New Roman" w:eastAsia="Calibri" w:hAnsi="Times New Roman" w:cs="Times New Roman"/>
          <w:b/>
          <w:sz w:val="28"/>
          <w:szCs w:val="28"/>
          <w:lang w:val="bg-BG"/>
        </w:rPr>
        <w:t xml:space="preserve">АНЕ НА ФИНАНСОВА СИГУРНОСТ ЧРЕЗ </w:t>
      </w:r>
      <w:r>
        <w:rPr>
          <w:rFonts w:ascii="Times New Roman" w:eastAsia="Calibri" w:hAnsi="Times New Roman" w:cs="Times New Roman"/>
          <w:b/>
          <w:sz w:val="28"/>
          <w:szCs w:val="28"/>
          <w:lang w:val="bg-BG"/>
        </w:rPr>
        <w:t xml:space="preserve">РЕФОРМИРАНЕ НА МЕХАНИЗМИТЕ ЗА ПРЕХВЪРЛЯНЕ НА ПАРИЧНИ СРЕДСТВА В ЕС В КОНТЕКСТА НА МИГРАЦИОННИТЕ ПОТОЦИ </w:t>
      </w:r>
    </w:p>
    <w:p w:rsidR="00A953FF" w:rsidRPr="00A953FF" w:rsidRDefault="00CA7859" w:rsidP="00A953FF">
      <w:pPr>
        <w:spacing w:after="0" w:line="240" w:lineRule="auto"/>
        <w:jc w:val="center"/>
        <w:rPr>
          <w:rFonts w:ascii="Times New Roman" w:eastAsia="Calibri" w:hAnsi="Times New Roman" w:cs="Times New Roman"/>
          <w:b/>
          <w:sz w:val="24"/>
          <w:szCs w:val="24"/>
          <w:lang w:val="bg-BG"/>
        </w:rPr>
      </w:pPr>
      <w:r>
        <w:rPr>
          <w:rFonts w:ascii="Times New Roman" w:eastAsia="Calibri" w:hAnsi="Times New Roman" w:cs="Times New Roman"/>
          <w:b/>
          <w:sz w:val="24"/>
          <w:szCs w:val="24"/>
          <w:lang w:val="bg-BG"/>
        </w:rPr>
        <w:t>Д-р</w:t>
      </w:r>
      <w:r w:rsidR="00A953FF" w:rsidRPr="00A953FF">
        <w:rPr>
          <w:rFonts w:ascii="Times New Roman" w:eastAsia="Calibri" w:hAnsi="Times New Roman" w:cs="Times New Roman"/>
          <w:b/>
          <w:sz w:val="24"/>
          <w:szCs w:val="24"/>
          <w:lang w:val="bg-BG"/>
        </w:rPr>
        <w:t xml:space="preserve"> Гергана Йорданова</w:t>
      </w:r>
    </w:p>
    <w:p w:rsidR="00A953FF" w:rsidRPr="00A953FF" w:rsidRDefault="00A953FF" w:rsidP="00A953FF">
      <w:pPr>
        <w:spacing w:after="0" w:line="240" w:lineRule="auto"/>
        <w:jc w:val="center"/>
        <w:rPr>
          <w:rFonts w:ascii="Times New Roman" w:eastAsia="Calibri" w:hAnsi="Times New Roman" w:cs="Times New Roman"/>
          <w:b/>
          <w:sz w:val="24"/>
          <w:szCs w:val="24"/>
          <w:lang w:val="bg-BG"/>
        </w:rPr>
      </w:pPr>
    </w:p>
    <w:p w:rsidR="00A953FF" w:rsidRPr="00A953FF" w:rsidRDefault="00EA0BDA" w:rsidP="00541542">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GENERATION</w:t>
      </w:r>
      <w:r w:rsidR="00541542">
        <w:rPr>
          <w:rFonts w:ascii="Times New Roman" w:eastAsia="Calibri" w:hAnsi="Times New Roman" w:cs="Times New Roman"/>
          <w:b/>
          <w:sz w:val="28"/>
          <w:szCs w:val="28"/>
        </w:rPr>
        <w:t xml:space="preserve"> OF FINAN</w:t>
      </w:r>
      <w:r>
        <w:rPr>
          <w:rFonts w:ascii="Times New Roman" w:eastAsia="Calibri" w:hAnsi="Times New Roman" w:cs="Times New Roman"/>
          <w:b/>
          <w:sz w:val="28"/>
          <w:szCs w:val="28"/>
        </w:rPr>
        <w:t xml:space="preserve">CIAL SECURITY THROUGH REFORMATION </w:t>
      </w:r>
      <w:r w:rsidR="00541542">
        <w:rPr>
          <w:rFonts w:ascii="Times New Roman" w:eastAsia="Calibri" w:hAnsi="Times New Roman" w:cs="Times New Roman"/>
          <w:b/>
          <w:sz w:val="28"/>
          <w:szCs w:val="28"/>
        </w:rPr>
        <w:t xml:space="preserve">OF </w:t>
      </w:r>
      <w:r w:rsidR="002A4547">
        <w:rPr>
          <w:rFonts w:ascii="Times New Roman" w:eastAsia="Calibri" w:hAnsi="Times New Roman" w:cs="Times New Roman"/>
          <w:b/>
          <w:sz w:val="28"/>
          <w:szCs w:val="28"/>
        </w:rPr>
        <w:t>REMITTANCE SYSTEM</w:t>
      </w:r>
      <w:r w:rsidR="00541542">
        <w:rPr>
          <w:rFonts w:ascii="Times New Roman" w:eastAsia="Calibri" w:hAnsi="Times New Roman" w:cs="Times New Roman"/>
          <w:b/>
          <w:sz w:val="28"/>
          <w:szCs w:val="28"/>
        </w:rPr>
        <w:t xml:space="preserve"> MECHANISMS </w:t>
      </w:r>
      <w:r>
        <w:rPr>
          <w:rFonts w:ascii="Times New Roman" w:eastAsia="Calibri" w:hAnsi="Times New Roman" w:cs="Times New Roman"/>
          <w:b/>
          <w:sz w:val="28"/>
          <w:szCs w:val="28"/>
        </w:rPr>
        <w:br/>
      </w:r>
      <w:r w:rsidR="00541542">
        <w:rPr>
          <w:rFonts w:ascii="Times New Roman" w:eastAsia="Calibri" w:hAnsi="Times New Roman" w:cs="Times New Roman"/>
          <w:b/>
          <w:sz w:val="28"/>
          <w:szCs w:val="28"/>
        </w:rPr>
        <w:t>IN THE EU WIT</w:t>
      </w:r>
      <w:r w:rsidR="00D148FA">
        <w:rPr>
          <w:rFonts w:ascii="Times New Roman" w:eastAsia="Calibri" w:hAnsi="Times New Roman" w:cs="Times New Roman"/>
          <w:b/>
          <w:sz w:val="28"/>
          <w:szCs w:val="28"/>
        </w:rPr>
        <w:t>H</w:t>
      </w:r>
      <w:r w:rsidR="00541542">
        <w:rPr>
          <w:rFonts w:ascii="Times New Roman" w:eastAsia="Calibri" w:hAnsi="Times New Roman" w:cs="Times New Roman"/>
          <w:b/>
          <w:sz w:val="28"/>
          <w:szCs w:val="28"/>
        </w:rPr>
        <w:t xml:space="preserve">IN THE CONTEXT OF MIGRATION FLOWS </w:t>
      </w:r>
    </w:p>
    <w:p w:rsidR="00A953FF" w:rsidRPr="00A953FF" w:rsidRDefault="00FD75A4" w:rsidP="00A953FF">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Dr. Gergana Yordanova, PhD. </w:t>
      </w:r>
    </w:p>
    <w:p w:rsidR="00A953FF" w:rsidRPr="00A953FF" w:rsidRDefault="00A953FF" w:rsidP="00A953FF">
      <w:pPr>
        <w:spacing w:after="0" w:line="360" w:lineRule="auto"/>
        <w:jc w:val="center"/>
        <w:rPr>
          <w:rFonts w:ascii="Times New Roman" w:eastAsia="Calibri" w:hAnsi="Times New Roman" w:cs="Times New Roman"/>
          <w:b/>
          <w:sz w:val="24"/>
          <w:szCs w:val="24"/>
          <w:lang w:val="bg-BG"/>
        </w:rPr>
      </w:pPr>
    </w:p>
    <w:p w:rsidR="00DD6CB8" w:rsidRPr="00DD6CB8" w:rsidRDefault="00A953FF" w:rsidP="00C30208">
      <w:pPr>
        <w:spacing w:after="0" w:line="360" w:lineRule="auto"/>
        <w:ind w:firstLine="720"/>
        <w:jc w:val="both"/>
        <w:rPr>
          <w:rFonts w:ascii="Times New Roman" w:eastAsia="Calibri" w:hAnsi="Times New Roman" w:cs="Times New Roman"/>
          <w:sz w:val="24"/>
          <w:szCs w:val="24"/>
          <w:lang w:val="bg-BG"/>
        </w:rPr>
      </w:pPr>
      <w:r w:rsidRPr="00A953FF">
        <w:rPr>
          <w:rFonts w:ascii="Times New Roman" w:eastAsia="Calibri" w:hAnsi="Times New Roman" w:cs="Times New Roman"/>
          <w:b/>
          <w:bCs/>
          <w:iCs/>
          <w:sz w:val="24"/>
          <w:szCs w:val="24"/>
          <w:lang w:val="bg-BG"/>
        </w:rPr>
        <w:t>Резюме:</w:t>
      </w:r>
      <w:r w:rsidRPr="00A953FF">
        <w:rPr>
          <w:rFonts w:ascii="Times New Roman" w:eastAsia="Calibri" w:hAnsi="Times New Roman" w:cs="Times New Roman"/>
          <w:sz w:val="24"/>
          <w:szCs w:val="24"/>
          <w:lang w:val="bg-BG"/>
        </w:rPr>
        <w:t xml:space="preserve"> </w:t>
      </w:r>
      <w:r w:rsidR="000D2D87">
        <w:rPr>
          <w:rFonts w:ascii="Times New Roman" w:eastAsia="Calibri" w:hAnsi="Times New Roman" w:cs="Times New Roman"/>
          <w:sz w:val="24"/>
          <w:szCs w:val="24"/>
          <w:lang w:val="bg-BG"/>
        </w:rPr>
        <w:t xml:space="preserve">Засилването на миграционните потоци към Европа генерира нови предизвикателства </w:t>
      </w:r>
      <w:r w:rsidR="004016A0">
        <w:rPr>
          <w:rFonts w:ascii="Times New Roman" w:eastAsia="Calibri" w:hAnsi="Times New Roman" w:cs="Times New Roman"/>
          <w:sz w:val="24"/>
          <w:szCs w:val="24"/>
          <w:lang w:val="bg-BG"/>
        </w:rPr>
        <w:t xml:space="preserve">пред финансовата </w:t>
      </w:r>
      <w:r w:rsidR="000D2D87">
        <w:rPr>
          <w:rFonts w:ascii="Times New Roman" w:eastAsia="Calibri" w:hAnsi="Times New Roman" w:cs="Times New Roman"/>
          <w:sz w:val="24"/>
          <w:szCs w:val="24"/>
          <w:lang w:val="bg-BG"/>
        </w:rPr>
        <w:t xml:space="preserve">сигурност на приемащите държави, сред които </w:t>
      </w:r>
      <w:r w:rsidR="004016A0">
        <w:rPr>
          <w:rFonts w:ascii="Times New Roman" w:eastAsia="Calibri" w:hAnsi="Times New Roman" w:cs="Times New Roman"/>
          <w:sz w:val="24"/>
          <w:szCs w:val="24"/>
          <w:lang w:val="bg-BG"/>
        </w:rPr>
        <w:t>са</w:t>
      </w:r>
      <w:r w:rsidR="000D2D87">
        <w:rPr>
          <w:rFonts w:ascii="Times New Roman" w:eastAsia="Calibri" w:hAnsi="Times New Roman" w:cs="Times New Roman"/>
          <w:sz w:val="24"/>
          <w:szCs w:val="24"/>
          <w:lang w:val="bg-BG"/>
        </w:rPr>
        <w:t xml:space="preserve"> нови</w:t>
      </w:r>
      <w:r w:rsidR="004016A0">
        <w:rPr>
          <w:rFonts w:ascii="Times New Roman" w:eastAsia="Calibri" w:hAnsi="Times New Roman" w:cs="Times New Roman"/>
          <w:sz w:val="24"/>
          <w:szCs w:val="24"/>
          <w:lang w:val="bg-BG"/>
        </w:rPr>
        <w:t>те</w:t>
      </w:r>
      <w:r w:rsidR="000D2D87">
        <w:rPr>
          <w:rFonts w:ascii="Times New Roman" w:eastAsia="Calibri" w:hAnsi="Times New Roman" w:cs="Times New Roman"/>
          <w:sz w:val="24"/>
          <w:szCs w:val="24"/>
          <w:lang w:val="bg-BG"/>
        </w:rPr>
        <w:t xml:space="preserve"> тенденции на протичане на транзакциите, касаещи прехвърляне на парични средства. В една част от наблюдаваните случаи се касае за ликвидна подкрепа на бежанците и икономическите емигранти</w:t>
      </w:r>
      <w:r w:rsidRPr="00A953FF">
        <w:rPr>
          <w:rFonts w:ascii="Times New Roman" w:eastAsia="Calibri" w:hAnsi="Times New Roman" w:cs="Times New Roman"/>
          <w:sz w:val="24"/>
          <w:szCs w:val="24"/>
          <w:lang w:val="bg-BG"/>
        </w:rPr>
        <w:t>.</w:t>
      </w:r>
      <w:r w:rsidR="000D2D87">
        <w:rPr>
          <w:rFonts w:ascii="Times New Roman" w:eastAsia="Calibri" w:hAnsi="Times New Roman" w:cs="Times New Roman"/>
          <w:sz w:val="24"/>
          <w:szCs w:val="24"/>
          <w:lang w:val="bg-BG"/>
        </w:rPr>
        <w:t xml:space="preserve"> Но успоредно с тези законни операции протичат и много преводи на парични средства с незаконен произход, които увреждат целостта, стабилността и репутацията на финансовия сектор и застрашават вътрешната сигурност. Това изисква реформи в регулаторните и технически механизми, по които се извършва прехвърлянето на парични средства в Общността с цел предотвратяване застрашаването на вътрешния пазар и международното развитие.</w:t>
      </w:r>
    </w:p>
    <w:p w:rsidR="00D968D2" w:rsidRDefault="00D968D2" w:rsidP="00273853">
      <w:pPr>
        <w:spacing w:after="0" w:line="240" w:lineRule="auto"/>
        <w:jc w:val="both"/>
        <w:rPr>
          <w:rFonts w:ascii="Times New Roman" w:eastAsia="Calibri" w:hAnsi="Times New Roman" w:cs="Times New Roman"/>
          <w:b/>
          <w:sz w:val="24"/>
          <w:szCs w:val="24"/>
          <w:lang w:val="bg-BG"/>
        </w:rPr>
      </w:pPr>
    </w:p>
    <w:p w:rsidR="00A953FF" w:rsidRPr="00A953FF" w:rsidRDefault="00A953FF" w:rsidP="00A70AF4">
      <w:pPr>
        <w:spacing w:after="0" w:line="240" w:lineRule="auto"/>
        <w:ind w:firstLine="720"/>
        <w:jc w:val="both"/>
        <w:rPr>
          <w:rFonts w:ascii="Times New Roman" w:eastAsia="Calibri" w:hAnsi="Times New Roman" w:cs="Times New Roman"/>
          <w:b/>
          <w:bCs/>
          <w:iCs/>
          <w:sz w:val="24"/>
          <w:szCs w:val="24"/>
          <w:lang w:val="bg-BG"/>
        </w:rPr>
      </w:pPr>
      <w:r w:rsidRPr="00A953FF">
        <w:rPr>
          <w:rFonts w:ascii="Times New Roman" w:eastAsia="Calibri" w:hAnsi="Times New Roman" w:cs="Times New Roman"/>
          <w:b/>
          <w:sz w:val="24"/>
          <w:szCs w:val="24"/>
          <w:lang w:val="bg-BG"/>
        </w:rPr>
        <w:t xml:space="preserve">Ключови думи: </w:t>
      </w:r>
      <w:r w:rsidR="000D2D87">
        <w:rPr>
          <w:rFonts w:ascii="Times New Roman" w:eastAsia="Calibri" w:hAnsi="Times New Roman" w:cs="Times New Roman"/>
          <w:sz w:val="24"/>
          <w:szCs w:val="24"/>
          <w:lang w:val="bg-BG"/>
        </w:rPr>
        <w:t>Хау</w:t>
      </w:r>
      <w:r w:rsidRPr="00A953FF">
        <w:rPr>
          <w:rFonts w:ascii="Times New Roman" w:eastAsia="Calibri" w:hAnsi="Times New Roman" w:cs="Times New Roman"/>
          <w:sz w:val="24"/>
          <w:szCs w:val="24"/>
          <w:lang w:val="bg-BG"/>
        </w:rPr>
        <w:t xml:space="preserve">ала, пране на пари, </w:t>
      </w:r>
      <w:r w:rsidR="008B447C">
        <w:rPr>
          <w:rFonts w:ascii="Times New Roman" w:eastAsia="Calibri" w:hAnsi="Times New Roman" w:cs="Times New Roman"/>
          <w:sz w:val="24"/>
          <w:szCs w:val="24"/>
          <w:lang w:val="bg-BG"/>
        </w:rPr>
        <w:t>финансиране на тероризма</w:t>
      </w:r>
    </w:p>
    <w:p w:rsidR="004016A0" w:rsidRPr="00727F70" w:rsidRDefault="004016A0" w:rsidP="00A953FF">
      <w:pPr>
        <w:spacing w:after="0" w:line="360" w:lineRule="auto"/>
        <w:jc w:val="both"/>
        <w:rPr>
          <w:rFonts w:ascii="Times New Roman" w:eastAsia="Calibri" w:hAnsi="Times New Roman" w:cs="Times New Roman"/>
          <w:b/>
          <w:sz w:val="24"/>
          <w:szCs w:val="24"/>
          <w:lang w:val="bg-BG"/>
        </w:rPr>
      </w:pPr>
    </w:p>
    <w:p w:rsidR="0082468B" w:rsidRDefault="00D22DB2" w:rsidP="00A70AF4">
      <w:pPr>
        <w:spacing w:after="0" w:line="360" w:lineRule="auto"/>
        <w:ind w:firstLine="72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Динамичната среда за сигурност в Европа и новите миграционни процеси</w:t>
      </w:r>
      <w:r w:rsidR="00676538">
        <w:rPr>
          <w:rFonts w:ascii="Times New Roman" w:eastAsia="Calibri" w:hAnsi="Times New Roman" w:cs="Times New Roman"/>
          <w:sz w:val="24"/>
          <w:szCs w:val="24"/>
          <w:lang w:val="bg-BG"/>
        </w:rPr>
        <w:t xml:space="preserve"> генерираха нови предизвикателства пред финансовата и икономическа сигурност на държавите-членки. Справянето с тях изисква и адекватни промени</w:t>
      </w:r>
      <w:r w:rsidR="001E55B3">
        <w:rPr>
          <w:rFonts w:ascii="Times New Roman" w:eastAsia="Calibri" w:hAnsi="Times New Roman" w:cs="Times New Roman"/>
          <w:sz w:val="24"/>
          <w:szCs w:val="24"/>
          <w:lang w:val="bg-BG"/>
        </w:rPr>
        <w:t xml:space="preserve"> в нормативната уредба на ЕС в областта на борбата с изпирането на па</w:t>
      </w:r>
      <w:r w:rsidR="00676538">
        <w:rPr>
          <w:rFonts w:ascii="Times New Roman" w:eastAsia="Calibri" w:hAnsi="Times New Roman" w:cs="Times New Roman"/>
          <w:sz w:val="24"/>
          <w:szCs w:val="24"/>
          <w:lang w:val="bg-BG"/>
        </w:rPr>
        <w:t xml:space="preserve">ри и финансирането на тероризма. През 2015 г. </w:t>
      </w:r>
      <w:r w:rsidR="00A409CD">
        <w:rPr>
          <w:rFonts w:ascii="Times New Roman" w:eastAsia="Calibri" w:hAnsi="Times New Roman" w:cs="Times New Roman"/>
          <w:sz w:val="24"/>
          <w:szCs w:val="24"/>
          <w:lang w:val="bg-BG"/>
        </w:rPr>
        <w:t xml:space="preserve">Съветът на ЕС окончателно приключи процеса на реформиране на правната рамка </w:t>
      </w:r>
      <w:r w:rsidR="00CA1113">
        <w:rPr>
          <w:rFonts w:ascii="Times New Roman" w:eastAsia="Calibri" w:hAnsi="Times New Roman" w:cs="Times New Roman"/>
          <w:sz w:val="24"/>
          <w:szCs w:val="24"/>
          <w:lang w:val="bg-BG"/>
        </w:rPr>
        <w:t>чрез приемане на Директивата за предотвратяване използването на финансовата система за целите на изпирането на пари и финансирането на тероризма и Регламента относно информацията, придружаваща паричните преводи.</w:t>
      </w:r>
      <w:r w:rsidR="001001C9">
        <w:rPr>
          <w:rFonts w:ascii="Times New Roman" w:eastAsia="Calibri" w:hAnsi="Times New Roman" w:cs="Times New Roman"/>
          <w:sz w:val="24"/>
          <w:szCs w:val="24"/>
          <w:lang w:val="bg-BG"/>
        </w:rPr>
        <w:t xml:space="preserve"> </w:t>
      </w:r>
    </w:p>
    <w:p w:rsidR="0082468B" w:rsidRDefault="00FA1F42" w:rsidP="00A70AF4">
      <w:pPr>
        <w:spacing w:after="0" w:line="360" w:lineRule="auto"/>
        <w:ind w:firstLine="72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 xml:space="preserve">Новата директива възприема подход, основан в по-голяма степен на анализ на риска, спрямо мерки за борба с изпирането на пари и финансирането на тероризма. Тя засилва изискванията за комплексна проверка на клиента, така че определени категории клиенти и сделки да не са освободени от изискванията за опростена </w:t>
      </w:r>
      <w:proofErr w:type="spellStart"/>
      <w:r>
        <w:rPr>
          <w:rFonts w:ascii="Times New Roman" w:eastAsia="Calibri" w:hAnsi="Times New Roman" w:cs="Times New Roman"/>
          <w:sz w:val="24"/>
          <w:szCs w:val="24"/>
          <w:lang w:val="bg-BG"/>
        </w:rPr>
        <w:t>омплекса</w:t>
      </w:r>
      <w:proofErr w:type="spellEnd"/>
      <w:r>
        <w:rPr>
          <w:rFonts w:ascii="Times New Roman" w:eastAsia="Calibri" w:hAnsi="Times New Roman" w:cs="Times New Roman"/>
          <w:sz w:val="24"/>
          <w:szCs w:val="24"/>
          <w:lang w:val="bg-BG"/>
        </w:rPr>
        <w:t xml:space="preserve"> проверка </w:t>
      </w:r>
      <w:r>
        <w:rPr>
          <w:rFonts w:ascii="Times New Roman" w:eastAsia="Calibri" w:hAnsi="Times New Roman" w:cs="Times New Roman"/>
          <w:sz w:val="24"/>
          <w:szCs w:val="24"/>
          <w:lang w:val="bg-BG"/>
        </w:rPr>
        <w:lastRenderedPageBreak/>
        <w:t xml:space="preserve">на клиента и така че задължените субекти да правят оценка на равнището на риска преди да вземат решение дали да извършат </w:t>
      </w:r>
      <w:proofErr w:type="spellStart"/>
      <w:r>
        <w:rPr>
          <w:rFonts w:ascii="Times New Roman" w:eastAsia="Calibri" w:hAnsi="Times New Roman" w:cs="Times New Roman"/>
          <w:sz w:val="24"/>
          <w:szCs w:val="24"/>
          <w:lang w:val="bg-BG"/>
        </w:rPr>
        <w:t>комплекна</w:t>
      </w:r>
      <w:proofErr w:type="spellEnd"/>
      <w:r>
        <w:rPr>
          <w:rFonts w:ascii="Times New Roman" w:eastAsia="Calibri" w:hAnsi="Times New Roman" w:cs="Times New Roman"/>
          <w:sz w:val="24"/>
          <w:szCs w:val="24"/>
          <w:lang w:val="bg-BG"/>
        </w:rPr>
        <w:t xml:space="preserve"> проверка на клиента</w:t>
      </w:r>
      <w:r w:rsidR="000764DE">
        <w:rPr>
          <w:rFonts w:ascii="Times New Roman" w:eastAsia="Calibri" w:hAnsi="Times New Roman" w:cs="Times New Roman"/>
          <w:sz w:val="24"/>
          <w:szCs w:val="24"/>
          <w:lang w:val="bg-BG"/>
        </w:rPr>
        <w:t xml:space="preserve">. </w:t>
      </w:r>
    </w:p>
    <w:p w:rsidR="003C17F6" w:rsidRDefault="000764DE" w:rsidP="00A70AF4">
      <w:pPr>
        <w:spacing w:after="0" w:line="360" w:lineRule="auto"/>
        <w:ind w:firstLine="72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Новият регламент от своя страна е тясно свързан с постигане на целите на новата директива. Той цели засилване на съществуващите правни задължения, свързани с изпирането на пари и финансирането на тероризма по отношение на паричните преводи и тези за предоставяне на платежни услужи с оглед на разработваните стандарти</w:t>
      </w:r>
      <w:r>
        <w:rPr>
          <w:rStyle w:val="FootnoteReference"/>
          <w:rFonts w:ascii="Times New Roman" w:eastAsia="Calibri" w:hAnsi="Times New Roman" w:cs="Times New Roman"/>
          <w:sz w:val="24"/>
          <w:szCs w:val="24"/>
          <w:lang w:val="bg-BG"/>
        </w:rPr>
        <w:footnoteReference w:id="1"/>
      </w:r>
      <w:r w:rsidR="00F332A2">
        <w:rPr>
          <w:rFonts w:ascii="Times New Roman" w:eastAsia="Calibri" w:hAnsi="Times New Roman" w:cs="Times New Roman"/>
          <w:sz w:val="24"/>
          <w:szCs w:val="24"/>
          <w:lang w:val="bg-BG"/>
        </w:rPr>
        <w:t>, в т. ч. увеличаване проследимостта на плащанията като се изиска от доставчиците на платежни услуги да гарантират, че паричните преводи са придружени от информация също и за получателя на плащането за компетентните органи.</w:t>
      </w:r>
      <w:r w:rsidR="003A1004">
        <w:rPr>
          <w:rFonts w:ascii="Times New Roman" w:eastAsia="Calibri" w:hAnsi="Times New Roman" w:cs="Times New Roman"/>
          <w:sz w:val="24"/>
          <w:szCs w:val="24"/>
          <w:lang w:val="bg-BG"/>
        </w:rPr>
        <w:t xml:space="preserve"> </w:t>
      </w:r>
    </w:p>
    <w:p w:rsidR="003A1004" w:rsidRDefault="003A1004" w:rsidP="00A70AF4">
      <w:pPr>
        <w:spacing w:after="0" w:line="360" w:lineRule="auto"/>
        <w:ind w:firstLine="72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Новите моменти в нормативната уредба на ЕС са инструмент</w:t>
      </w:r>
      <w:r w:rsidR="00392471">
        <w:rPr>
          <w:rFonts w:ascii="Times New Roman" w:eastAsia="Calibri" w:hAnsi="Times New Roman" w:cs="Times New Roman"/>
          <w:sz w:val="24"/>
          <w:szCs w:val="24"/>
          <w:lang w:val="bg-BG"/>
        </w:rPr>
        <w:t xml:space="preserve">, който </w:t>
      </w:r>
      <w:r w:rsidR="00112EFD">
        <w:rPr>
          <w:rFonts w:ascii="Times New Roman" w:eastAsia="Calibri" w:hAnsi="Times New Roman" w:cs="Times New Roman"/>
          <w:sz w:val="24"/>
          <w:szCs w:val="24"/>
          <w:lang w:val="bg-BG"/>
        </w:rPr>
        <w:t xml:space="preserve">следва да </w:t>
      </w:r>
      <w:r w:rsidR="00392471">
        <w:rPr>
          <w:rFonts w:ascii="Times New Roman" w:eastAsia="Calibri" w:hAnsi="Times New Roman" w:cs="Times New Roman"/>
          <w:sz w:val="24"/>
          <w:szCs w:val="24"/>
          <w:lang w:val="bg-BG"/>
        </w:rPr>
        <w:t xml:space="preserve">гарантира, </w:t>
      </w:r>
      <w:r>
        <w:rPr>
          <w:rFonts w:ascii="Times New Roman" w:eastAsia="Calibri" w:hAnsi="Times New Roman" w:cs="Times New Roman"/>
          <w:sz w:val="24"/>
          <w:szCs w:val="24"/>
          <w:lang w:val="bg-BG"/>
        </w:rPr>
        <w:t>че държавите-членки и институциите-резиденти разполагат с ефективни инструменти в борбата с изпирането на пари и финансирането на тероризма и по-специално срещу злоупотребите с финансовата система както от лицата, които изпират пари и финансират тероризма, така и от техните съучастници.</w:t>
      </w:r>
      <w:r w:rsidR="00AB0502">
        <w:rPr>
          <w:rFonts w:ascii="Times New Roman" w:eastAsia="Calibri" w:hAnsi="Times New Roman" w:cs="Times New Roman"/>
          <w:sz w:val="24"/>
          <w:szCs w:val="24"/>
          <w:lang w:val="bg-BG"/>
        </w:rPr>
        <w:t xml:space="preserve"> Тези промени правилно и ефективно търсят решение на набелязаните слабости в последните няколко години и вземат предвид установените заплахи от изпиране на пари и финансиране на тероризма и за финансовата система на ЕС. </w:t>
      </w:r>
      <w:r w:rsidR="00DA4CAC">
        <w:rPr>
          <w:rFonts w:ascii="Times New Roman" w:eastAsia="Calibri" w:hAnsi="Times New Roman" w:cs="Times New Roman"/>
          <w:sz w:val="24"/>
          <w:szCs w:val="24"/>
          <w:lang w:val="bg-BG"/>
        </w:rPr>
        <w:t xml:space="preserve"> </w:t>
      </w:r>
    </w:p>
    <w:p w:rsidR="007A26F8" w:rsidRDefault="00DA4CAC" w:rsidP="00C30208">
      <w:pPr>
        <w:spacing w:after="0" w:line="360" w:lineRule="auto"/>
        <w:ind w:firstLine="720"/>
        <w:jc w:val="both"/>
        <w:rPr>
          <w:rFonts w:ascii="Times New Roman" w:eastAsia="Calibri" w:hAnsi="Times New Roman" w:cs="Times New Roman"/>
          <w:sz w:val="24"/>
          <w:szCs w:val="24"/>
          <w:lang w:val="bg-BG"/>
        </w:rPr>
      </w:pPr>
      <w:r>
        <w:rPr>
          <w:rFonts w:ascii="Times New Roman" w:eastAsia="Calibri" w:hAnsi="Times New Roman" w:cs="Times New Roman"/>
          <w:sz w:val="24"/>
          <w:szCs w:val="24"/>
          <w:lang w:val="bg-BG"/>
        </w:rPr>
        <w:t xml:space="preserve">Развитието на динамичната ситуация с бежанските потоци от Сирия и обвързаните с тях мигрантски вълни от Близкия Изток и Северна Африка обаче показват, че едва 1 г. след приемането на новата регулаторна рамка и </w:t>
      </w:r>
      <w:r w:rsidR="000550DE">
        <w:rPr>
          <w:rFonts w:ascii="Times New Roman" w:eastAsia="Calibri" w:hAnsi="Times New Roman" w:cs="Times New Roman"/>
          <w:sz w:val="24"/>
          <w:szCs w:val="24"/>
          <w:lang w:val="bg-BG"/>
        </w:rPr>
        <w:t xml:space="preserve">1 г. </w:t>
      </w:r>
      <w:r>
        <w:rPr>
          <w:rFonts w:ascii="Times New Roman" w:eastAsia="Calibri" w:hAnsi="Times New Roman" w:cs="Times New Roman"/>
          <w:sz w:val="24"/>
          <w:szCs w:val="24"/>
          <w:lang w:val="bg-BG"/>
        </w:rPr>
        <w:t xml:space="preserve">преди нейното </w:t>
      </w:r>
      <w:r w:rsidR="00392471">
        <w:rPr>
          <w:rFonts w:ascii="Times New Roman" w:eastAsia="Calibri" w:hAnsi="Times New Roman" w:cs="Times New Roman"/>
          <w:sz w:val="24"/>
          <w:szCs w:val="24"/>
          <w:lang w:val="bg-BG"/>
        </w:rPr>
        <w:t xml:space="preserve">ефективно </w:t>
      </w:r>
      <w:r w:rsidR="000550DE">
        <w:rPr>
          <w:rFonts w:ascii="Times New Roman" w:eastAsia="Calibri" w:hAnsi="Times New Roman" w:cs="Times New Roman"/>
          <w:sz w:val="24"/>
          <w:szCs w:val="24"/>
          <w:lang w:val="bg-BG"/>
        </w:rPr>
        <w:t>практическо прилагане</w:t>
      </w:r>
      <w:r w:rsidR="000550DE">
        <w:rPr>
          <w:rStyle w:val="FootnoteReference"/>
          <w:rFonts w:ascii="Times New Roman" w:eastAsia="Calibri" w:hAnsi="Times New Roman" w:cs="Times New Roman"/>
          <w:sz w:val="24"/>
          <w:szCs w:val="24"/>
          <w:lang w:val="bg-BG"/>
        </w:rPr>
        <w:footnoteReference w:id="2"/>
      </w:r>
      <w:r w:rsidR="00401B03">
        <w:rPr>
          <w:rFonts w:ascii="Times New Roman" w:eastAsia="Calibri" w:hAnsi="Times New Roman" w:cs="Times New Roman"/>
          <w:sz w:val="24"/>
          <w:szCs w:val="24"/>
          <w:lang w:val="bg-BG"/>
        </w:rPr>
        <w:t xml:space="preserve"> има вероятност тя да се окаже </w:t>
      </w:r>
      <w:r w:rsidR="00C90FF0">
        <w:rPr>
          <w:rFonts w:ascii="Times New Roman" w:eastAsia="Calibri" w:hAnsi="Times New Roman" w:cs="Times New Roman"/>
          <w:sz w:val="24"/>
          <w:szCs w:val="24"/>
          <w:lang w:val="bg-BG"/>
        </w:rPr>
        <w:t>ирелевантна по отношение на неформални</w:t>
      </w:r>
      <w:r w:rsidR="00DD34FA">
        <w:rPr>
          <w:rFonts w:ascii="Times New Roman" w:eastAsia="Calibri" w:hAnsi="Times New Roman" w:cs="Times New Roman"/>
          <w:sz w:val="24"/>
          <w:szCs w:val="24"/>
          <w:lang w:val="bg-BG"/>
        </w:rPr>
        <w:t>те системи за парични преводи на дребно от типа „Хауала“</w:t>
      </w:r>
      <w:r w:rsidR="00F84EBF">
        <w:rPr>
          <w:rFonts w:ascii="Times New Roman" w:eastAsia="Calibri" w:hAnsi="Times New Roman" w:cs="Times New Roman"/>
          <w:sz w:val="24"/>
          <w:szCs w:val="24"/>
          <w:lang w:val="bg-BG"/>
        </w:rPr>
        <w:t>. П</w:t>
      </w:r>
      <w:r w:rsidR="00DD34FA">
        <w:rPr>
          <w:rFonts w:ascii="Times New Roman" w:eastAsia="Calibri" w:hAnsi="Times New Roman" w:cs="Times New Roman"/>
          <w:sz w:val="24"/>
          <w:szCs w:val="24"/>
          <w:lang w:val="bg-BG"/>
        </w:rPr>
        <w:t xml:space="preserve">оради неприложимостта й </w:t>
      </w:r>
      <w:r w:rsidR="00F84EBF">
        <w:rPr>
          <w:rFonts w:ascii="Times New Roman" w:eastAsia="Calibri" w:hAnsi="Times New Roman" w:cs="Times New Roman"/>
          <w:sz w:val="24"/>
          <w:szCs w:val="24"/>
          <w:lang w:val="bg-BG"/>
        </w:rPr>
        <w:t>в частта, отнасяща се за</w:t>
      </w:r>
      <w:r w:rsidR="00DD34FA">
        <w:rPr>
          <w:rFonts w:ascii="Times New Roman" w:eastAsia="Calibri" w:hAnsi="Times New Roman" w:cs="Times New Roman"/>
          <w:sz w:val="24"/>
          <w:szCs w:val="24"/>
          <w:lang w:val="bg-BG"/>
        </w:rPr>
        <w:t xml:space="preserve"> превод</w:t>
      </w:r>
      <w:r w:rsidR="00401B03">
        <w:rPr>
          <w:rFonts w:ascii="Times New Roman" w:eastAsia="Calibri" w:hAnsi="Times New Roman" w:cs="Times New Roman"/>
          <w:sz w:val="24"/>
          <w:szCs w:val="24"/>
          <w:lang w:val="bg-BG"/>
        </w:rPr>
        <w:t>и</w:t>
      </w:r>
      <w:r w:rsidR="00DD34FA">
        <w:rPr>
          <w:rFonts w:ascii="Times New Roman" w:eastAsia="Calibri" w:hAnsi="Times New Roman" w:cs="Times New Roman"/>
          <w:sz w:val="24"/>
          <w:szCs w:val="24"/>
          <w:lang w:val="bg-BG"/>
        </w:rPr>
        <w:t xml:space="preserve"> на </w:t>
      </w:r>
      <w:r w:rsidR="0074137F">
        <w:rPr>
          <w:rFonts w:ascii="Times New Roman" w:eastAsia="Calibri" w:hAnsi="Times New Roman" w:cs="Times New Roman"/>
          <w:sz w:val="24"/>
          <w:szCs w:val="24"/>
          <w:lang w:val="bg-BG"/>
        </w:rPr>
        <w:t xml:space="preserve">парични </w:t>
      </w:r>
      <w:r w:rsidR="00DD34FA">
        <w:rPr>
          <w:rFonts w:ascii="Times New Roman" w:eastAsia="Calibri" w:hAnsi="Times New Roman" w:cs="Times New Roman"/>
          <w:sz w:val="24"/>
          <w:szCs w:val="24"/>
          <w:lang w:val="bg-BG"/>
        </w:rPr>
        <w:t xml:space="preserve">средства под </w:t>
      </w:r>
      <w:r w:rsidR="00640DF8">
        <w:rPr>
          <w:rFonts w:ascii="Times New Roman" w:eastAsia="Calibri" w:hAnsi="Times New Roman" w:cs="Times New Roman"/>
          <w:sz w:val="24"/>
          <w:szCs w:val="24"/>
          <w:lang w:val="bg-BG"/>
        </w:rPr>
        <w:t>бенчмарков праг</w:t>
      </w:r>
      <w:r w:rsidR="00401B03">
        <w:rPr>
          <w:rFonts w:ascii="Times New Roman" w:eastAsia="Calibri" w:hAnsi="Times New Roman" w:cs="Times New Roman"/>
          <w:sz w:val="24"/>
          <w:szCs w:val="24"/>
          <w:lang w:val="bg-BG"/>
        </w:rPr>
        <w:t xml:space="preserve"> от </w:t>
      </w:r>
      <w:r w:rsidR="00DD34FA">
        <w:rPr>
          <w:rFonts w:ascii="Times New Roman" w:eastAsia="Calibri" w:hAnsi="Times New Roman" w:cs="Times New Roman"/>
          <w:sz w:val="24"/>
          <w:szCs w:val="24"/>
          <w:lang w:val="bg-BG"/>
        </w:rPr>
        <w:t xml:space="preserve">1, 000.00 </w:t>
      </w:r>
      <w:r w:rsidR="00DD34FA">
        <w:rPr>
          <w:rFonts w:ascii="Times New Roman" w:eastAsia="Calibri" w:hAnsi="Times New Roman" w:cs="Times New Roman"/>
          <w:sz w:val="24"/>
          <w:szCs w:val="24"/>
        </w:rPr>
        <w:t>EUR</w:t>
      </w:r>
      <w:r w:rsidR="00DD34FA">
        <w:rPr>
          <w:rStyle w:val="FootnoteReference"/>
          <w:rFonts w:ascii="Times New Roman" w:eastAsia="Calibri" w:hAnsi="Times New Roman" w:cs="Times New Roman"/>
          <w:sz w:val="24"/>
          <w:szCs w:val="24"/>
        </w:rPr>
        <w:footnoteReference w:id="3"/>
      </w:r>
      <w:r w:rsidR="00DD34FA">
        <w:rPr>
          <w:rFonts w:ascii="Times New Roman" w:eastAsia="Calibri" w:hAnsi="Times New Roman" w:cs="Times New Roman"/>
          <w:sz w:val="24"/>
          <w:szCs w:val="24"/>
          <w:lang w:val="bg-BG"/>
        </w:rPr>
        <w:t>!</w:t>
      </w:r>
      <w:r w:rsidR="0074137F">
        <w:rPr>
          <w:rFonts w:ascii="Times New Roman" w:eastAsia="Calibri" w:hAnsi="Times New Roman" w:cs="Times New Roman"/>
          <w:sz w:val="24"/>
          <w:szCs w:val="24"/>
          <w:lang w:val="bg-BG"/>
        </w:rPr>
        <w:t xml:space="preserve"> Последното може да се приеме за заплаха за икономическата и финансова сигурност на ЕС </w:t>
      </w:r>
      <w:r w:rsidR="00F84EBF">
        <w:rPr>
          <w:rFonts w:ascii="Times New Roman" w:eastAsia="Calibri" w:hAnsi="Times New Roman" w:cs="Times New Roman"/>
          <w:sz w:val="24"/>
          <w:szCs w:val="24"/>
          <w:lang w:val="bg-BG"/>
        </w:rPr>
        <w:t xml:space="preserve">тъй като </w:t>
      </w:r>
      <w:r w:rsidR="00267A7F">
        <w:rPr>
          <w:rFonts w:ascii="Times New Roman" w:eastAsia="Calibri" w:hAnsi="Times New Roman" w:cs="Times New Roman"/>
          <w:sz w:val="24"/>
          <w:szCs w:val="24"/>
          <w:lang w:val="bg-BG"/>
        </w:rPr>
        <w:t xml:space="preserve">с изключването си от мониторинговия механизъм </w:t>
      </w:r>
      <w:r w:rsidR="00F84EBF">
        <w:rPr>
          <w:rFonts w:ascii="Times New Roman" w:eastAsia="Calibri" w:hAnsi="Times New Roman" w:cs="Times New Roman"/>
          <w:sz w:val="24"/>
          <w:szCs w:val="24"/>
          <w:lang w:val="bg-BG"/>
        </w:rPr>
        <w:t xml:space="preserve">би могло да </w:t>
      </w:r>
      <w:r w:rsidR="0074137F">
        <w:rPr>
          <w:rFonts w:ascii="Times New Roman" w:eastAsia="Calibri" w:hAnsi="Times New Roman" w:cs="Times New Roman"/>
          <w:sz w:val="24"/>
          <w:szCs w:val="24"/>
          <w:lang w:val="bg-BG"/>
        </w:rPr>
        <w:t xml:space="preserve">навреди на целостта, стабилността и репутацията на финансовия сектор и </w:t>
      </w:r>
      <w:r w:rsidR="00F84EBF">
        <w:rPr>
          <w:rFonts w:ascii="Times New Roman" w:eastAsia="Calibri" w:hAnsi="Times New Roman" w:cs="Times New Roman"/>
          <w:sz w:val="24"/>
          <w:szCs w:val="24"/>
          <w:lang w:val="bg-BG"/>
        </w:rPr>
        <w:t xml:space="preserve">да </w:t>
      </w:r>
      <w:r w:rsidR="0074137F">
        <w:rPr>
          <w:rFonts w:ascii="Times New Roman" w:eastAsia="Calibri" w:hAnsi="Times New Roman" w:cs="Times New Roman"/>
          <w:sz w:val="24"/>
          <w:szCs w:val="24"/>
          <w:lang w:val="bg-BG"/>
        </w:rPr>
        <w:t>застраши вътрешния пазар и международното развитие</w:t>
      </w:r>
      <w:r w:rsidR="00780597">
        <w:rPr>
          <w:rFonts w:ascii="Times New Roman" w:eastAsia="Calibri" w:hAnsi="Times New Roman" w:cs="Times New Roman"/>
          <w:sz w:val="24"/>
          <w:szCs w:val="24"/>
          <w:lang w:val="bg-BG"/>
        </w:rPr>
        <w:t>.</w:t>
      </w:r>
    </w:p>
    <w:p w:rsidR="00A43B28" w:rsidRDefault="00887C90" w:rsidP="009C3741">
      <w:pPr>
        <w:spacing w:after="0" w:line="360" w:lineRule="auto"/>
        <w:ind w:firstLine="720"/>
        <w:jc w:val="both"/>
        <w:rPr>
          <w:rFonts w:ascii="Times New Roman" w:eastAsia="Calibri" w:hAnsi="Times New Roman" w:cs="Times New Roman"/>
          <w:b/>
          <w:sz w:val="24"/>
          <w:szCs w:val="24"/>
          <w:lang w:val="bg-BG"/>
        </w:rPr>
      </w:pPr>
      <w:r w:rsidRPr="00887C90">
        <w:rPr>
          <w:rFonts w:ascii="Times New Roman" w:eastAsia="Calibri" w:hAnsi="Times New Roman" w:cs="Times New Roman"/>
          <w:b/>
          <w:sz w:val="24"/>
          <w:szCs w:val="28"/>
          <w:lang w:val="bg-BG"/>
        </w:rPr>
        <w:lastRenderedPageBreak/>
        <w:t>РЕФОРМИРАНЕ НА МЕХАНИЗМИТЕ ЗА ПРЕХВЪРЛЯНЕ НА ПАРИЧНИ СРЕДСТВА В ЕС</w:t>
      </w:r>
      <w:r w:rsidR="00A43B28" w:rsidRPr="00887C90">
        <w:rPr>
          <w:rFonts w:ascii="Times New Roman" w:eastAsia="Calibri" w:hAnsi="Times New Roman" w:cs="Times New Roman"/>
          <w:b/>
          <w:szCs w:val="24"/>
          <w:lang w:val="bg-BG"/>
        </w:rPr>
        <w:t xml:space="preserve"> </w:t>
      </w:r>
      <w:r>
        <w:rPr>
          <w:rFonts w:ascii="Times New Roman" w:eastAsia="Calibri" w:hAnsi="Times New Roman" w:cs="Times New Roman"/>
          <w:b/>
          <w:sz w:val="24"/>
          <w:szCs w:val="24"/>
          <w:lang w:val="bg-BG"/>
        </w:rPr>
        <w:t xml:space="preserve">ПОСРЕДСТВОМ ПРОМЯНА В ПРАВНАТА УРЕДБА. </w:t>
      </w:r>
      <w:r w:rsidR="00A43B28">
        <w:rPr>
          <w:rFonts w:ascii="Times New Roman" w:eastAsia="Calibri" w:hAnsi="Times New Roman" w:cs="Times New Roman"/>
          <w:b/>
          <w:sz w:val="24"/>
          <w:szCs w:val="24"/>
          <w:lang w:val="bg-BG"/>
        </w:rPr>
        <w:t>ВРЪЗКА С МИГРАЦИОННИТЕ ПОТОЦИ</w:t>
      </w:r>
    </w:p>
    <w:p w:rsidR="00A43B28" w:rsidRDefault="00A43B28" w:rsidP="00A43B28">
      <w:pPr>
        <w:pStyle w:val="ListParagraph"/>
        <w:numPr>
          <w:ilvl w:val="0"/>
          <w:numId w:val="9"/>
        </w:numPr>
        <w:spacing w:after="0" w:line="360" w:lineRule="auto"/>
        <w:jc w:val="both"/>
        <w:rPr>
          <w:rFonts w:ascii="Times New Roman" w:eastAsia="Calibri" w:hAnsi="Times New Roman" w:cs="Times New Roman"/>
          <w:b/>
          <w:sz w:val="24"/>
          <w:szCs w:val="24"/>
          <w:lang w:val="bg-BG"/>
        </w:rPr>
      </w:pPr>
      <w:r w:rsidRPr="00A43B28">
        <w:rPr>
          <w:rFonts w:ascii="Times New Roman" w:eastAsia="Calibri" w:hAnsi="Times New Roman" w:cs="Times New Roman"/>
          <w:b/>
          <w:sz w:val="24"/>
          <w:szCs w:val="24"/>
          <w:lang w:val="bg-BG"/>
        </w:rPr>
        <w:t>Директива (ЕС) 2015/849  за предотвратяване използването на финансовата система за целите на изпирането на пари и финансирането на тероризма</w:t>
      </w:r>
    </w:p>
    <w:p w:rsidR="00BB07C2" w:rsidRPr="008F63D7" w:rsidRDefault="00BB07C2" w:rsidP="00ED6FDD">
      <w:pPr>
        <w:pStyle w:val="ListParagraph"/>
        <w:numPr>
          <w:ilvl w:val="0"/>
          <w:numId w:val="10"/>
        </w:numPr>
        <w:spacing w:after="0" w:line="360" w:lineRule="auto"/>
        <w:jc w:val="both"/>
        <w:rPr>
          <w:rFonts w:ascii="Times New Roman" w:eastAsia="Calibri" w:hAnsi="Times New Roman" w:cs="Times New Roman"/>
          <w:b/>
          <w:sz w:val="24"/>
          <w:szCs w:val="24"/>
          <w:lang w:val="bg-BG"/>
        </w:rPr>
      </w:pPr>
      <w:r w:rsidRPr="008F63D7">
        <w:rPr>
          <w:rFonts w:ascii="Times New Roman" w:eastAsia="Calibri" w:hAnsi="Times New Roman" w:cs="Times New Roman"/>
          <w:b/>
          <w:sz w:val="24"/>
          <w:szCs w:val="24"/>
          <w:lang w:val="bg-BG"/>
        </w:rPr>
        <w:t>Оценка на риска</w:t>
      </w:r>
      <w:r w:rsidR="00963871">
        <w:rPr>
          <w:rFonts w:ascii="Times New Roman" w:eastAsia="Calibri" w:hAnsi="Times New Roman" w:cs="Times New Roman"/>
          <w:sz w:val="24"/>
          <w:szCs w:val="24"/>
        </w:rPr>
        <w:t xml:space="preserve"> – </w:t>
      </w:r>
      <w:r w:rsidR="00963871">
        <w:rPr>
          <w:rFonts w:ascii="Times New Roman" w:eastAsia="Calibri" w:hAnsi="Times New Roman" w:cs="Times New Roman"/>
          <w:sz w:val="24"/>
          <w:szCs w:val="24"/>
          <w:lang w:val="bg-BG"/>
        </w:rPr>
        <w:t xml:space="preserve">Сред новите моменти в </w:t>
      </w:r>
      <w:r w:rsidR="005951B4" w:rsidRPr="005951B4">
        <w:rPr>
          <w:rFonts w:ascii="Times New Roman" w:eastAsia="Calibri" w:hAnsi="Times New Roman" w:cs="Times New Roman"/>
          <w:i/>
          <w:sz w:val="24"/>
          <w:szCs w:val="24"/>
        </w:rPr>
        <w:t>EU acquis communautaire</w:t>
      </w:r>
      <w:r w:rsidR="005951B4">
        <w:rPr>
          <w:rFonts w:ascii="Times New Roman" w:eastAsia="Calibri" w:hAnsi="Times New Roman" w:cs="Times New Roman"/>
          <w:sz w:val="24"/>
          <w:szCs w:val="24"/>
        </w:rPr>
        <w:t xml:space="preserve"> e </w:t>
      </w:r>
      <w:r w:rsidR="005951B4">
        <w:rPr>
          <w:rFonts w:ascii="Times New Roman" w:eastAsia="Calibri" w:hAnsi="Times New Roman" w:cs="Times New Roman"/>
          <w:sz w:val="24"/>
          <w:szCs w:val="24"/>
          <w:lang w:val="bg-BG"/>
        </w:rPr>
        <w:t xml:space="preserve">въвеждане на изискването за </w:t>
      </w:r>
      <w:r w:rsidR="00E42C31">
        <w:rPr>
          <w:rFonts w:ascii="Times New Roman" w:eastAsia="Calibri" w:hAnsi="Times New Roman" w:cs="Times New Roman"/>
          <w:sz w:val="24"/>
          <w:szCs w:val="24"/>
          <w:lang w:val="bg-BG"/>
        </w:rPr>
        <w:t>разписване</w:t>
      </w:r>
      <w:r w:rsidR="005A3D37">
        <w:rPr>
          <w:rFonts w:ascii="Times New Roman" w:eastAsia="Calibri" w:hAnsi="Times New Roman" w:cs="Times New Roman"/>
          <w:sz w:val="24"/>
          <w:szCs w:val="24"/>
          <w:lang w:val="bg-BG"/>
        </w:rPr>
        <w:t xml:space="preserve"> на доклад</w:t>
      </w:r>
      <w:r w:rsidR="004A6F99">
        <w:rPr>
          <w:rStyle w:val="FootnoteReference"/>
          <w:rFonts w:ascii="Times New Roman" w:eastAsia="Calibri" w:hAnsi="Times New Roman" w:cs="Times New Roman"/>
          <w:sz w:val="24"/>
          <w:szCs w:val="24"/>
          <w:lang w:val="bg-BG"/>
        </w:rPr>
        <w:footnoteReference w:id="4"/>
      </w:r>
      <w:r w:rsidR="005A3D37">
        <w:rPr>
          <w:rFonts w:ascii="Times New Roman" w:eastAsia="Calibri" w:hAnsi="Times New Roman" w:cs="Times New Roman"/>
          <w:sz w:val="24"/>
          <w:szCs w:val="24"/>
          <w:lang w:val="bg-BG"/>
        </w:rPr>
        <w:t xml:space="preserve"> за установяване, анализ и оценка на рисковете, свързани с изпирането на пари и финансирането на тероризма, които оказват въздействие върху вътрешния пазар и се отнасят до презгранични дейности. Докладът ще вкл</w:t>
      </w:r>
      <w:r w:rsidR="00E42C31">
        <w:rPr>
          <w:rFonts w:ascii="Times New Roman" w:eastAsia="Calibri" w:hAnsi="Times New Roman" w:cs="Times New Roman"/>
          <w:sz w:val="24"/>
          <w:szCs w:val="24"/>
          <w:lang w:val="bg-BG"/>
        </w:rPr>
        <w:t xml:space="preserve">ючва </w:t>
      </w:r>
      <w:r w:rsidR="005A3D37">
        <w:rPr>
          <w:rFonts w:ascii="Times New Roman" w:eastAsia="Calibri" w:hAnsi="Times New Roman" w:cs="Times New Roman"/>
          <w:sz w:val="24"/>
          <w:szCs w:val="24"/>
          <w:lang w:val="bg-BG"/>
        </w:rPr>
        <w:t>областите от вътрешния пазар, които са изложени на най-голям риск</w:t>
      </w:r>
      <w:r w:rsidR="00B1499A">
        <w:rPr>
          <w:rFonts w:ascii="Times New Roman" w:eastAsia="Calibri" w:hAnsi="Times New Roman" w:cs="Times New Roman"/>
          <w:sz w:val="24"/>
          <w:szCs w:val="24"/>
          <w:lang w:val="bg-BG"/>
        </w:rPr>
        <w:t xml:space="preserve"> по отношение на изпирането на пари и финансирането на тероризма</w:t>
      </w:r>
      <w:r w:rsidR="005A3D37">
        <w:rPr>
          <w:rFonts w:ascii="Times New Roman" w:eastAsia="Calibri" w:hAnsi="Times New Roman" w:cs="Times New Roman"/>
          <w:sz w:val="24"/>
          <w:szCs w:val="24"/>
          <w:lang w:val="bg-BG"/>
        </w:rPr>
        <w:t>; рисковете, свързани с всеки съответен сектор</w:t>
      </w:r>
      <w:r w:rsidR="00B1499A">
        <w:rPr>
          <w:rStyle w:val="FootnoteReference"/>
          <w:rFonts w:ascii="Times New Roman" w:eastAsia="Calibri" w:hAnsi="Times New Roman" w:cs="Times New Roman"/>
          <w:sz w:val="24"/>
          <w:szCs w:val="24"/>
          <w:lang w:val="bg-BG"/>
        </w:rPr>
        <w:footnoteReference w:id="5"/>
      </w:r>
      <w:r w:rsidR="005A3D37">
        <w:rPr>
          <w:rFonts w:ascii="Times New Roman" w:eastAsia="Calibri" w:hAnsi="Times New Roman" w:cs="Times New Roman"/>
          <w:sz w:val="24"/>
          <w:szCs w:val="24"/>
          <w:lang w:val="bg-BG"/>
        </w:rPr>
        <w:t xml:space="preserve">, както и списък на най-широко разпространените средства, използвани от престъпниците за изпиране на незаконни приходи. </w:t>
      </w:r>
      <w:r w:rsidR="00754053">
        <w:rPr>
          <w:rFonts w:ascii="Times New Roman" w:eastAsia="Calibri" w:hAnsi="Times New Roman" w:cs="Times New Roman"/>
          <w:sz w:val="24"/>
          <w:szCs w:val="24"/>
          <w:lang w:val="bg-BG"/>
        </w:rPr>
        <w:t>Именно в този доклад, в частта, отнасяща се до най-често използваните средства за изпиране на незаконни приходи следва да бъдат изрично добавени и различните сетълмент механизми за прехвърляне на парични средства от типа „Хауала“ независимо от размера на трансферираните средства посредством тях</w:t>
      </w:r>
      <w:r w:rsidR="00A60FCD">
        <w:rPr>
          <w:rStyle w:val="FootnoteReference"/>
          <w:rFonts w:ascii="Times New Roman" w:eastAsia="Calibri" w:hAnsi="Times New Roman" w:cs="Times New Roman"/>
          <w:sz w:val="24"/>
          <w:szCs w:val="24"/>
          <w:lang w:val="bg-BG"/>
        </w:rPr>
        <w:footnoteReference w:id="6"/>
      </w:r>
      <w:r w:rsidR="00754053">
        <w:rPr>
          <w:rFonts w:ascii="Times New Roman" w:eastAsia="Calibri" w:hAnsi="Times New Roman" w:cs="Times New Roman"/>
          <w:sz w:val="24"/>
          <w:szCs w:val="24"/>
          <w:lang w:val="bg-BG"/>
        </w:rPr>
        <w:t>.</w:t>
      </w:r>
      <w:r w:rsidR="00C17F31">
        <w:rPr>
          <w:rFonts w:ascii="Times New Roman" w:eastAsia="Calibri" w:hAnsi="Times New Roman" w:cs="Times New Roman"/>
          <w:sz w:val="24"/>
          <w:szCs w:val="24"/>
          <w:lang w:val="bg-BG"/>
        </w:rPr>
        <w:t xml:space="preserve"> По този начин ще се проследят финансовите потоци, генерирани от миграционната вълна от Близкия Изток и Северна Африка и превантивно ще се пресекат евентуални </w:t>
      </w:r>
      <w:r w:rsidR="001E106B">
        <w:rPr>
          <w:rFonts w:ascii="Times New Roman" w:eastAsia="Calibri" w:hAnsi="Times New Roman" w:cs="Times New Roman"/>
          <w:sz w:val="24"/>
          <w:szCs w:val="24"/>
          <w:lang w:val="bg-BG"/>
        </w:rPr>
        <w:t>схеми за изпиране на пари и финансирането на тероризма посредством неформалната система за парични преводи „Хауала“.</w:t>
      </w:r>
    </w:p>
    <w:p w:rsidR="00BB07C2" w:rsidRPr="008F63D7" w:rsidRDefault="00BB07C2" w:rsidP="00BB07C2">
      <w:pPr>
        <w:pStyle w:val="ListParagraph"/>
        <w:numPr>
          <w:ilvl w:val="0"/>
          <w:numId w:val="10"/>
        </w:numPr>
        <w:spacing w:after="0" w:line="360" w:lineRule="auto"/>
        <w:jc w:val="both"/>
        <w:rPr>
          <w:rFonts w:ascii="Times New Roman" w:eastAsia="Calibri" w:hAnsi="Times New Roman" w:cs="Times New Roman"/>
          <w:b/>
          <w:sz w:val="24"/>
          <w:szCs w:val="24"/>
          <w:lang w:val="bg-BG"/>
        </w:rPr>
      </w:pPr>
      <w:r w:rsidRPr="008F63D7">
        <w:rPr>
          <w:rFonts w:ascii="Times New Roman" w:eastAsia="Calibri" w:hAnsi="Times New Roman" w:cs="Times New Roman"/>
          <w:b/>
          <w:sz w:val="24"/>
          <w:szCs w:val="24"/>
          <w:lang w:val="bg-BG"/>
        </w:rPr>
        <w:t>Комплексна проверка на клиента</w:t>
      </w:r>
      <w:r w:rsidR="00F53FAB">
        <w:rPr>
          <w:rFonts w:ascii="Times New Roman" w:eastAsia="Calibri" w:hAnsi="Times New Roman" w:cs="Times New Roman"/>
          <w:sz w:val="24"/>
          <w:szCs w:val="24"/>
          <w:lang w:val="bg-BG"/>
        </w:rPr>
        <w:t xml:space="preserve"> – С новата директива</w:t>
      </w:r>
      <w:r w:rsidR="003B5492">
        <w:rPr>
          <w:rFonts w:ascii="Times New Roman" w:eastAsia="Calibri" w:hAnsi="Times New Roman" w:cs="Times New Roman"/>
          <w:sz w:val="24"/>
          <w:szCs w:val="24"/>
          <w:lang w:val="bg-BG"/>
        </w:rPr>
        <w:t xml:space="preserve"> постепенно се върви към елиминирането на банковата, финансовата и кредитна тайна като се въвежда изричната забрана за поддържане на анонимни сметки и банкови книжки за клиенти на финансови и кредитни институции</w:t>
      </w:r>
      <w:r w:rsidR="003B5492">
        <w:rPr>
          <w:rStyle w:val="FootnoteReference"/>
          <w:rFonts w:ascii="Times New Roman" w:eastAsia="Calibri" w:hAnsi="Times New Roman" w:cs="Times New Roman"/>
          <w:sz w:val="24"/>
          <w:szCs w:val="24"/>
          <w:lang w:val="bg-BG"/>
        </w:rPr>
        <w:footnoteReference w:id="7"/>
      </w:r>
      <w:r w:rsidR="001E4EA0">
        <w:rPr>
          <w:rFonts w:ascii="Times New Roman" w:eastAsia="Calibri" w:hAnsi="Times New Roman" w:cs="Times New Roman"/>
          <w:sz w:val="24"/>
          <w:szCs w:val="24"/>
          <w:lang w:val="bg-BG"/>
        </w:rPr>
        <w:t xml:space="preserve">. </w:t>
      </w:r>
      <w:r w:rsidR="00B138A7">
        <w:rPr>
          <w:rFonts w:ascii="Times New Roman" w:eastAsia="Calibri" w:hAnsi="Times New Roman" w:cs="Times New Roman"/>
          <w:sz w:val="24"/>
          <w:szCs w:val="24"/>
          <w:lang w:val="bg-BG"/>
        </w:rPr>
        <w:t xml:space="preserve">Това изисква извършването на комплексна проверка на клиента </w:t>
      </w:r>
      <w:r w:rsidR="002417D6">
        <w:rPr>
          <w:rFonts w:ascii="Times New Roman" w:eastAsia="Calibri" w:hAnsi="Times New Roman" w:cs="Times New Roman"/>
          <w:sz w:val="24"/>
          <w:szCs w:val="24"/>
          <w:lang w:val="bg-BG"/>
        </w:rPr>
        <w:t xml:space="preserve">(в два варианта: опростена и разширена проверка) </w:t>
      </w:r>
      <w:r w:rsidR="00B138A7">
        <w:rPr>
          <w:rFonts w:ascii="Times New Roman" w:eastAsia="Calibri" w:hAnsi="Times New Roman" w:cs="Times New Roman"/>
          <w:sz w:val="24"/>
          <w:szCs w:val="24"/>
          <w:lang w:val="bg-BG"/>
        </w:rPr>
        <w:t>в следните направления</w:t>
      </w:r>
      <w:r w:rsidR="00B138A7">
        <w:rPr>
          <w:rStyle w:val="FootnoteReference"/>
          <w:rFonts w:ascii="Times New Roman" w:eastAsia="Calibri" w:hAnsi="Times New Roman" w:cs="Times New Roman"/>
          <w:sz w:val="24"/>
          <w:szCs w:val="24"/>
          <w:lang w:val="bg-BG"/>
        </w:rPr>
        <w:footnoteReference w:id="8"/>
      </w:r>
      <w:r w:rsidR="00B138A7">
        <w:rPr>
          <w:rFonts w:ascii="Times New Roman" w:eastAsia="Calibri" w:hAnsi="Times New Roman" w:cs="Times New Roman"/>
          <w:sz w:val="24"/>
          <w:szCs w:val="24"/>
          <w:lang w:val="bg-BG"/>
        </w:rPr>
        <w:t>:</w:t>
      </w:r>
      <w:r w:rsidR="003B54C8">
        <w:rPr>
          <w:rFonts w:ascii="Times New Roman" w:eastAsia="Calibri" w:hAnsi="Times New Roman" w:cs="Times New Roman"/>
          <w:sz w:val="24"/>
          <w:szCs w:val="24"/>
          <w:lang w:val="bg-BG"/>
        </w:rPr>
        <w:t xml:space="preserve"> идентифициране на клиента и проверка на </w:t>
      </w:r>
      <w:r w:rsidR="003B54C8">
        <w:rPr>
          <w:rFonts w:ascii="Times New Roman" w:eastAsia="Calibri" w:hAnsi="Times New Roman" w:cs="Times New Roman"/>
          <w:sz w:val="24"/>
          <w:szCs w:val="24"/>
          <w:lang w:val="bg-BG"/>
        </w:rPr>
        <w:lastRenderedPageBreak/>
        <w:t>неговата идентификация документално и въз основа на данни или информация, получени от надежден и независим източник; идентифициране на действителния собственик и вземане на подходящи мерки за проверка на самоличността му</w:t>
      </w:r>
      <w:r w:rsidR="001028E0">
        <w:rPr>
          <w:rFonts w:ascii="Times New Roman" w:eastAsia="Calibri" w:hAnsi="Times New Roman" w:cs="Times New Roman"/>
          <w:sz w:val="24"/>
          <w:szCs w:val="24"/>
          <w:lang w:val="bg-BG"/>
        </w:rPr>
        <w:t xml:space="preserve">; оценяване и когато е приложимо получаване на информация за целта и планираното естествено на деловите взаимоотношения, както и осъществяване на постоянно наблюдение върху деловите взаимоотношения, вкл. внимателно проучване на сделките, предприети по време на целия период на тези взаимоотношения, за да се гарантира, че осъществяваните </w:t>
      </w:r>
      <w:r w:rsidR="00845F1A">
        <w:rPr>
          <w:rFonts w:ascii="Times New Roman" w:eastAsia="Calibri" w:hAnsi="Times New Roman" w:cs="Times New Roman"/>
          <w:sz w:val="24"/>
          <w:szCs w:val="24"/>
          <w:lang w:val="bg-BG"/>
        </w:rPr>
        <w:t xml:space="preserve">сделки са в съответствие с информацията, известна за задължения субект. </w:t>
      </w:r>
      <w:r w:rsidR="001D576E">
        <w:rPr>
          <w:rFonts w:ascii="Times New Roman" w:eastAsia="Calibri" w:hAnsi="Times New Roman" w:cs="Times New Roman"/>
          <w:sz w:val="24"/>
          <w:szCs w:val="24"/>
          <w:lang w:val="bg-BG"/>
        </w:rPr>
        <w:t xml:space="preserve">Посредством комплексната проверка на клиента ще може да се идентифицира самоличността на мигрантите и бежанците в Европа и </w:t>
      </w:r>
      <w:r w:rsidR="00342976" w:rsidRPr="00342976">
        <w:rPr>
          <w:rFonts w:ascii="Times New Roman" w:eastAsia="Calibri" w:hAnsi="Times New Roman" w:cs="Times New Roman"/>
          <w:i/>
          <w:sz w:val="24"/>
          <w:szCs w:val="24"/>
        </w:rPr>
        <w:t>a priori</w:t>
      </w:r>
      <w:r w:rsidR="00342976">
        <w:rPr>
          <w:rFonts w:ascii="Times New Roman" w:eastAsia="Calibri" w:hAnsi="Times New Roman" w:cs="Times New Roman"/>
          <w:sz w:val="24"/>
          <w:szCs w:val="24"/>
        </w:rPr>
        <w:t xml:space="preserve"> </w:t>
      </w:r>
      <w:r w:rsidR="001D576E">
        <w:rPr>
          <w:rFonts w:ascii="Times New Roman" w:eastAsia="Calibri" w:hAnsi="Times New Roman" w:cs="Times New Roman"/>
          <w:sz w:val="24"/>
          <w:szCs w:val="24"/>
          <w:lang w:val="bg-BG"/>
        </w:rPr>
        <w:t xml:space="preserve">да се </w:t>
      </w:r>
      <w:r w:rsidR="004724EC">
        <w:rPr>
          <w:rFonts w:ascii="Times New Roman" w:eastAsia="Calibri" w:hAnsi="Times New Roman" w:cs="Times New Roman"/>
          <w:sz w:val="24"/>
          <w:szCs w:val="24"/>
          <w:lang w:val="bg-BG"/>
        </w:rPr>
        <w:t>открият лица от престъпния контингент, както и такива, срещу които има повдигнати обвинения или са обосновани предположения за извършване на терористична и радикална дейност, както и за дейности, свързани с изпирането на пари и финансирането на тероризма.</w:t>
      </w:r>
    </w:p>
    <w:p w:rsidR="00BB07C2" w:rsidRPr="008F63D7" w:rsidRDefault="00BB07C2" w:rsidP="00BB07C2">
      <w:pPr>
        <w:pStyle w:val="ListParagraph"/>
        <w:numPr>
          <w:ilvl w:val="0"/>
          <w:numId w:val="10"/>
        </w:numPr>
        <w:spacing w:after="0" w:line="360" w:lineRule="auto"/>
        <w:jc w:val="both"/>
        <w:rPr>
          <w:rFonts w:ascii="Times New Roman" w:eastAsia="Calibri" w:hAnsi="Times New Roman" w:cs="Times New Roman"/>
          <w:b/>
          <w:sz w:val="24"/>
          <w:szCs w:val="24"/>
          <w:lang w:val="bg-BG"/>
        </w:rPr>
      </w:pPr>
      <w:r w:rsidRPr="008F63D7">
        <w:rPr>
          <w:rFonts w:ascii="Times New Roman" w:eastAsia="Calibri" w:hAnsi="Times New Roman" w:cs="Times New Roman"/>
          <w:b/>
          <w:sz w:val="24"/>
          <w:szCs w:val="24"/>
          <w:lang w:val="bg-BG"/>
        </w:rPr>
        <w:t>Информация относно действителните собственици</w:t>
      </w:r>
      <w:r w:rsidR="003A5EE8" w:rsidRPr="003A5EE8">
        <w:rPr>
          <w:rFonts w:ascii="Times New Roman" w:eastAsia="Calibri" w:hAnsi="Times New Roman" w:cs="Times New Roman"/>
          <w:sz w:val="24"/>
          <w:szCs w:val="24"/>
          <w:lang w:val="bg-BG"/>
        </w:rPr>
        <w:t xml:space="preserve"> </w:t>
      </w:r>
      <w:r w:rsidR="003A5EE8">
        <w:rPr>
          <w:rFonts w:ascii="Times New Roman" w:eastAsia="Calibri" w:hAnsi="Times New Roman" w:cs="Times New Roman"/>
          <w:sz w:val="24"/>
          <w:szCs w:val="24"/>
          <w:lang w:val="bg-BG"/>
        </w:rPr>
        <w:t xml:space="preserve">- Комплексната проверка на клиента </w:t>
      </w:r>
      <w:r w:rsidR="00342976">
        <w:rPr>
          <w:rFonts w:ascii="Times New Roman" w:eastAsia="Calibri" w:hAnsi="Times New Roman" w:cs="Times New Roman"/>
          <w:sz w:val="24"/>
          <w:szCs w:val="24"/>
        </w:rPr>
        <w:t xml:space="preserve">e </w:t>
      </w:r>
      <w:r w:rsidR="00342976">
        <w:rPr>
          <w:rFonts w:ascii="Times New Roman" w:eastAsia="Calibri" w:hAnsi="Times New Roman" w:cs="Times New Roman"/>
          <w:sz w:val="24"/>
          <w:szCs w:val="24"/>
          <w:lang w:val="bg-BG"/>
        </w:rPr>
        <w:t>пряко свързана и с новия момент при идентификация на действителните собственици на корпоративните и други правни образувания с търговски характер</w:t>
      </w:r>
      <w:r w:rsidR="00765A54">
        <w:rPr>
          <w:rFonts w:ascii="Times New Roman" w:eastAsia="Calibri" w:hAnsi="Times New Roman" w:cs="Times New Roman"/>
          <w:sz w:val="24"/>
          <w:szCs w:val="24"/>
          <w:lang w:val="bg-BG"/>
        </w:rPr>
        <w:t>. На практика това ще се постигне</w:t>
      </w:r>
      <w:r w:rsidR="003A5EE8">
        <w:rPr>
          <w:rFonts w:ascii="Times New Roman" w:eastAsia="Calibri" w:hAnsi="Times New Roman" w:cs="Times New Roman"/>
          <w:sz w:val="24"/>
          <w:szCs w:val="24"/>
          <w:lang w:val="bg-BG"/>
        </w:rPr>
        <w:t xml:space="preserve"> </w:t>
      </w:r>
      <w:r w:rsidR="00C10C1C">
        <w:rPr>
          <w:rFonts w:ascii="Times New Roman" w:eastAsia="Calibri" w:hAnsi="Times New Roman" w:cs="Times New Roman"/>
          <w:sz w:val="24"/>
          <w:szCs w:val="24"/>
          <w:lang w:val="bg-BG"/>
        </w:rPr>
        <w:t>посредством въвеждането</w:t>
      </w:r>
      <w:r w:rsidR="003A5EE8">
        <w:rPr>
          <w:rFonts w:ascii="Times New Roman" w:eastAsia="Calibri" w:hAnsi="Times New Roman" w:cs="Times New Roman"/>
          <w:sz w:val="24"/>
          <w:szCs w:val="24"/>
          <w:lang w:val="bg-BG"/>
        </w:rPr>
        <w:t xml:space="preserve"> на </w:t>
      </w:r>
      <w:r w:rsidR="004E7928">
        <w:rPr>
          <w:rFonts w:ascii="Times New Roman" w:eastAsia="Calibri" w:hAnsi="Times New Roman" w:cs="Times New Roman"/>
          <w:sz w:val="24"/>
          <w:szCs w:val="24"/>
          <w:lang w:val="bg-BG"/>
        </w:rPr>
        <w:t xml:space="preserve">централен </w:t>
      </w:r>
      <w:r w:rsidR="003A5EE8">
        <w:rPr>
          <w:rFonts w:ascii="Times New Roman" w:eastAsia="Calibri" w:hAnsi="Times New Roman" w:cs="Times New Roman"/>
          <w:sz w:val="24"/>
          <w:szCs w:val="24"/>
          <w:lang w:val="bg-BG"/>
        </w:rPr>
        <w:t>Регистър на действителните собственици</w:t>
      </w:r>
      <w:r w:rsidR="004E7928">
        <w:rPr>
          <w:rStyle w:val="FootnoteReference"/>
          <w:rFonts w:ascii="Times New Roman" w:eastAsia="Calibri" w:hAnsi="Times New Roman" w:cs="Times New Roman"/>
          <w:sz w:val="24"/>
          <w:szCs w:val="24"/>
          <w:lang w:val="bg-BG"/>
        </w:rPr>
        <w:footnoteReference w:id="9"/>
      </w:r>
      <w:r w:rsidR="00D57D29">
        <w:rPr>
          <w:rFonts w:ascii="Times New Roman" w:eastAsia="Calibri" w:hAnsi="Times New Roman" w:cs="Times New Roman"/>
          <w:sz w:val="24"/>
          <w:szCs w:val="24"/>
          <w:lang w:val="bg-BG"/>
        </w:rPr>
        <w:t>. Информацията в Регистъра ще даде възможност на финансово-разузнавателните органи да придобият по-ясна представа за мащабите на</w:t>
      </w:r>
      <w:r w:rsidR="004907A5">
        <w:rPr>
          <w:rFonts w:ascii="Times New Roman" w:eastAsia="Calibri" w:hAnsi="Times New Roman" w:cs="Times New Roman"/>
          <w:sz w:val="24"/>
          <w:szCs w:val="24"/>
          <w:lang w:val="bg-BG"/>
        </w:rPr>
        <w:t xml:space="preserve"> редица неизсветлени бизнес дейности до момента като напр. ислямските финанси, офшорното банкиране, трансферирането на крупни финансови средства до зони, класифицирани като „данъчен рай“</w:t>
      </w:r>
      <w:r w:rsidR="00E81CFE">
        <w:rPr>
          <w:rFonts w:ascii="Times New Roman" w:eastAsia="Calibri" w:hAnsi="Times New Roman" w:cs="Times New Roman"/>
          <w:sz w:val="24"/>
          <w:szCs w:val="24"/>
          <w:lang w:val="bg-BG"/>
        </w:rPr>
        <w:t>, както и</w:t>
      </w:r>
      <w:r w:rsidR="003B4A45">
        <w:rPr>
          <w:rFonts w:ascii="Times New Roman" w:eastAsia="Calibri" w:hAnsi="Times New Roman" w:cs="Times New Roman"/>
          <w:sz w:val="24"/>
          <w:szCs w:val="24"/>
          <w:lang w:val="bg-BG"/>
        </w:rPr>
        <w:t xml:space="preserve"> политическата корупция, непотизма,</w:t>
      </w:r>
      <w:r w:rsidR="00E81CFE">
        <w:rPr>
          <w:rFonts w:ascii="Times New Roman" w:eastAsia="Calibri" w:hAnsi="Times New Roman" w:cs="Times New Roman"/>
          <w:sz w:val="24"/>
          <w:szCs w:val="24"/>
          <w:lang w:val="bg-BG"/>
        </w:rPr>
        <w:t xml:space="preserve"> търговията с влияние и деловите взаимоотношения на видните политическ</w:t>
      </w:r>
      <w:r w:rsidR="003B4A45">
        <w:rPr>
          <w:rFonts w:ascii="Times New Roman" w:eastAsia="Calibri" w:hAnsi="Times New Roman" w:cs="Times New Roman"/>
          <w:sz w:val="24"/>
          <w:szCs w:val="24"/>
          <w:lang w:val="bg-BG"/>
        </w:rPr>
        <w:t>и личности,</w:t>
      </w:r>
      <w:r w:rsidR="00E81CFE">
        <w:rPr>
          <w:rFonts w:ascii="Times New Roman" w:eastAsia="Calibri" w:hAnsi="Times New Roman" w:cs="Times New Roman"/>
          <w:sz w:val="24"/>
          <w:szCs w:val="24"/>
          <w:lang w:val="bg-BG"/>
        </w:rPr>
        <w:t xml:space="preserve"> членовете на техните семейства</w:t>
      </w:r>
      <w:r w:rsidR="003B4A45">
        <w:rPr>
          <w:rFonts w:ascii="Times New Roman" w:eastAsia="Calibri" w:hAnsi="Times New Roman" w:cs="Times New Roman"/>
          <w:sz w:val="24"/>
          <w:szCs w:val="24"/>
          <w:lang w:val="bg-BG"/>
        </w:rPr>
        <w:t xml:space="preserve"> и лицата, известни като близки техни сътрудници. Сред голяма част от посочените бизнес дейности има латентни </w:t>
      </w:r>
      <w:r w:rsidR="00571F3C">
        <w:rPr>
          <w:rFonts w:ascii="Times New Roman" w:eastAsia="Calibri" w:hAnsi="Times New Roman" w:cs="Times New Roman"/>
          <w:sz w:val="24"/>
          <w:szCs w:val="24"/>
          <w:lang w:val="bg-BG"/>
        </w:rPr>
        <w:t>операции, свързани с изпирането на пари и финансирането на тероризма и радикалната дейност.</w:t>
      </w:r>
    </w:p>
    <w:p w:rsidR="00A43B28" w:rsidRDefault="00A43B28" w:rsidP="00A43B28">
      <w:pPr>
        <w:pStyle w:val="ListParagraph"/>
        <w:numPr>
          <w:ilvl w:val="0"/>
          <w:numId w:val="9"/>
        </w:numPr>
        <w:spacing w:after="0" w:line="360" w:lineRule="auto"/>
        <w:jc w:val="both"/>
        <w:rPr>
          <w:rFonts w:ascii="Times New Roman" w:eastAsia="Calibri" w:hAnsi="Times New Roman" w:cs="Times New Roman"/>
          <w:b/>
          <w:sz w:val="24"/>
          <w:szCs w:val="24"/>
          <w:lang w:val="bg-BG"/>
        </w:rPr>
      </w:pPr>
      <w:r w:rsidRPr="00A43B28">
        <w:rPr>
          <w:rFonts w:ascii="Times New Roman" w:eastAsia="Calibri" w:hAnsi="Times New Roman" w:cs="Times New Roman"/>
          <w:b/>
          <w:sz w:val="24"/>
          <w:szCs w:val="24"/>
          <w:lang w:val="bg-BG"/>
        </w:rPr>
        <w:t>Регламент (ЕС) 2015/847 относно информацията, придружаваща преводите на средства</w:t>
      </w:r>
    </w:p>
    <w:p w:rsidR="005F0F8C" w:rsidRPr="00E219E5" w:rsidRDefault="00BA5D69" w:rsidP="005F0F8C">
      <w:pPr>
        <w:pStyle w:val="ListParagraph"/>
        <w:numPr>
          <w:ilvl w:val="0"/>
          <w:numId w:val="11"/>
        </w:numPr>
        <w:spacing w:after="0" w:line="360" w:lineRule="auto"/>
        <w:jc w:val="both"/>
        <w:rPr>
          <w:rFonts w:ascii="Times New Roman" w:eastAsia="Calibri" w:hAnsi="Times New Roman" w:cs="Times New Roman"/>
          <w:b/>
          <w:sz w:val="24"/>
          <w:szCs w:val="24"/>
          <w:lang w:val="bg-BG"/>
        </w:rPr>
      </w:pPr>
      <w:r>
        <w:rPr>
          <w:rFonts w:ascii="Times New Roman" w:eastAsia="Calibri" w:hAnsi="Times New Roman" w:cs="Times New Roman"/>
          <w:b/>
          <w:sz w:val="24"/>
          <w:szCs w:val="24"/>
          <w:lang w:val="bg-BG"/>
        </w:rPr>
        <w:lastRenderedPageBreak/>
        <w:t>Задължения на доставчика на платежни услуги относно информацията, придружаваща преводите на средства</w:t>
      </w:r>
      <w:r w:rsidR="000C6001">
        <w:rPr>
          <w:rFonts w:ascii="Times New Roman" w:eastAsia="Calibri" w:hAnsi="Times New Roman" w:cs="Times New Roman"/>
          <w:b/>
          <w:sz w:val="24"/>
          <w:szCs w:val="24"/>
          <w:lang w:val="bg-BG"/>
        </w:rPr>
        <w:t xml:space="preserve"> </w:t>
      </w:r>
      <w:r w:rsidR="000C6001">
        <w:rPr>
          <w:rFonts w:ascii="Times New Roman" w:eastAsia="Calibri" w:hAnsi="Times New Roman" w:cs="Times New Roman"/>
          <w:sz w:val="24"/>
          <w:szCs w:val="24"/>
          <w:lang w:val="bg-BG"/>
        </w:rPr>
        <w:t>– Новия Регламент изисква от доставчика</w:t>
      </w:r>
      <w:r w:rsidR="00CF5F24">
        <w:rPr>
          <w:rStyle w:val="FootnoteReference"/>
          <w:rFonts w:ascii="Times New Roman" w:eastAsia="Calibri" w:hAnsi="Times New Roman" w:cs="Times New Roman"/>
          <w:sz w:val="24"/>
          <w:szCs w:val="24"/>
          <w:lang w:val="bg-BG"/>
        </w:rPr>
        <w:footnoteReference w:id="10"/>
      </w:r>
      <w:r w:rsidR="0009674B">
        <w:rPr>
          <w:rFonts w:ascii="Times New Roman" w:eastAsia="Calibri" w:hAnsi="Times New Roman" w:cs="Times New Roman"/>
          <w:sz w:val="24"/>
          <w:szCs w:val="24"/>
          <w:lang w:val="bg-BG"/>
        </w:rPr>
        <w:t xml:space="preserve"> </w:t>
      </w:r>
      <w:r w:rsidR="000C6001">
        <w:rPr>
          <w:rFonts w:ascii="Times New Roman" w:eastAsia="Calibri" w:hAnsi="Times New Roman" w:cs="Times New Roman"/>
          <w:sz w:val="24"/>
          <w:szCs w:val="24"/>
          <w:lang w:val="bg-BG"/>
        </w:rPr>
        <w:t xml:space="preserve">преводите на средства </w:t>
      </w:r>
      <w:r w:rsidR="0009674B">
        <w:rPr>
          <w:rFonts w:ascii="Times New Roman" w:eastAsia="Calibri" w:hAnsi="Times New Roman" w:cs="Times New Roman"/>
          <w:sz w:val="24"/>
          <w:szCs w:val="24"/>
          <w:lang w:val="bg-BG"/>
        </w:rPr>
        <w:t xml:space="preserve">да </w:t>
      </w:r>
      <w:r w:rsidR="000C6001">
        <w:rPr>
          <w:rFonts w:ascii="Times New Roman" w:eastAsia="Calibri" w:hAnsi="Times New Roman" w:cs="Times New Roman"/>
          <w:sz w:val="24"/>
          <w:szCs w:val="24"/>
          <w:lang w:val="bg-BG"/>
        </w:rPr>
        <w:t>се придружават от необходимата информация относно платеца</w:t>
      </w:r>
      <w:r w:rsidR="00053268">
        <w:rPr>
          <w:rFonts w:ascii="Times New Roman" w:eastAsia="Calibri" w:hAnsi="Times New Roman" w:cs="Times New Roman"/>
          <w:sz w:val="24"/>
          <w:szCs w:val="24"/>
          <w:lang w:val="bg-BG"/>
        </w:rPr>
        <w:t xml:space="preserve"> и получателя</w:t>
      </w:r>
      <w:r w:rsidR="000C6001">
        <w:rPr>
          <w:rFonts w:ascii="Times New Roman" w:eastAsia="Calibri" w:hAnsi="Times New Roman" w:cs="Times New Roman"/>
          <w:sz w:val="24"/>
          <w:szCs w:val="24"/>
          <w:lang w:val="bg-BG"/>
        </w:rPr>
        <w:t xml:space="preserve">: име, </w:t>
      </w:r>
      <w:r w:rsidR="00053268">
        <w:rPr>
          <w:rFonts w:ascii="Times New Roman" w:eastAsia="Calibri" w:hAnsi="Times New Roman" w:cs="Times New Roman"/>
          <w:sz w:val="24"/>
          <w:szCs w:val="24"/>
          <w:lang w:val="bg-BG"/>
        </w:rPr>
        <w:t xml:space="preserve">адрес и </w:t>
      </w:r>
      <w:r w:rsidR="000C6001">
        <w:rPr>
          <w:rFonts w:ascii="Times New Roman" w:eastAsia="Calibri" w:hAnsi="Times New Roman" w:cs="Times New Roman"/>
          <w:sz w:val="24"/>
          <w:szCs w:val="24"/>
          <w:lang w:val="bg-BG"/>
        </w:rPr>
        <w:t>номер</w:t>
      </w:r>
      <w:r w:rsidR="00053268">
        <w:rPr>
          <w:rFonts w:ascii="Times New Roman" w:eastAsia="Calibri" w:hAnsi="Times New Roman" w:cs="Times New Roman"/>
          <w:sz w:val="24"/>
          <w:szCs w:val="24"/>
          <w:lang w:val="bg-BG"/>
        </w:rPr>
        <w:t xml:space="preserve"> на платежна сметка, номер на документ за самоличност, клиентски идентификационен номер или датата и мястото на раждането му (за платеца</w:t>
      </w:r>
      <w:r w:rsidR="00CF5F24">
        <w:rPr>
          <w:rStyle w:val="FootnoteReference"/>
          <w:rFonts w:ascii="Times New Roman" w:eastAsia="Calibri" w:hAnsi="Times New Roman" w:cs="Times New Roman"/>
          <w:sz w:val="24"/>
          <w:szCs w:val="24"/>
          <w:lang w:val="bg-BG"/>
        </w:rPr>
        <w:footnoteReference w:id="11"/>
      </w:r>
      <w:r w:rsidR="00053268">
        <w:rPr>
          <w:rFonts w:ascii="Times New Roman" w:eastAsia="Calibri" w:hAnsi="Times New Roman" w:cs="Times New Roman"/>
          <w:sz w:val="24"/>
          <w:szCs w:val="24"/>
          <w:lang w:val="bg-BG"/>
        </w:rPr>
        <w:t>) и името и номер на платежната сметка (за получателя</w:t>
      </w:r>
      <w:r w:rsidR="00CF5F24">
        <w:rPr>
          <w:rStyle w:val="FootnoteReference"/>
          <w:rFonts w:ascii="Times New Roman" w:eastAsia="Calibri" w:hAnsi="Times New Roman" w:cs="Times New Roman"/>
          <w:sz w:val="24"/>
          <w:szCs w:val="24"/>
          <w:lang w:val="bg-BG"/>
        </w:rPr>
        <w:footnoteReference w:id="12"/>
      </w:r>
      <w:r w:rsidR="00053268">
        <w:rPr>
          <w:rFonts w:ascii="Times New Roman" w:eastAsia="Calibri" w:hAnsi="Times New Roman" w:cs="Times New Roman"/>
          <w:sz w:val="24"/>
          <w:szCs w:val="24"/>
          <w:lang w:val="bg-BG"/>
        </w:rPr>
        <w:t>).</w:t>
      </w:r>
      <w:r w:rsidR="00582C32">
        <w:rPr>
          <w:rFonts w:ascii="Times New Roman" w:eastAsia="Calibri" w:hAnsi="Times New Roman" w:cs="Times New Roman"/>
          <w:sz w:val="24"/>
          <w:szCs w:val="24"/>
          <w:lang w:val="bg-BG"/>
        </w:rPr>
        <w:t xml:space="preserve"> Изхождайки от </w:t>
      </w:r>
      <w:r w:rsidR="00582C32" w:rsidRPr="00582C32">
        <w:rPr>
          <w:rFonts w:ascii="Times New Roman" w:eastAsia="Calibri" w:hAnsi="Times New Roman" w:cs="Times New Roman"/>
          <w:i/>
          <w:sz w:val="24"/>
          <w:szCs w:val="24"/>
        </w:rPr>
        <w:t>modus operandi</w:t>
      </w:r>
      <w:r w:rsidR="00582C32">
        <w:rPr>
          <w:rFonts w:ascii="Times New Roman" w:eastAsia="Calibri" w:hAnsi="Times New Roman" w:cs="Times New Roman"/>
          <w:sz w:val="24"/>
          <w:szCs w:val="24"/>
          <w:lang w:val="bg-BG"/>
        </w:rPr>
        <w:t xml:space="preserve"> на системата „Хауала“</w:t>
      </w:r>
      <w:r w:rsidR="00564F18">
        <w:rPr>
          <w:rFonts w:ascii="Times New Roman" w:eastAsia="Calibri" w:hAnsi="Times New Roman" w:cs="Times New Roman"/>
          <w:sz w:val="24"/>
          <w:szCs w:val="24"/>
          <w:lang w:val="bg-BG"/>
        </w:rPr>
        <w:t>,</w:t>
      </w:r>
      <w:r w:rsidR="00582C32">
        <w:rPr>
          <w:rFonts w:ascii="Times New Roman" w:eastAsia="Calibri" w:hAnsi="Times New Roman" w:cs="Times New Roman"/>
          <w:sz w:val="24"/>
          <w:szCs w:val="24"/>
          <w:lang w:val="bg-BG"/>
        </w:rPr>
        <w:t xml:space="preserve"> следва да </w:t>
      </w:r>
      <w:r w:rsidR="00564F18">
        <w:rPr>
          <w:rFonts w:ascii="Times New Roman" w:eastAsia="Calibri" w:hAnsi="Times New Roman" w:cs="Times New Roman"/>
          <w:sz w:val="24"/>
          <w:szCs w:val="24"/>
          <w:lang w:val="bg-BG"/>
        </w:rPr>
        <w:t xml:space="preserve">се има предвид, че тези изисквания за информационно обезпечаване на превода на средствата очевидно не биха могли да бъдат приложени спрямо прехвърлянето на средства със сетълмент от типа на „Хауала“ механизмите, тъй като водещо начало при тях е </w:t>
      </w:r>
      <w:r w:rsidR="00E52DB3">
        <w:rPr>
          <w:rFonts w:ascii="Times New Roman" w:eastAsia="Calibri" w:hAnsi="Times New Roman" w:cs="Times New Roman"/>
          <w:sz w:val="24"/>
          <w:szCs w:val="24"/>
          <w:lang w:val="bg-BG"/>
        </w:rPr>
        <w:t xml:space="preserve">запазване </w:t>
      </w:r>
      <w:r w:rsidR="00BA693A">
        <w:rPr>
          <w:rFonts w:ascii="Times New Roman" w:eastAsia="Calibri" w:hAnsi="Times New Roman" w:cs="Times New Roman"/>
          <w:sz w:val="24"/>
          <w:szCs w:val="24"/>
          <w:lang w:val="bg-BG"/>
        </w:rPr>
        <w:t xml:space="preserve">анонимността </w:t>
      </w:r>
      <w:r w:rsidR="00564F18">
        <w:rPr>
          <w:rFonts w:ascii="Times New Roman" w:eastAsia="Calibri" w:hAnsi="Times New Roman" w:cs="Times New Roman"/>
          <w:sz w:val="24"/>
          <w:szCs w:val="24"/>
          <w:lang w:val="bg-BG"/>
        </w:rPr>
        <w:t xml:space="preserve">на страни по транзакцията </w:t>
      </w:r>
      <w:r w:rsidR="00564F18">
        <w:rPr>
          <w:rFonts w:ascii="Times New Roman" w:eastAsia="Calibri" w:hAnsi="Times New Roman" w:cs="Times New Roman"/>
          <w:sz w:val="24"/>
          <w:szCs w:val="24"/>
          <w:lang w:val="bg-BG"/>
        </w:rPr>
        <w:t xml:space="preserve">и </w:t>
      </w:r>
      <w:r w:rsidR="00E52DB3">
        <w:rPr>
          <w:rFonts w:ascii="Times New Roman" w:eastAsia="Calibri" w:hAnsi="Times New Roman" w:cs="Times New Roman"/>
          <w:sz w:val="24"/>
          <w:szCs w:val="24"/>
          <w:lang w:val="bg-BG"/>
        </w:rPr>
        <w:t>отсъствието на каквито и да било сч</w:t>
      </w:r>
      <w:r w:rsidR="00BA693A">
        <w:rPr>
          <w:rFonts w:ascii="Times New Roman" w:eastAsia="Calibri" w:hAnsi="Times New Roman" w:cs="Times New Roman"/>
          <w:sz w:val="24"/>
          <w:szCs w:val="24"/>
          <w:lang w:val="bg-BG"/>
        </w:rPr>
        <w:t>етоводни документи за извършената операция</w:t>
      </w:r>
      <w:r w:rsidR="00E52DB3">
        <w:rPr>
          <w:rFonts w:ascii="Times New Roman" w:eastAsia="Calibri" w:hAnsi="Times New Roman" w:cs="Times New Roman"/>
          <w:sz w:val="24"/>
          <w:szCs w:val="24"/>
          <w:lang w:val="bg-BG"/>
        </w:rPr>
        <w:t>. П</w:t>
      </w:r>
      <w:r w:rsidR="00564F18">
        <w:rPr>
          <w:rFonts w:ascii="Times New Roman" w:eastAsia="Calibri" w:hAnsi="Times New Roman" w:cs="Times New Roman"/>
          <w:sz w:val="24"/>
          <w:szCs w:val="24"/>
          <w:lang w:val="bg-BG"/>
        </w:rPr>
        <w:t>о аргумент на чл. 5, параграф 2, буква „б“,</w:t>
      </w:r>
      <w:r w:rsidR="00E52DB3">
        <w:rPr>
          <w:rFonts w:ascii="Times New Roman" w:eastAsia="Calibri" w:hAnsi="Times New Roman" w:cs="Times New Roman"/>
          <w:sz w:val="24"/>
          <w:szCs w:val="24"/>
          <w:lang w:val="bg-BG"/>
        </w:rPr>
        <w:t xml:space="preserve"> за преводи на средства под 1, 000.00 </w:t>
      </w:r>
      <w:r w:rsidR="00E52DB3">
        <w:rPr>
          <w:rFonts w:ascii="Times New Roman" w:eastAsia="Calibri" w:hAnsi="Times New Roman" w:cs="Times New Roman"/>
          <w:sz w:val="24"/>
          <w:szCs w:val="24"/>
        </w:rPr>
        <w:t>EUR</w:t>
      </w:r>
      <w:r w:rsidR="00F141F8">
        <w:rPr>
          <w:rFonts w:ascii="Times New Roman" w:eastAsia="Calibri" w:hAnsi="Times New Roman" w:cs="Times New Roman"/>
          <w:sz w:val="24"/>
          <w:szCs w:val="24"/>
          <w:lang w:val="bg-BG"/>
        </w:rPr>
        <w:t xml:space="preserve"> и за които няма данни да са свързани с други преводи на средства, които заедно с въпросния превод надхвърлят сумата от 1, 000.00 </w:t>
      </w:r>
      <w:r w:rsidR="00F141F8">
        <w:rPr>
          <w:rFonts w:ascii="Times New Roman" w:eastAsia="Calibri" w:hAnsi="Times New Roman" w:cs="Times New Roman"/>
          <w:sz w:val="24"/>
          <w:szCs w:val="24"/>
        </w:rPr>
        <w:t>EUR</w:t>
      </w:r>
      <w:r w:rsidR="00F141F8">
        <w:rPr>
          <w:rFonts w:ascii="Times New Roman" w:eastAsia="Calibri" w:hAnsi="Times New Roman" w:cs="Times New Roman"/>
          <w:sz w:val="24"/>
          <w:szCs w:val="24"/>
          <w:lang w:val="bg-BG"/>
        </w:rPr>
        <w:t xml:space="preserve">, </w:t>
      </w:r>
      <w:r w:rsidR="00855E72">
        <w:rPr>
          <w:rFonts w:ascii="Times New Roman" w:eastAsia="Calibri" w:hAnsi="Times New Roman" w:cs="Times New Roman"/>
          <w:sz w:val="24"/>
          <w:szCs w:val="24"/>
          <w:lang w:val="bg-BG"/>
        </w:rPr>
        <w:t>без значение дали преводът е в рамките на ЕС или извън него, доставчикът на платежни услуги на платеца и получателя предостави само имената на контрагентите по сделката и номерата на платежните им сметки</w:t>
      </w:r>
      <w:r w:rsidR="00CF5F24">
        <w:rPr>
          <w:rStyle w:val="FootnoteReference"/>
          <w:rFonts w:ascii="Times New Roman" w:eastAsia="Calibri" w:hAnsi="Times New Roman" w:cs="Times New Roman"/>
          <w:sz w:val="24"/>
          <w:szCs w:val="24"/>
          <w:lang w:val="bg-BG"/>
        </w:rPr>
        <w:footnoteReference w:id="13"/>
      </w:r>
      <w:r w:rsidR="00855E72">
        <w:rPr>
          <w:rFonts w:ascii="Times New Roman" w:eastAsia="Calibri" w:hAnsi="Times New Roman" w:cs="Times New Roman"/>
          <w:sz w:val="24"/>
          <w:szCs w:val="24"/>
          <w:lang w:val="bg-BG"/>
        </w:rPr>
        <w:t xml:space="preserve"> или уникалния идентификатор на транзакцията</w:t>
      </w:r>
      <w:r w:rsidR="00CF5F24">
        <w:rPr>
          <w:rStyle w:val="FootnoteReference"/>
          <w:rFonts w:ascii="Times New Roman" w:eastAsia="Calibri" w:hAnsi="Times New Roman" w:cs="Times New Roman"/>
          <w:sz w:val="24"/>
          <w:szCs w:val="24"/>
          <w:lang w:val="bg-BG"/>
        </w:rPr>
        <w:footnoteReference w:id="14"/>
      </w:r>
      <w:r w:rsidR="00855E72">
        <w:rPr>
          <w:rFonts w:ascii="Times New Roman" w:eastAsia="Calibri" w:hAnsi="Times New Roman" w:cs="Times New Roman"/>
          <w:sz w:val="24"/>
          <w:szCs w:val="24"/>
          <w:lang w:val="bg-BG"/>
        </w:rPr>
        <w:t xml:space="preserve"> (в случаите, когато се прилага чл. 4, параграф 3</w:t>
      </w:r>
      <w:r w:rsidR="00B71B03">
        <w:rPr>
          <w:rFonts w:ascii="Times New Roman" w:eastAsia="Calibri" w:hAnsi="Times New Roman" w:cs="Times New Roman"/>
          <w:sz w:val="24"/>
          <w:szCs w:val="24"/>
          <w:lang w:val="bg-BG"/>
        </w:rPr>
        <w:t xml:space="preserve"> от Регламента). Изнесеното обстоятелство показва, че прехвърлянето на средства със сетълмент от типа „Хауала“</w:t>
      </w:r>
      <w:r w:rsidR="00AC1470">
        <w:rPr>
          <w:rFonts w:ascii="Times New Roman" w:eastAsia="Calibri" w:hAnsi="Times New Roman" w:cs="Times New Roman"/>
          <w:sz w:val="24"/>
          <w:szCs w:val="24"/>
          <w:lang w:val="bg-BG"/>
        </w:rPr>
        <w:t xml:space="preserve"> ще остане извън обхвата на новия Регламент </w:t>
      </w:r>
      <w:r w:rsidR="00F21F23">
        <w:rPr>
          <w:rFonts w:ascii="Times New Roman" w:eastAsia="Calibri" w:hAnsi="Times New Roman" w:cs="Times New Roman"/>
          <w:sz w:val="24"/>
          <w:szCs w:val="24"/>
          <w:lang w:val="bg-BG"/>
        </w:rPr>
        <w:t>и в случай че националните компетентни органи не въведат свои критерии и механизми за наблюдение на транзакциите по Източен образец, същите ще продължават да бъдат нелегални от гледна точка на законодателството в ЕС, но същевременно бърз и удобен н</w:t>
      </w:r>
      <w:r w:rsidR="00E219E5">
        <w:rPr>
          <w:rFonts w:ascii="Times New Roman" w:eastAsia="Calibri" w:hAnsi="Times New Roman" w:cs="Times New Roman"/>
          <w:sz w:val="24"/>
          <w:szCs w:val="24"/>
          <w:lang w:val="bg-BG"/>
        </w:rPr>
        <w:t>ачин за прехвърляне на средства, чийто произход е незаконен и генерира редица наказателни състави във връзка с изпирането на пари и финансирането на тероризма и радикална дейност</w:t>
      </w:r>
      <w:r w:rsidR="00895CF9">
        <w:rPr>
          <w:rFonts w:ascii="Times New Roman" w:eastAsia="Calibri" w:hAnsi="Times New Roman" w:cs="Times New Roman"/>
          <w:sz w:val="24"/>
          <w:szCs w:val="24"/>
          <w:lang w:val="bg-BG"/>
        </w:rPr>
        <w:t xml:space="preserve">. Това означава да се прави постоянна оценка </w:t>
      </w:r>
      <w:r w:rsidR="000F0D1F">
        <w:rPr>
          <w:rFonts w:ascii="Times New Roman" w:eastAsia="Calibri" w:hAnsi="Times New Roman" w:cs="Times New Roman"/>
          <w:sz w:val="24"/>
          <w:szCs w:val="24"/>
          <w:lang w:val="bg-BG"/>
        </w:rPr>
        <w:t>и анализ на риска</w:t>
      </w:r>
      <w:r w:rsidR="00267C78">
        <w:rPr>
          <w:rFonts w:ascii="Times New Roman" w:eastAsia="Calibri" w:hAnsi="Times New Roman" w:cs="Times New Roman"/>
          <w:sz w:val="24"/>
          <w:szCs w:val="24"/>
          <w:lang w:val="bg-BG"/>
        </w:rPr>
        <w:t xml:space="preserve"> по о</w:t>
      </w:r>
      <w:r w:rsidR="00A03DB6">
        <w:rPr>
          <w:rFonts w:ascii="Times New Roman" w:eastAsia="Calibri" w:hAnsi="Times New Roman" w:cs="Times New Roman"/>
          <w:sz w:val="24"/>
          <w:szCs w:val="24"/>
          <w:lang w:val="bg-BG"/>
        </w:rPr>
        <w:t>тношение на изпирането на пари,</w:t>
      </w:r>
      <w:r w:rsidR="00267C78">
        <w:rPr>
          <w:rFonts w:ascii="Times New Roman" w:eastAsia="Calibri" w:hAnsi="Times New Roman" w:cs="Times New Roman"/>
          <w:sz w:val="24"/>
          <w:szCs w:val="24"/>
          <w:lang w:val="bg-BG"/>
        </w:rPr>
        <w:t xml:space="preserve"> финансирането на тероризма</w:t>
      </w:r>
      <w:r w:rsidR="00A03DB6">
        <w:rPr>
          <w:rFonts w:ascii="Times New Roman" w:eastAsia="Calibri" w:hAnsi="Times New Roman" w:cs="Times New Roman"/>
          <w:sz w:val="24"/>
          <w:szCs w:val="24"/>
          <w:lang w:val="bg-BG"/>
        </w:rPr>
        <w:t xml:space="preserve"> и радикална дейност и пролиферацията</w:t>
      </w:r>
      <w:r w:rsidR="000F0D1F">
        <w:rPr>
          <w:rFonts w:ascii="Times New Roman" w:eastAsia="Calibri" w:hAnsi="Times New Roman" w:cs="Times New Roman"/>
          <w:sz w:val="24"/>
          <w:szCs w:val="24"/>
          <w:lang w:val="bg-BG"/>
        </w:rPr>
        <w:t xml:space="preserve"> </w:t>
      </w:r>
      <w:r w:rsidR="00267C78">
        <w:rPr>
          <w:rFonts w:ascii="Times New Roman" w:eastAsia="Calibri" w:hAnsi="Times New Roman" w:cs="Times New Roman"/>
          <w:sz w:val="24"/>
          <w:szCs w:val="24"/>
          <w:lang w:val="bg-BG"/>
        </w:rPr>
        <w:t>з</w:t>
      </w:r>
      <w:r w:rsidR="00895CF9">
        <w:rPr>
          <w:rFonts w:ascii="Times New Roman" w:eastAsia="Calibri" w:hAnsi="Times New Roman" w:cs="Times New Roman"/>
          <w:sz w:val="24"/>
          <w:szCs w:val="24"/>
          <w:lang w:val="bg-BG"/>
        </w:rPr>
        <w:t xml:space="preserve">а всяка </w:t>
      </w:r>
      <w:r w:rsidR="000F0D1F">
        <w:rPr>
          <w:rFonts w:ascii="Times New Roman" w:eastAsia="Calibri" w:hAnsi="Times New Roman" w:cs="Times New Roman"/>
          <w:sz w:val="24"/>
          <w:szCs w:val="24"/>
          <w:lang w:val="bg-BG"/>
        </w:rPr>
        <w:lastRenderedPageBreak/>
        <w:t xml:space="preserve">отделна </w:t>
      </w:r>
      <w:r w:rsidR="00895CF9">
        <w:rPr>
          <w:rFonts w:ascii="Times New Roman" w:eastAsia="Calibri" w:hAnsi="Times New Roman" w:cs="Times New Roman"/>
          <w:sz w:val="24"/>
          <w:szCs w:val="24"/>
          <w:lang w:val="bg-BG"/>
        </w:rPr>
        <w:t>платежна услуга по реда на чл. 9 от Регламента и в случай че транзакцията е съмнителна, да се уведоми финансово-разузнавателното звено</w:t>
      </w:r>
      <w:r w:rsidR="00895CF9">
        <w:rPr>
          <w:rStyle w:val="FootnoteReference"/>
          <w:rFonts w:ascii="Times New Roman" w:eastAsia="Calibri" w:hAnsi="Times New Roman" w:cs="Times New Roman"/>
          <w:sz w:val="24"/>
          <w:szCs w:val="24"/>
          <w:lang w:val="bg-BG"/>
        </w:rPr>
        <w:footnoteReference w:id="15"/>
      </w:r>
      <w:r w:rsidR="00E219E5">
        <w:rPr>
          <w:rFonts w:ascii="Times New Roman" w:eastAsia="Calibri" w:hAnsi="Times New Roman" w:cs="Times New Roman"/>
          <w:sz w:val="24"/>
          <w:szCs w:val="24"/>
          <w:lang w:val="bg-BG"/>
        </w:rPr>
        <w:t>;</w:t>
      </w:r>
    </w:p>
    <w:p w:rsidR="00E219E5" w:rsidRPr="00A43B28" w:rsidRDefault="00296330" w:rsidP="005F0F8C">
      <w:pPr>
        <w:pStyle w:val="ListParagraph"/>
        <w:numPr>
          <w:ilvl w:val="0"/>
          <w:numId w:val="11"/>
        </w:numPr>
        <w:spacing w:after="0" w:line="360" w:lineRule="auto"/>
        <w:jc w:val="both"/>
        <w:rPr>
          <w:rFonts w:ascii="Times New Roman" w:eastAsia="Calibri" w:hAnsi="Times New Roman" w:cs="Times New Roman"/>
          <w:b/>
          <w:sz w:val="24"/>
          <w:szCs w:val="24"/>
          <w:lang w:val="bg-BG"/>
        </w:rPr>
      </w:pPr>
      <w:r>
        <w:rPr>
          <w:rFonts w:ascii="Times New Roman" w:eastAsia="Calibri" w:hAnsi="Times New Roman" w:cs="Times New Roman"/>
          <w:b/>
          <w:sz w:val="24"/>
          <w:szCs w:val="24"/>
          <w:lang w:val="bg-BG"/>
        </w:rPr>
        <w:t xml:space="preserve">Задължения на междинните доставчици на платежни услуги </w:t>
      </w:r>
      <w:r w:rsidR="00437419">
        <w:rPr>
          <w:rFonts w:ascii="Times New Roman" w:eastAsia="Calibri" w:hAnsi="Times New Roman" w:cs="Times New Roman"/>
          <w:b/>
          <w:sz w:val="24"/>
          <w:szCs w:val="24"/>
          <w:lang w:val="bg-BG"/>
        </w:rPr>
        <w:t>–</w:t>
      </w:r>
      <w:r>
        <w:rPr>
          <w:rFonts w:ascii="Times New Roman" w:eastAsia="Calibri" w:hAnsi="Times New Roman" w:cs="Times New Roman"/>
          <w:b/>
          <w:sz w:val="24"/>
          <w:szCs w:val="24"/>
          <w:lang w:val="bg-BG"/>
        </w:rPr>
        <w:t xml:space="preserve"> </w:t>
      </w:r>
      <w:r w:rsidR="00437419">
        <w:rPr>
          <w:rFonts w:ascii="Times New Roman" w:eastAsia="Calibri" w:hAnsi="Times New Roman" w:cs="Times New Roman"/>
          <w:sz w:val="24"/>
          <w:szCs w:val="24"/>
          <w:lang w:val="bg-BG"/>
        </w:rPr>
        <w:t>Необходимо е извършването на редица ефективни процедури з</w:t>
      </w:r>
      <w:r w:rsidR="002E36A8">
        <w:rPr>
          <w:rFonts w:ascii="Times New Roman" w:eastAsia="Calibri" w:hAnsi="Times New Roman" w:cs="Times New Roman"/>
          <w:sz w:val="24"/>
          <w:szCs w:val="24"/>
          <w:lang w:val="bg-BG"/>
        </w:rPr>
        <w:t xml:space="preserve">а установяване съответствието и коректността на попълнените полета, свързани с информацията относно платеца и получателя  в системата за съобщения или платежната и сетълмент система, използвана за извършване на превода. </w:t>
      </w:r>
      <w:r w:rsidR="00DB2925">
        <w:rPr>
          <w:rFonts w:ascii="Times New Roman" w:eastAsia="Calibri" w:hAnsi="Times New Roman" w:cs="Times New Roman"/>
          <w:sz w:val="24"/>
          <w:szCs w:val="24"/>
          <w:lang w:val="bg-BG"/>
        </w:rPr>
        <w:t>Това задължение на междинния доставчик на платежната услуга</w:t>
      </w:r>
      <w:r w:rsidR="00DB2925">
        <w:rPr>
          <w:rStyle w:val="FootnoteReference"/>
          <w:rFonts w:ascii="Times New Roman" w:eastAsia="Calibri" w:hAnsi="Times New Roman" w:cs="Times New Roman"/>
          <w:sz w:val="24"/>
          <w:szCs w:val="24"/>
          <w:lang w:val="bg-BG"/>
        </w:rPr>
        <w:footnoteReference w:id="16"/>
      </w:r>
      <w:r w:rsidR="00DB2925">
        <w:rPr>
          <w:rFonts w:ascii="Times New Roman" w:eastAsia="Calibri" w:hAnsi="Times New Roman" w:cs="Times New Roman"/>
          <w:sz w:val="24"/>
          <w:szCs w:val="24"/>
          <w:lang w:val="bg-BG"/>
        </w:rPr>
        <w:t xml:space="preserve"> </w:t>
      </w:r>
      <w:r w:rsidR="00F2146F">
        <w:rPr>
          <w:rFonts w:ascii="Times New Roman" w:eastAsia="Calibri" w:hAnsi="Times New Roman" w:cs="Times New Roman"/>
          <w:sz w:val="24"/>
          <w:szCs w:val="24"/>
          <w:lang w:val="bg-BG"/>
        </w:rPr>
        <w:t>изисква, ако е целесъобразно, и последващо проследяване и проследяване в реално време с цел установяване на евентуално липсваща информация по реда на чл. 4 и 5 от Регламента.</w:t>
      </w:r>
      <w:r w:rsidR="00EA3536">
        <w:rPr>
          <w:rFonts w:ascii="Times New Roman" w:eastAsia="Calibri" w:hAnsi="Times New Roman" w:cs="Times New Roman"/>
          <w:sz w:val="24"/>
          <w:szCs w:val="24"/>
          <w:lang w:val="bg-BG"/>
        </w:rPr>
        <w:t xml:space="preserve"> Но и тези задължения трудно биха могли да бъдат изпълнени на практика поради специфичния </w:t>
      </w:r>
      <w:r w:rsidR="00EA3536" w:rsidRPr="00582C32">
        <w:rPr>
          <w:rFonts w:ascii="Times New Roman" w:eastAsia="Calibri" w:hAnsi="Times New Roman" w:cs="Times New Roman"/>
          <w:i/>
          <w:sz w:val="24"/>
          <w:szCs w:val="24"/>
        </w:rPr>
        <w:t>modus operandi</w:t>
      </w:r>
      <w:r w:rsidR="00EA3536">
        <w:rPr>
          <w:rFonts w:ascii="Times New Roman" w:eastAsia="Calibri" w:hAnsi="Times New Roman" w:cs="Times New Roman"/>
          <w:sz w:val="24"/>
          <w:szCs w:val="24"/>
          <w:lang w:val="bg-BG"/>
        </w:rPr>
        <w:t xml:space="preserve"> на системата „Хауала“</w:t>
      </w:r>
      <w:r w:rsidR="00592912">
        <w:rPr>
          <w:rFonts w:ascii="Times New Roman" w:eastAsia="Calibri" w:hAnsi="Times New Roman" w:cs="Times New Roman"/>
          <w:sz w:val="24"/>
          <w:szCs w:val="24"/>
          <w:lang w:val="bg-BG"/>
        </w:rPr>
        <w:t>, който не позволява предоставянето и съхраняването на изискуемата информация относно платеца и получателя. Ето защо за всяка платежна или сетълмент операция от типа „Хауала“</w:t>
      </w:r>
      <w:r w:rsidR="00131770">
        <w:rPr>
          <w:rFonts w:ascii="Times New Roman" w:eastAsia="Calibri" w:hAnsi="Times New Roman" w:cs="Times New Roman"/>
          <w:sz w:val="24"/>
          <w:szCs w:val="24"/>
          <w:lang w:val="bg-BG"/>
        </w:rPr>
        <w:t>, по преценка на междинния доставчик на услугата и по метода „анализ на риска“</w:t>
      </w:r>
      <w:r w:rsidR="004B5D1C">
        <w:rPr>
          <w:rStyle w:val="FootnoteReference"/>
          <w:rFonts w:ascii="Times New Roman" w:eastAsia="Calibri" w:hAnsi="Times New Roman" w:cs="Times New Roman"/>
          <w:sz w:val="24"/>
          <w:szCs w:val="24"/>
          <w:lang w:val="bg-BG"/>
        </w:rPr>
        <w:footnoteReference w:id="17"/>
      </w:r>
      <w:r w:rsidR="00131770">
        <w:rPr>
          <w:rFonts w:ascii="Times New Roman" w:eastAsia="Calibri" w:hAnsi="Times New Roman" w:cs="Times New Roman"/>
          <w:sz w:val="24"/>
          <w:szCs w:val="24"/>
          <w:lang w:val="bg-BG"/>
        </w:rPr>
        <w:t xml:space="preserve"> следва да се определя за всяка конкретна транзакция дали да се изпълни или откаже</w:t>
      </w:r>
      <w:r w:rsidR="004B5D1C">
        <w:rPr>
          <w:rFonts w:ascii="Times New Roman" w:eastAsia="Calibri" w:hAnsi="Times New Roman" w:cs="Times New Roman"/>
          <w:sz w:val="24"/>
          <w:szCs w:val="24"/>
          <w:lang w:val="bg-BG"/>
        </w:rPr>
        <w:t xml:space="preserve">, дали е съмнителна </w:t>
      </w:r>
      <w:r w:rsidR="00267C78">
        <w:rPr>
          <w:rFonts w:ascii="Times New Roman" w:eastAsia="Calibri" w:hAnsi="Times New Roman" w:cs="Times New Roman"/>
          <w:sz w:val="24"/>
          <w:szCs w:val="24"/>
          <w:lang w:val="bg-BG"/>
        </w:rPr>
        <w:t>в ко</w:t>
      </w:r>
      <w:r w:rsidR="00A03DB6">
        <w:rPr>
          <w:rFonts w:ascii="Times New Roman" w:eastAsia="Calibri" w:hAnsi="Times New Roman" w:cs="Times New Roman"/>
          <w:sz w:val="24"/>
          <w:szCs w:val="24"/>
          <w:lang w:val="bg-BG"/>
        </w:rPr>
        <w:t xml:space="preserve">нтекста на изпирането на пари, </w:t>
      </w:r>
      <w:r w:rsidR="00267C78">
        <w:rPr>
          <w:rFonts w:ascii="Times New Roman" w:eastAsia="Calibri" w:hAnsi="Times New Roman" w:cs="Times New Roman"/>
          <w:sz w:val="24"/>
          <w:szCs w:val="24"/>
          <w:lang w:val="bg-BG"/>
        </w:rPr>
        <w:t>финансирането на тероризма</w:t>
      </w:r>
      <w:r w:rsidR="00A03DB6">
        <w:rPr>
          <w:rFonts w:ascii="Times New Roman" w:eastAsia="Calibri" w:hAnsi="Times New Roman" w:cs="Times New Roman"/>
          <w:sz w:val="24"/>
          <w:szCs w:val="24"/>
          <w:lang w:val="bg-BG"/>
        </w:rPr>
        <w:t xml:space="preserve"> и радикалната дейност и пролиферацията, както</w:t>
      </w:r>
      <w:r w:rsidR="00267C78">
        <w:rPr>
          <w:rFonts w:ascii="Times New Roman" w:eastAsia="Calibri" w:hAnsi="Times New Roman" w:cs="Times New Roman"/>
          <w:sz w:val="24"/>
          <w:szCs w:val="24"/>
          <w:lang w:val="bg-BG"/>
        </w:rPr>
        <w:t xml:space="preserve"> </w:t>
      </w:r>
      <w:r w:rsidR="004B5D1C">
        <w:rPr>
          <w:rFonts w:ascii="Times New Roman" w:eastAsia="Calibri" w:hAnsi="Times New Roman" w:cs="Times New Roman"/>
          <w:sz w:val="24"/>
          <w:szCs w:val="24"/>
          <w:lang w:val="bg-BG"/>
        </w:rPr>
        <w:t xml:space="preserve">и дали е необходимо да се уведоми съответното </w:t>
      </w:r>
      <w:r w:rsidR="00880272">
        <w:rPr>
          <w:rFonts w:ascii="Times New Roman" w:eastAsia="Calibri" w:hAnsi="Times New Roman" w:cs="Times New Roman"/>
          <w:sz w:val="24"/>
          <w:szCs w:val="24"/>
          <w:lang w:val="bg-BG"/>
        </w:rPr>
        <w:t xml:space="preserve">национално/наднационално </w:t>
      </w:r>
      <w:bookmarkStart w:id="0" w:name="_GoBack"/>
      <w:bookmarkEnd w:id="0"/>
      <w:r w:rsidR="004B5D1C">
        <w:rPr>
          <w:rFonts w:ascii="Times New Roman" w:eastAsia="Calibri" w:hAnsi="Times New Roman" w:cs="Times New Roman"/>
          <w:sz w:val="24"/>
          <w:szCs w:val="24"/>
          <w:lang w:val="bg-BG"/>
        </w:rPr>
        <w:t>финансово-разузнавателно звено</w:t>
      </w:r>
      <w:r w:rsidR="004B5D1C">
        <w:rPr>
          <w:rStyle w:val="FootnoteReference"/>
          <w:rFonts w:ascii="Times New Roman" w:eastAsia="Calibri" w:hAnsi="Times New Roman" w:cs="Times New Roman"/>
          <w:sz w:val="24"/>
          <w:szCs w:val="24"/>
          <w:lang w:val="bg-BG"/>
        </w:rPr>
        <w:footnoteReference w:id="18"/>
      </w:r>
      <w:r w:rsidR="004B5D1C">
        <w:rPr>
          <w:rFonts w:ascii="Times New Roman" w:eastAsia="Calibri" w:hAnsi="Times New Roman" w:cs="Times New Roman"/>
          <w:sz w:val="24"/>
          <w:szCs w:val="24"/>
          <w:lang w:val="bg-BG"/>
        </w:rPr>
        <w:t>.</w:t>
      </w:r>
    </w:p>
    <w:p w:rsidR="00317981" w:rsidRPr="00EA1BA5" w:rsidRDefault="00317981" w:rsidP="00A953FF">
      <w:pPr>
        <w:spacing w:after="0" w:line="360" w:lineRule="auto"/>
        <w:jc w:val="both"/>
        <w:rPr>
          <w:rFonts w:ascii="Times New Roman" w:eastAsia="Calibri" w:hAnsi="Times New Roman" w:cs="Times New Roman"/>
          <w:sz w:val="24"/>
          <w:szCs w:val="24"/>
          <w:lang w:val="bg-BG"/>
        </w:rPr>
      </w:pPr>
    </w:p>
    <w:p w:rsidR="00A953FF" w:rsidRPr="00A953FF" w:rsidRDefault="00A953FF" w:rsidP="0075318C">
      <w:pPr>
        <w:spacing w:after="0" w:line="360" w:lineRule="auto"/>
        <w:ind w:firstLine="360"/>
        <w:rPr>
          <w:rFonts w:ascii="Times New Roman" w:eastAsia="Calibri" w:hAnsi="Times New Roman" w:cs="Times New Roman"/>
          <w:b/>
          <w:sz w:val="24"/>
          <w:szCs w:val="24"/>
          <w:lang w:val="bg-BG"/>
        </w:rPr>
      </w:pPr>
      <w:r w:rsidRPr="00A953FF">
        <w:rPr>
          <w:rFonts w:ascii="Times New Roman" w:eastAsia="Calibri" w:hAnsi="Times New Roman" w:cs="Times New Roman"/>
          <w:b/>
          <w:sz w:val="24"/>
          <w:szCs w:val="24"/>
          <w:lang w:val="bg-BG"/>
        </w:rPr>
        <w:t>БИБЛИОГРАФИЯ</w:t>
      </w:r>
    </w:p>
    <w:p w:rsidR="007048D0" w:rsidRDefault="007048D0" w:rsidP="005D261F">
      <w:pPr>
        <w:spacing w:after="0" w:line="240" w:lineRule="auto"/>
        <w:jc w:val="both"/>
        <w:rPr>
          <w:rFonts w:ascii="Times New Roman" w:hAnsi="Times New Roman" w:cs="Times New Roman"/>
          <w:lang w:val="bg-BG"/>
        </w:rPr>
      </w:pPr>
      <w:r w:rsidRPr="007048D0">
        <w:rPr>
          <w:rFonts w:ascii="Times New Roman" w:hAnsi="Times New Roman" w:cs="Times New Roman"/>
          <w:lang w:val="bg-BG"/>
        </w:rPr>
        <w:t xml:space="preserve">Директива (ЕС) 2015/849 </w:t>
      </w:r>
      <w:r>
        <w:rPr>
          <w:rFonts w:ascii="Times New Roman" w:hAnsi="Times New Roman" w:cs="Times New Roman"/>
          <w:lang w:val="bg-BG"/>
        </w:rPr>
        <w:t>на ЕП и на Съвета от 20.05.2015 г. за предотвратяване използването на финансовата система за целите на изпирането на пари и финансирането на терори</w:t>
      </w:r>
      <w:r w:rsidR="001A5272">
        <w:rPr>
          <w:rFonts w:ascii="Times New Roman" w:hAnsi="Times New Roman" w:cs="Times New Roman"/>
          <w:lang w:val="bg-BG"/>
        </w:rPr>
        <w:t>зма, за изменение на Регламент (</w:t>
      </w:r>
      <w:r>
        <w:rPr>
          <w:rFonts w:ascii="Times New Roman" w:hAnsi="Times New Roman" w:cs="Times New Roman"/>
          <w:lang w:val="bg-BG"/>
        </w:rPr>
        <w:t>ЕС) № 648/2012 на ЕП и на Съвета и за отмяна на Директива 2005/60/ЕО на ЕП и на Съвета и на Директива 2006/70/ЕО на Комисията</w:t>
      </w:r>
    </w:p>
    <w:p w:rsidR="007048D0" w:rsidRDefault="000D5869" w:rsidP="005D261F">
      <w:pPr>
        <w:spacing w:after="0" w:line="240" w:lineRule="auto"/>
        <w:jc w:val="both"/>
        <w:rPr>
          <w:rFonts w:ascii="Times New Roman" w:hAnsi="Times New Roman" w:cs="Times New Roman"/>
          <w:lang w:val="bg-BG"/>
        </w:rPr>
      </w:pPr>
      <w:hyperlink r:id="rId8" w:history="1">
        <w:r w:rsidR="00DF5BEA" w:rsidRPr="008454E2">
          <w:rPr>
            <w:rStyle w:val="Hyperlink"/>
            <w:rFonts w:ascii="Times New Roman" w:hAnsi="Times New Roman" w:cs="Times New Roman"/>
            <w:lang w:val="bg-BG"/>
          </w:rPr>
          <w:t>http://eur-lex.europa.eu/legal-content/BG/TXT/PDF/?uri=CELEX:32015L0849&amp;from=BG</w:t>
        </w:r>
      </w:hyperlink>
      <w:r w:rsidR="00DF5BEA">
        <w:rPr>
          <w:rFonts w:ascii="Times New Roman" w:hAnsi="Times New Roman" w:cs="Times New Roman"/>
          <w:lang w:val="bg-BG"/>
        </w:rPr>
        <w:t xml:space="preserve"> </w:t>
      </w:r>
    </w:p>
    <w:p w:rsidR="005D261F" w:rsidRDefault="005D261F" w:rsidP="005D261F">
      <w:pPr>
        <w:spacing w:after="0" w:line="240" w:lineRule="auto"/>
        <w:jc w:val="both"/>
        <w:rPr>
          <w:rFonts w:ascii="Times New Roman" w:hAnsi="Times New Roman" w:cs="Times New Roman"/>
          <w:lang w:val="bg-BG"/>
        </w:rPr>
      </w:pPr>
      <w:r>
        <w:rPr>
          <w:rFonts w:ascii="Times New Roman" w:hAnsi="Times New Roman" w:cs="Times New Roman"/>
          <w:lang w:val="bg-BG"/>
        </w:rPr>
        <w:t>Международни стандарти относно борбата с изпирането на пари и финансирането на тероризма и разпространението (Париж, Франция, 16.02.2012 г.)</w:t>
      </w:r>
      <w:r w:rsidRPr="000764DE">
        <w:rPr>
          <w:rFonts w:ascii="Times New Roman" w:hAnsi="Times New Roman" w:cs="Times New Roman"/>
          <w:lang w:val="bg-BG"/>
        </w:rPr>
        <w:t xml:space="preserve">. </w:t>
      </w:r>
    </w:p>
    <w:p w:rsidR="007438F2" w:rsidRDefault="000D5869" w:rsidP="005D261F">
      <w:pPr>
        <w:spacing w:after="0" w:line="240" w:lineRule="auto"/>
        <w:jc w:val="both"/>
        <w:rPr>
          <w:rFonts w:ascii="Times New Roman" w:hAnsi="Times New Roman" w:cs="Times New Roman"/>
          <w:lang w:val="bg-BG"/>
        </w:rPr>
      </w:pPr>
      <w:hyperlink r:id="rId9" w:history="1">
        <w:r w:rsidR="005D261F" w:rsidRPr="00E0367D">
          <w:rPr>
            <w:rStyle w:val="Hyperlink"/>
            <w:rFonts w:ascii="Times New Roman" w:hAnsi="Times New Roman" w:cs="Times New Roman"/>
            <w:lang w:val="bg-BG"/>
          </w:rPr>
          <w:t>http://www.fatf-gafi.org/publications/fatfrecommendations/documents/fatf-recommendations.html</w:t>
        </w:r>
      </w:hyperlink>
      <w:r w:rsidR="005D261F">
        <w:rPr>
          <w:rFonts w:ascii="Times New Roman" w:hAnsi="Times New Roman" w:cs="Times New Roman"/>
          <w:lang w:val="bg-BG"/>
        </w:rPr>
        <w:t xml:space="preserve"> </w:t>
      </w:r>
    </w:p>
    <w:p w:rsidR="007048D0" w:rsidRDefault="007048D0" w:rsidP="005D261F">
      <w:pPr>
        <w:spacing w:after="0" w:line="240" w:lineRule="auto"/>
        <w:jc w:val="both"/>
        <w:rPr>
          <w:rFonts w:ascii="Times New Roman" w:hAnsi="Times New Roman" w:cs="Times New Roman"/>
          <w:lang w:val="bg-BG"/>
        </w:rPr>
      </w:pPr>
      <w:r w:rsidRPr="007048D0">
        <w:rPr>
          <w:rFonts w:ascii="Times New Roman" w:hAnsi="Times New Roman" w:cs="Times New Roman"/>
          <w:lang w:val="bg-BG"/>
        </w:rPr>
        <w:t>Регламент (ЕС) 2015/847</w:t>
      </w:r>
      <w:r w:rsidR="00DD600D">
        <w:rPr>
          <w:rFonts w:ascii="Times New Roman" w:hAnsi="Times New Roman" w:cs="Times New Roman"/>
          <w:lang w:val="bg-BG"/>
        </w:rPr>
        <w:t xml:space="preserve"> на ЕП и на Съвета от 20.05.2015 г. относно информацията, придружаваща преводите на средства, и за отмяна на Регламент (ЕО) № 1781/2006</w:t>
      </w:r>
    </w:p>
    <w:p w:rsidR="00DB630D" w:rsidRDefault="000D5869" w:rsidP="005D261F">
      <w:pPr>
        <w:spacing w:after="0" w:line="240" w:lineRule="auto"/>
        <w:jc w:val="both"/>
        <w:rPr>
          <w:rFonts w:ascii="Times New Roman" w:hAnsi="Times New Roman" w:cs="Times New Roman"/>
          <w:lang w:val="bg-BG"/>
        </w:rPr>
      </w:pPr>
      <w:hyperlink r:id="rId10" w:history="1">
        <w:r w:rsidR="00DB630D" w:rsidRPr="008454E2">
          <w:rPr>
            <w:rStyle w:val="Hyperlink"/>
            <w:rFonts w:ascii="Times New Roman" w:hAnsi="Times New Roman" w:cs="Times New Roman"/>
            <w:lang w:val="bg-BG"/>
          </w:rPr>
          <w:t>http://eur-lex.europa.eu/legal-content/BG/TXT/PDF/?uri=CELEX:32015R0847&amp;from=BG</w:t>
        </w:r>
      </w:hyperlink>
      <w:r w:rsidR="00DB630D">
        <w:rPr>
          <w:rFonts w:ascii="Times New Roman" w:hAnsi="Times New Roman" w:cs="Times New Roman"/>
          <w:lang w:val="bg-BG"/>
        </w:rPr>
        <w:t xml:space="preserve"> </w:t>
      </w:r>
    </w:p>
    <w:p w:rsidR="00DD600D" w:rsidRPr="007B61A9" w:rsidRDefault="00DD600D" w:rsidP="005D261F">
      <w:pPr>
        <w:spacing w:after="0" w:line="240" w:lineRule="auto"/>
        <w:jc w:val="both"/>
        <w:rPr>
          <w:rFonts w:ascii="Times New Roman" w:hAnsi="Times New Roman" w:cs="Times New Roman"/>
          <w:lang w:val="bg-BG"/>
        </w:rPr>
      </w:pPr>
    </w:p>
    <w:sectPr w:rsidR="00DD600D" w:rsidRPr="007B61A9" w:rsidSect="00781F68">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869" w:rsidRDefault="000D5869" w:rsidP="00A953FF">
      <w:pPr>
        <w:spacing w:after="0" w:line="240" w:lineRule="auto"/>
      </w:pPr>
      <w:r>
        <w:separator/>
      </w:r>
    </w:p>
  </w:endnote>
  <w:endnote w:type="continuationSeparator" w:id="0">
    <w:p w:rsidR="000D5869" w:rsidRDefault="000D5869" w:rsidP="00A9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85708"/>
      <w:docPartObj>
        <w:docPartGallery w:val="Page Numbers (Bottom of Page)"/>
        <w:docPartUnique/>
      </w:docPartObj>
    </w:sdtPr>
    <w:sdtEndPr>
      <w:rPr>
        <w:rFonts w:ascii="Times New Roman" w:hAnsi="Times New Roman" w:cs="Times New Roman"/>
        <w:noProof/>
      </w:rPr>
    </w:sdtEndPr>
    <w:sdtContent>
      <w:p w:rsidR="00270049" w:rsidRPr="00011D67" w:rsidRDefault="00C844AE">
        <w:pPr>
          <w:pStyle w:val="Footer1"/>
          <w:jc w:val="right"/>
          <w:rPr>
            <w:rFonts w:ascii="Times New Roman" w:hAnsi="Times New Roman" w:cs="Times New Roman"/>
          </w:rPr>
        </w:pPr>
        <w:r w:rsidRPr="00011D67">
          <w:rPr>
            <w:rFonts w:ascii="Times New Roman" w:hAnsi="Times New Roman" w:cs="Times New Roman"/>
          </w:rPr>
          <w:fldChar w:fldCharType="begin"/>
        </w:r>
        <w:r w:rsidRPr="00011D67">
          <w:rPr>
            <w:rFonts w:ascii="Times New Roman" w:hAnsi="Times New Roman" w:cs="Times New Roman"/>
          </w:rPr>
          <w:instrText xml:space="preserve"> PAGE   \* MERGEFORMAT </w:instrText>
        </w:r>
        <w:r w:rsidRPr="00011D67">
          <w:rPr>
            <w:rFonts w:ascii="Times New Roman" w:hAnsi="Times New Roman" w:cs="Times New Roman"/>
          </w:rPr>
          <w:fldChar w:fldCharType="separate"/>
        </w:r>
        <w:r w:rsidR="00880272">
          <w:rPr>
            <w:rFonts w:ascii="Times New Roman" w:hAnsi="Times New Roman" w:cs="Times New Roman"/>
            <w:noProof/>
          </w:rPr>
          <w:t>6</w:t>
        </w:r>
        <w:r w:rsidRPr="00011D67">
          <w:rPr>
            <w:rFonts w:ascii="Times New Roman" w:hAnsi="Times New Roman" w:cs="Times New Roman"/>
            <w:noProof/>
          </w:rPr>
          <w:fldChar w:fldCharType="end"/>
        </w:r>
      </w:p>
    </w:sdtContent>
  </w:sdt>
  <w:p w:rsidR="00270049" w:rsidRDefault="000D5869">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869" w:rsidRDefault="000D5869" w:rsidP="00A953FF">
      <w:pPr>
        <w:spacing w:after="0" w:line="240" w:lineRule="auto"/>
      </w:pPr>
      <w:r>
        <w:separator/>
      </w:r>
    </w:p>
  </w:footnote>
  <w:footnote w:type="continuationSeparator" w:id="0">
    <w:p w:rsidR="000D5869" w:rsidRDefault="000D5869" w:rsidP="00A953FF">
      <w:pPr>
        <w:spacing w:after="0" w:line="240" w:lineRule="auto"/>
      </w:pPr>
      <w:r>
        <w:continuationSeparator/>
      </w:r>
    </w:p>
  </w:footnote>
  <w:footnote w:id="1">
    <w:p w:rsidR="000764DE" w:rsidRPr="003F552E" w:rsidRDefault="000764DE" w:rsidP="000764DE">
      <w:pPr>
        <w:pStyle w:val="FootnoteText"/>
        <w:jc w:val="both"/>
        <w:rPr>
          <w:rFonts w:ascii="Times New Roman" w:hAnsi="Times New Roman" w:cs="Times New Roman"/>
          <w:lang w:val="bg-BG"/>
        </w:rPr>
      </w:pPr>
      <w:r w:rsidRPr="003F552E">
        <w:rPr>
          <w:rStyle w:val="FootnoteReference"/>
          <w:rFonts w:ascii="Times New Roman" w:hAnsi="Times New Roman" w:cs="Times New Roman"/>
        </w:rPr>
        <w:footnoteRef/>
      </w:r>
      <w:r w:rsidRPr="003F552E">
        <w:rPr>
          <w:rFonts w:ascii="Times New Roman" w:hAnsi="Times New Roman" w:cs="Times New Roman"/>
        </w:rPr>
        <w:t xml:space="preserve"> </w:t>
      </w:r>
      <w:r w:rsidRPr="003F552E">
        <w:rPr>
          <w:rFonts w:ascii="Times New Roman" w:hAnsi="Times New Roman" w:cs="Times New Roman"/>
          <w:lang w:val="bg-BG"/>
        </w:rPr>
        <w:t xml:space="preserve">Има се предвид Препоръка № 16 </w:t>
      </w:r>
      <w:r w:rsidR="00F54793" w:rsidRPr="003F552E">
        <w:rPr>
          <w:rFonts w:ascii="Times New Roman" w:hAnsi="Times New Roman" w:cs="Times New Roman"/>
          <w:lang w:val="bg-BG"/>
        </w:rPr>
        <w:t xml:space="preserve">относно увеличаване на прозрачността на </w:t>
      </w:r>
      <w:proofErr w:type="spellStart"/>
      <w:r w:rsidR="00F54793" w:rsidRPr="003F552E">
        <w:rPr>
          <w:rFonts w:ascii="Times New Roman" w:hAnsi="Times New Roman" w:cs="Times New Roman"/>
          <w:lang w:val="bg-BG"/>
        </w:rPr>
        <w:t>презграничните</w:t>
      </w:r>
      <w:proofErr w:type="spellEnd"/>
      <w:r w:rsidR="00F54793" w:rsidRPr="003F552E">
        <w:rPr>
          <w:rFonts w:ascii="Times New Roman" w:hAnsi="Times New Roman" w:cs="Times New Roman"/>
          <w:lang w:val="bg-BG"/>
        </w:rPr>
        <w:t xml:space="preserve"> електронни преводи </w:t>
      </w:r>
      <w:r w:rsidR="005311A0" w:rsidRPr="003F552E">
        <w:rPr>
          <w:rFonts w:ascii="Times New Roman" w:hAnsi="Times New Roman" w:cs="Times New Roman"/>
          <w:lang w:val="bg-BG"/>
        </w:rPr>
        <w:t xml:space="preserve">от </w:t>
      </w:r>
      <w:r w:rsidR="00780597" w:rsidRPr="003F552E">
        <w:rPr>
          <w:rFonts w:ascii="Times New Roman" w:hAnsi="Times New Roman" w:cs="Times New Roman"/>
          <w:lang w:val="bg-BG"/>
        </w:rPr>
        <w:t>ревизираните препоръки</w:t>
      </w:r>
      <w:r w:rsidR="005311A0" w:rsidRPr="003F552E">
        <w:rPr>
          <w:rFonts w:ascii="Times New Roman" w:hAnsi="Times New Roman" w:cs="Times New Roman"/>
          <w:lang w:val="bg-BG"/>
        </w:rPr>
        <w:t xml:space="preserve"> </w:t>
      </w:r>
      <w:r w:rsidRPr="003F552E">
        <w:rPr>
          <w:rFonts w:ascii="Times New Roman" w:hAnsi="Times New Roman" w:cs="Times New Roman"/>
          <w:lang w:val="bg-BG"/>
        </w:rPr>
        <w:t>на</w:t>
      </w:r>
      <w:r w:rsidR="005311A0" w:rsidRPr="003F552E">
        <w:rPr>
          <w:rFonts w:ascii="Times New Roman" w:hAnsi="Times New Roman" w:cs="Times New Roman"/>
          <w:lang w:val="bg-BG"/>
        </w:rPr>
        <w:t xml:space="preserve"> Специалната група за финансови действия</w:t>
      </w:r>
      <w:r w:rsidRPr="003F552E">
        <w:rPr>
          <w:rFonts w:ascii="Times New Roman" w:hAnsi="Times New Roman" w:cs="Times New Roman"/>
          <w:lang w:val="bg-BG"/>
        </w:rPr>
        <w:t xml:space="preserve"> </w:t>
      </w:r>
      <w:r w:rsidR="005311A0" w:rsidRPr="003F552E">
        <w:rPr>
          <w:rFonts w:ascii="Times New Roman" w:hAnsi="Times New Roman" w:cs="Times New Roman"/>
        </w:rPr>
        <w:t>(</w:t>
      </w:r>
      <w:r w:rsidRPr="003F552E">
        <w:rPr>
          <w:rFonts w:ascii="Times New Roman" w:hAnsi="Times New Roman" w:cs="Times New Roman"/>
        </w:rPr>
        <w:t>FATF</w:t>
      </w:r>
      <w:r w:rsidR="005311A0" w:rsidRPr="003F552E">
        <w:rPr>
          <w:rFonts w:ascii="Times New Roman" w:hAnsi="Times New Roman" w:cs="Times New Roman"/>
        </w:rPr>
        <w:t>)</w:t>
      </w:r>
      <w:r w:rsidR="00F54793" w:rsidRPr="003F552E">
        <w:rPr>
          <w:rFonts w:ascii="Times New Roman" w:hAnsi="Times New Roman" w:cs="Times New Roman"/>
        </w:rPr>
        <w:t xml:space="preserve"> – </w:t>
      </w:r>
      <w:r w:rsidR="00F54793" w:rsidRPr="003F552E">
        <w:rPr>
          <w:rFonts w:ascii="Times New Roman" w:hAnsi="Times New Roman" w:cs="Times New Roman"/>
          <w:lang w:val="bg-BG"/>
        </w:rPr>
        <w:t>Международни стандарти относно борбата с изпирането на пари и финансирането на тероризма и разпространението</w:t>
      </w:r>
      <w:r w:rsidR="006F7136" w:rsidRPr="003F552E">
        <w:rPr>
          <w:rFonts w:ascii="Times New Roman" w:hAnsi="Times New Roman" w:cs="Times New Roman"/>
          <w:lang w:val="bg-BG"/>
        </w:rPr>
        <w:t xml:space="preserve"> на оръжия за масово унищожение</w:t>
      </w:r>
      <w:r w:rsidR="00F54793" w:rsidRPr="003F552E">
        <w:rPr>
          <w:rFonts w:ascii="Times New Roman" w:hAnsi="Times New Roman" w:cs="Times New Roman"/>
          <w:lang w:val="bg-BG"/>
        </w:rPr>
        <w:t xml:space="preserve"> (Париж, Франция, 16.02.2012 г.)</w:t>
      </w:r>
      <w:r w:rsidRPr="003F552E">
        <w:rPr>
          <w:rFonts w:ascii="Times New Roman" w:hAnsi="Times New Roman" w:cs="Times New Roman"/>
          <w:lang w:val="bg-BG"/>
        </w:rPr>
        <w:t xml:space="preserve">. </w:t>
      </w:r>
    </w:p>
  </w:footnote>
  <w:footnote w:id="2">
    <w:p w:rsidR="000550DE" w:rsidRPr="003F552E" w:rsidRDefault="000550DE" w:rsidP="00CC4E7E">
      <w:pPr>
        <w:pStyle w:val="FootnoteText"/>
        <w:jc w:val="both"/>
        <w:rPr>
          <w:rFonts w:ascii="Times New Roman" w:hAnsi="Times New Roman" w:cs="Times New Roman"/>
          <w:lang w:val="bg-BG"/>
        </w:rPr>
      </w:pPr>
      <w:r w:rsidRPr="003F552E">
        <w:rPr>
          <w:rStyle w:val="FootnoteReference"/>
          <w:rFonts w:ascii="Times New Roman" w:hAnsi="Times New Roman" w:cs="Times New Roman"/>
        </w:rPr>
        <w:footnoteRef/>
      </w:r>
      <w:r w:rsidRPr="003F552E">
        <w:rPr>
          <w:rFonts w:ascii="Times New Roman" w:hAnsi="Times New Roman" w:cs="Times New Roman"/>
          <w:lang w:val="bg-BG"/>
        </w:rPr>
        <w:t xml:space="preserve"> </w:t>
      </w:r>
      <w:r w:rsidR="004D18D1" w:rsidRPr="003F552E">
        <w:rPr>
          <w:rFonts w:ascii="Times New Roman" w:hAnsi="Times New Roman" w:cs="Times New Roman"/>
          <w:lang w:val="bg-BG"/>
        </w:rPr>
        <w:t>На основание</w:t>
      </w:r>
      <w:r w:rsidRPr="003F552E">
        <w:rPr>
          <w:rFonts w:ascii="Times New Roman" w:hAnsi="Times New Roman" w:cs="Times New Roman"/>
          <w:lang w:val="bg-BG"/>
        </w:rPr>
        <w:t xml:space="preserve"> чл.</w:t>
      </w:r>
      <w:r w:rsidR="00F43E85" w:rsidRPr="003F552E">
        <w:rPr>
          <w:rFonts w:ascii="Times New Roman" w:hAnsi="Times New Roman" w:cs="Times New Roman"/>
          <w:lang w:val="bg-BG"/>
        </w:rPr>
        <w:t xml:space="preserve"> 66 от Директива </w:t>
      </w:r>
      <w:r w:rsidR="00CC4E7E" w:rsidRPr="003F552E">
        <w:rPr>
          <w:rFonts w:ascii="Times New Roman" w:hAnsi="Times New Roman" w:cs="Times New Roman"/>
          <w:lang w:val="bg-BG"/>
        </w:rPr>
        <w:t>(ЕС) 2015/849</w:t>
      </w:r>
      <w:r w:rsidR="00600A6F">
        <w:rPr>
          <w:rFonts w:ascii="Times New Roman" w:hAnsi="Times New Roman" w:cs="Times New Roman"/>
          <w:lang w:val="bg-BG"/>
        </w:rPr>
        <w:t>/ЕО</w:t>
      </w:r>
      <w:r w:rsidR="00CC4E7E" w:rsidRPr="003F552E">
        <w:rPr>
          <w:rFonts w:ascii="Times New Roman" w:hAnsi="Times New Roman" w:cs="Times New Roman"/>
          <w:lang w:val="bg-BG"/>
        </w:rPr>
        <w:t xml:space="preserve"> и чл.</w:t>
      </w:r>
      <w:r w:rsidRPr="003F552E">
        <w:rPr>
          <w:rFonts w:ascii="Times New Roman" w:hAnsi="Times New Roman" w:cs="Times New Roman"/>
          <w:lang w:val="bg-BG"/>
        </w:rPr>
        <w:t xml:space="preserve"> 27 от Регламент (ЕС) 2015/847 </w:t>
      </w:r>
      <w:r w:rsidR="00CC4E7E" w:rsidRPr="003F552E">
        <w:rPr>
          <w:rFonts w:ascii="Times New Roman" w:hAnsi="Times New Roman" w:cs="Times New Roman"/>
          <w:lang w:val="bg-BG"/>
        </w:rPr>
        <w:t>новата правна рамка на ЕС ще започне да се прилага считано от 26.06.2017 г.</w:t>
      </w:r>
    </w:p>
  </w:footnote>
  <w:footnote w:id="3">
    <w:p w:rsidR="00DD34FA" w:rsidRPr="003F552E" w:rsidRDefault="00DD34FA" w:rsidP="00EE61C5">
      <w:pPr>
        <w:pStyle w:val="FootnoteText"/>
        <w:jc w:val="both"/>
        <w:rPr>
          <w:rFonts w:ascii="Times New Roman" w:hAnsi="Times New Roman" w:cs="Times New Roman"/>
          <w:lang w:val="bg-BG"/>
        </w:rPr>
      </w:pPr>
      <w:r w:rsidRPr="003F552E">
        <w:rPr>
          <w:rStyle w:val="FootnoteReference"/>
          <w:rFonts w:ascii="Times New Roman" w:hAnsi="Times New Roman" w:cs="Times New Roman"/>
        </w:rPr>
        <w:footnoteRef/>
      </w:r>
      <w:r w:rsidRPr="003F552E">
        <w:rPr>
          <w:rFonts w:ascii="Times New Roman" w:hAnsi="Times New Roman" w:cs="Times New Roman"/>
          <w:lang w:val="bg-BG"/>
        </w:rPr>
        <w:t xml:space="preserve"> </w:t>
      </w:r>
      <w:r w:rsidRPr="003F552E">
        <w:rPr>
          <w:rFonts w:ascii="Times New Roman" w:hAnsi="Times New Roman" w:cs="Times New Roman"/>
          <w:lang w:val="bg-BG"/>
        </w:rPr>
        <w:t xml:space="preserve">По аргумент на </w:t>
      </w:r>
      <w:r w:rsidR="00EE61C5" w:rsidRPr="003F552E">
        <w:rPr>
          <w:rFonts w:ascii="Times New Roman" w:hAnsi="Times New Roman" w:cs="Times New Roman"/>
          <w:lang w:val="bg-BG"/>
        </w:rPr>
        <w:t>чл. 2, параграф</w:t>
      </w:r>
      <w:r w:rsidR="00C37F6A" w:rsidRPr="003F552E">
        <w:rPr>
          <w:rFonts w:ascii="Times New Roman" w:hAnsi="Times New Roman" w:cs="Times New Roman"/>
          <w:lang w:val="bg-BG"/>
        </w:rPr>
        <w:t>и 4 и</w:t>
      </w:r>
      <w:r w:rsidR="00EE61C5" w:rsidRPr="003F552E">
        <w:rPr>
          <w:rFonts w:ascii="Times New Roman" w:hAnsi="Times New Roman" w:cs="Times New Roman"/>
          <w:lang w:val="bg-BG"/>
        </w:rPr>
        <w:t xml:space="preserve"> 5 на Директива (ЕС) 2015/849</w:t>
      </w:r>
      <w:r w:rsidR="00600A6F">
        <w:rPr>
          <w:rFonts w:ascii="Times New Roman" w:hAnsi="Times New Roman" w:cs="Times New Roman"/>
          <w:lang w:val="bg-BG"/>
        </w:rPr>
        <w:t>/ЕО</w:t>
      </w:r>
      <w:r w:rsidR="00EE61C5" w:rsidRPr="003F552E">
        <w:rPr>
          <w:rFonts w:ascii="Times New Roman" w:hAnsi="Times New Roman" w:cs="Times New Roman"/>
          <w:lang w:val="bg-BG"/>
        </w:rPr>
        <w:t xml:space="preserve"> и </w:t>
      </w:r>
      <w:r w:rsidRPr="003F552E">
        <w:rPr>
          <w:rFonts w:ascii="Times New Roman" w:hAnsi="Times New Roman" w:cs="Times New Roman"/>
          <w:lang w:val="bg-BG"/>
        </w:rPr>
        <w:t>чл. 2,</w:t>
      </w:r>
      <w:r w:rsidR="00EE61C5" w:rsidRPr="003F552E">
        <w:rPr>
          <w:rFonts w:ascii="Times New Roman" w:hAnsi="Times New Roman" w:cs="Times New Roman"/>
          <w:lang w:val="bg-BG"/>
        </w:rPr>
        <w:t xml:space="preserve"> параграф </w:t>
      </w:r>
      <w:r w:rsidR="004D18D1" w:rsidRPr="003F552E">
        <w:rPr>
          <w:rFonts w:ascii="Times New Roman" w:hAnsi="Times New Roman" w:cs="Times New Roman"/>
          <w:lang w:val="bg-BG"/>
        </w:rPr>
        <w:t xml:space="preserve"> 5, буква „в“ от Регламент (ЕС) 2015/847</w:t>
      </w:r>
      <w:r w:rsidR="00263A60" w:rsidRPr="003F552E">
        <w:rPr>
          <w:rFonts w:ascii="Times New Roman" w:hAnsi="Times New Roman" w:cs="Times New Roman"/>
          <w:lang w:val="bg-BG"/>
        </w:rPr>
        <w:t>.</w:t>
      </w:r>
      <w:r w:rsidR="00640DF8">
        <w:rPr>
          <w:rFonts w:ascii="Times New Roman" w:hAnsi="Times New Roman" w:cs="Times New Roman"/>
          <w:lang w:val="bg-BG"/>
        </w:rPr>
        <w:t xml:space="preserve"> Държавите-членки могат да приемат и по-ниски прагове по свое усмотрение.</w:t>
      </w:r>
    </w:p>
  </w:footnote>
  <w:footnote w:id="4">
    <w:p w:rsidR="004A6F99" w:rsidRPr="004A6F99" w:rsidRDefault="004A6F99" w:rsidP="00A236A3">
      <w:pPr>
        <w:pStyle w:val="FootnoteText"/>
        <w:jc w:val="both"/>
        <w:rPr>
          <w:rFonts w:ascii="Times New Roman" w:hAnsi="Times New Roman" w:cs="Times New Roman"/>
          <w:lang w:val="bg-BG"/>
        </w:rPr>
      </w:pPr>
      <w:r w:rsidRPr="004A6F99">
        <w:rPr>
          <w:rStyle w:val="FootnoteReference"/>
          <w:rFonts w:ascii="Times New Roman" w:hAnsi="Times New Roman" w:cs="Times New Roman"/>
        </w:rPr>
        <w:footnoteRef/>
      </w:r>
      <w:r w:rsidRPr="004A6F99">
        <w:rPr>
          <w:rFonts w:ascii="Times New Roman" w:hAnsi="Times New Roman" w:cs="Times New Roman"/>
        </w:rPr>
        <w:t xml:space="preserve"> </w:t>
      </w:r>
      <w:r w:rsidRPr="004A6F99">
        <w:rPr>
          <w:rFonts w:ascii="Times New Roman" w:hAnsi="Times New Roman" w:cs="Times New Roman"/>
          <w:lang w:val="bg-BG"/>
        </w:rPr>
        <w:t>Срок</w:t>
      </w:r>
      <w:r w:rsidR="00A236A3">
        <w:rPr>
          <w:rFonts w:ascii="Times New Roman" w:hAnsi="Times New Roman" w:cs="Times New Roman"/>
          <w:lang w:val="bg-BG"/>
        </w:rPr>
        <w:t xml:space="preserve"> за изготвяне</w:t>
      </w:r>
      <w:r w:rsidRPr="004A6F99">
        <w:rPr>
          <w:rFonts w:ascii="Times New Roman" w:hAnsi="Times New Roman" w:cs="Times New Roman"/>
          <w:lang w:val="bg-BG"/>
        </w:rPr>
        <w:t xml:space="preserve"> 26.06.2017 г.</w:t>
      </w:r>
      <w:r w:rsidR="00A236A3">
        <w:rPr>
          <w:rFonts w:ascii="Times New Roman" w:hAnsi="Times New Roman" w:cs="Times New Roman"/>
          <w:lang w:val="bg-BG"/>
        </w:rPr>
        <w:t xml:space="preserve"> и изискване за актуализация на всеки 2 г. (по аргумент на чл. 6, параграф 1 от Директива (ЕС) 2015/849</w:t>
      </w:r>
      <w:r w:rsidR="00600A6F">
        <w:rPr>
          <w:rFonts w:ascii="Times New Roman" w:hAnsi="Times New Roman" w:cs="Times New Roman"/>
          <w:lang w:val="bg-BG"/>
        </w:rPr>
        <w:t>/ЕО</w:t>
      </w:r>
      <w:r w:rsidR="00A236A3">
        <w:rPr>
          <w:rFonts w:ascii="Times New Roman" w:hAnsi="Times New Roman" w:cs="Times New Roman"/>
          <w:lang w:val="bg-BG"/>
        </w:rPr>
        <w:t>.</w:t>
      </w:r>
    </w:p>
  </w:footnote>
  <w:footnote w:id="5">
    <w:p w:rsidR="00B1499A" w:rsidRPr="00E62137" w:rsidRDefault="00B1499A" w:rsidP="00E62137">
      <w:pPr>
        <w:pStyle w:val="FootnoteText"/>
        <w:jc w:val="both"/>
        <w:rPr>
          <w:rFonts w:ascii="Times New Roman" w:hAnsi="Times New Roman" w:cs="Times New Roman"/>
          <w:lang w:val="bg-BG"/>
        </w:rPr>
      </w:pPr>
      <w:r w:rsidRPr="00E62137">
        <w:rPr>
          <w:rStyle w:val="FootnoteReference"/>
          <w:rFonts w:ascii="Times New Roman" w:hAnsi="Times New Roman" w:cs="Times New Roman"/>
        </w:rPr>
        <w:footnoteRef/>
      </w:r>
      <w:r w:rsidRPr="00E62137">
        <w:rPr>
          <w:rFonts w:ascii="Times New Roman" w:hAnsi="Times New Roman" w:cs="Times New Roman"/>
        </w:rPr>
        <w:t xml:space="preserve"> </w:t>
      </w:r>
      <w:r w:rsidRPr="00E62137">
        <w:rPr>
          <w:rFonts w:ascii="Times New Roman" w:hAnsi="Times New Roman" w:cs="Times New Roman"/>
          <w:lang w:val="bg-BG"/>
        </w:rPr>
        <w:t xml:space="preserve">Въз основа на рисковете, заложени в Препоръка </w:t>
      </w:r>
      <w:r w:rsidR="0035116F">
        <w:rPr>
          <w:rFonts w:ascii="Times New Roman" w:hAnsi="Times New Roman" w:cs="Times New Roman"/>
          <w:lang w:val="bg-BG"/>
        </w:rPr>
        <w:t xml:space="preserve">№ </w:t>
      </w:r>
      <w:r w:rsidRPr="00E62137">
        <w:rPr>
          <w:rFonts w:ascii="Times New Roman" w:hAnsi="Times New Roman" w:cs="Times New Roman"/>
          <w:lang w:val="bg-BG"/>
        </w:rPr>
        <w:t>1</w:t>
      </w:r>
      <w:r w:rsidR="0035116F">
        <w:rPr>
          <w:rFonts w:ascii="Times New Roman" w:hAnsi="Times New Roman" w:cs="Times New Roman"/>
          <w:lang w:val="bg-BG"/>
        </w:rPr>
        <w:t xml:space="preserve"> (вж. заб. 1)</w:t>
      </w:r>
      <w:r w:rsidRPr="00E62137">
        <w:rPr>
          <w:rFonts w:ascii="Times New Roman" w:hAnsi="Times New Roman" w:cs="Times New Roman"/>
          <w:lang w:val="bg-BG"/>
        </w:rPr>
        <w:t xml:space="preserve"> и </w:t>
      </w:r>
      <w:r w:rsidRPr="00E62137">
        <w:rPr>
          <w:rFonts w:ascii="Times New Roman" w:hAnsi="Times New Roman" w:cs="Times New Roman"/>
        </w:rPr>
        <w:t xml:space="preserve">Immediate Outcome 1 </w:t>
      </w:r>
      <w:r w:rsidRPr="00E62137">
        <w:rPr>
          <w:rFonts w:ascii="Times New Roman" w:hAnsi="Times New Roman" w:cs="Times New Roman"/>
          <w:lang w:val="bg-BG"/>
        </w:rPr>
        <w:t xml:space="preserve">на </w:t>
      </w:r>
      <w:r w:rsidRPr="00E62137">
        <w:rPr>
          <w:rFonts w:ascii="Times New Roman" w:hAnsi="Times New Roman" w:cs="Times New Roman"/>
        </w:rPr>
        <w:t>FATF</w:t>
      </w:r>
      <w:r w:rsidR="00E62137" w:rsidRPr="00E62137">
        <w:rPr>
          <w:rFonts w:ascii="Times New Roman" w:hAnsi="Times New Roman" w:cs="Times New Roman"/>
          <w:lang w:val="bg-BG"/>
        </w:rPr>
        <w:t xml:space="preserve"> и по аргумент на чл. 7,  параграф 2 от Директива (ЕС) 2015/849</w:t>
      </w:r>
      <w:r w:rsidR="00600A6F">
        <w:rPr>
          <w:rFonts w:ascii="Times New Roman" w:hAnsi="Times New Roman" w:cs="Times New Roman"/>
          <w:lang w:val="bg-BG"/>
        </w:rPr>
        <w:t>/ЕО</w:t>
      </w:r>
      <w:r w:rsidR="00E62137" w:rsidRPr="00E62137">
        <w:rPr>
          <w:rFonts w:ascii="Times New Roman" w:hAnsi="Times New Roman" w:cs="Times New Roman"/>
          <w:lang w:val="bg-BG"/>
        </w:rPr>
        <w:t>.</w:t>
      </w:r>
    </w:p>
  </w:footnote>
  <w:footnote w:id="6">
    <w:p w:rsidR="00A60FCD" w:rsidRPr="00A60FCD" w:rsidRDefault="00A60FCD" w:rsidP="00A60FCD">
      <w:pPr>
        <w:pStyle w:val="FootnoteText"/>
        <w:jc w:val="both"/>
        <w:rPr>
          <w:rFonts w:ascii="Times New Roman" w:hAnsi="Times New Roman" w:cs="Times New Roman"/>
          <w:lang w:val="bg-BG"/>
        </w:rPr>
      </w:pPr>
      <w:r w:rsidRPr="00A60FCD">
        <w:rPr>
          <w:rStyle w:val="FootnoteReference"/>
          <w:rFonts w:ascii="Times New Roman" w:hAnsi="Times New Roman" w:cs="Times New Roman"/>
        </w:rPr>
        <w:footnoteRef/>
      </w:r>
      <w:r w:rsidRPr="00A60FCD">
        <w:rPr>
          <w:rFonts w:ascii="Times New Roman" w:hAnsi="Times New Roman" w:cs="Times New Roman"/>
        </w:rPr>
        <w:t xml:space="preserve"> </w:t>
      </w:r>
      <w:r>
        <w:rPr>
          <w:rFonts w:ascii="Times New Roman" w:eastAsia="Calibri" w:hAnsi="Times New Roman" w:cs="Times New Roman"/>
          <w:lang w:val="bg-BG"/>
        </w:rPr>
        <w:t>В</w:t>
      </w:r>
      <w:r w:rsidRPr="00A60FCD">
        <w:rPr>
          <w:rFonts w:ascii="Times New Roman" w:eastAsia="Calibri" w:hAnsi="Times New Roman" w:cs="Times New Roman"/>
          <w:lang w:val="bg-BG"/>
        </w:rPr>
        <w:t xml:space="preserve"> т.ч. без да се отчита бенчмаркът по аргумент на чл.</w:t>
      </w:r>
      <w:r w:rsidRPr="00A60FCD">
        <w:rPr>
          <w:rFonts w:ascii="Times New Roman" w:hAnsi="Times New Roman" w:cs="Times New Roman"/>
        </w:rPr>
        <w:t xml:space="preserve"> </w:t>
      </w:r>
      <w:r w:rsidRPr="00A60FCD">
        <w:rPr>
          <w:rFonts w:ascii="Times New Roman" w:eastAsia="Calibri" w:hAnsi="Times New Roman" w:cs="Times New Roman"/>
          <w:lang w:val="bg-BG"/>
        </w:rPr>
        <w:t>2, параграфи 4 и 5 на Директива (ЕС) 2015/849</w:t>
      </w:r>
      <w:r w:rsidR="00600A6F">
        <w:rPr>
          <w:rFonts w:ascii="Times New Roman" w:eastAsia="Calibri" w:hAnsi="Times New Roman" w:cs="Times New Roman"/>
          <w:lang w:val="bg-BG"/>
        </w:rPr>
        <w:t>/ЕО</w:t>
      </w:r>
      <w:r w:rsidRPr="00A60FCD">
        <w:rPr>
          <w:rFonts w:ascii="Times New Roman" w:eastAsia="Calibri" w:hAnsi="Times New Roman" w:cs="Times New Roman"/>
          <w:lang w:val="bg-BG"/>
        </w:rPr>
        <w:t xml:space="preserve"> и чл. 2, параграф  5, буква </w:t>
      </w:r>
      <w:r>
        <w:rPr>
          <w:rFonts w:ascii="Times New Roman" w:eastAsia="Calibri" w:hAnsi="Times New Roman" w:cs="Times New Roman"/>
          <w:lang w:val="bg-BG"/>
        </w:rPr>
        <w:t>„в“ от Регламент (ЕС) 2015/847.</w:t>
      </w:r>
    </w:p>
  </w:footnote>
  <w:footnote w:id="7">
    <w:p w:rsidR="003B5492" w:rsidRPr="00A60FCD" w:rsidRDefault="003B5492" w:rsidP="00A60FCD">
      <w:pPr>
        <w:pStyle w:val="FootnoteText"/>
        <w:jc w:val="both"/>
        <w:rPr>
          <w:rFonts w:ascii="Times New Roman" w:hAnsi="Times New Roman" w:cs="Times New Roman"/>
          <w:lang w:val="bg-BG"/>
        </w:rPr>
      </w:pPr>
      <w:r w:rsidRPr="00A60FCD">
        <w:rPr>
          <w:rStyle w:val="FootnoteReference"/>
          <w:rFonts w:ascii="Times New Roman" w:hAnsi="Times New Roman" w:cs="Times New Roman"/>
        </w:rPr>
        <w:footnoteRef/>
      </w:r>
      <w:r w:rsidRPr="00A60FCD">
        <w:rPr>
          <w:rFonts w:ascii="Times New Roman" w:hAnsi="Times New Roman" w:cs="Times New Roman"/>
        </w:rPr>
        <w:t xml:space="preserve"> </w:t>
      </w:r>
      <w:r w:rsidR="00F94A84" w:rsidRPr="00A60FCD">
        <w:rPr>
          <w:rFonts w:ascii="Times New Roman" w:hAnsi="Times New Roman" w:cs="Times New Roman"/>
          <w:lang w:val="bg-BG"/>
        </w:rPr>
        <w:t>Съгласно чл. 10 от Директива (ЕС) 2015/849</w:t>
      </w:r>
      <w:r w:rsidR="00600A6F">
        <w:rPr>
          <w:rFonts w:ascii="Times New Roman" w:hAnsi="Times New Roman" w:cs="Times New Roman"/>
          <w:lang w:val="bg-BG"/>
        </w:rPr>
        <w:t>/ЕО</w:t>
      </w:r>
      <w:r w:rsidR="00F94A84" w:rsidRPr="00A60FCD">
        <w:rPr>
          <w:rFonts w:ascii="Times New Roman" w:hAnsi="Times New Roman" w:cs="Times New Roman"/>
          <w:lang w:val="bg-BG"/>
        </w:rPr>
        <w:t>.</w:t>
      </w:r>
    </w:p>
  </w:footnote>
  <w:footnote w:id="8">
    <w:p w:rsidR="00B138A7" w:rsidRPr="00B138A7" w:rsidRDefault="00B138A7" w:rsidP="00B138A7">
      <w:pPr>
        <w:pStyle w:val="FootnoteText"/>
        <w:jc w:val="both"/>
        <w:rPr>
          <w:rFonts w:ascii="Times New Roman" w:hAnsi="Times New Roman" w:cs="Times New Roman"/>
          <w:lang w:val="bg-BG"/>
        </w:rPr>
      </w:pPr>
      <w:r>
        <w:rPr>
          <w:rStyle w:val="FootnoteReference"/>
        </w:rPr>
        <w:footnoteRef/>
      </w:r>
      <w:r>
        <w:t xml:space="preserve"> </w:t>
      </w:r>
      <w:r>
        <w:rPr>
          <w:rFonts w:ascii="Times New Roman" w:hAnsi="Times New Roman" w:cs="Times New Roman"/>
          <w:lang w:val="bg-BG"/>
        </w:rPr>
        <w:t>Съгласно чл. 13</w:t>
      </w:r>
      <w:r w:rsidRPr="00A60FCD">
        <w:rPr>
          <w:rFonts w:ascii="Times New Roman" w:hAnsi="Times New Roman" w:cs="Times New Roman"/>
          <w:lang w:val="bg-BG"/>
        </w:rPr>
        <w:t xml:space="preserve"> от Директива (ЕС) 2015/849</w:t>
      </w:r>
      <w:r w:rsidR="00600A6F">
        <w:rPr>
          <w:rFonts w:ascii="Times New Roman" w:hAnsi="Times New Roman" w:cs="Times New Roman"/>
          <w:lang w:val="bg-BG"/>
        </w:rPr>
        <w:t>/ЕО</w:t>
      </w:r>
      <w:r w:rsidRPr="00A60FCD">
        <w:rPr>
          <w:rFonts w:ascii="Times New Roman" w:hAnsi="Times New Roman" w:cs="Times New Roman"/>
          <w:lang w:val="bg-BG"/>
        </w:rPr>
        <w:t>.</w:t>
      </w:r>
    </w:p>
  </w:footnote>
  <w:footnote w:id="9">
    <w:p w:rsidR="004E7928" w:rsidRPr="004E7928" w:rsidRDefault="004E7928">
      <w:pPr>
        <w:pStyle w:val="FootnoteText"/>
        <w:rPr>
          <w:lang w:val="bg-BG"/>
        </w:rPr>
      </w:pPr>
      <w:r>
        <w:rPr>
          <w:rStyle w:val="FootnoteReference"/>
        </w:rPr>
        <w:footnoteRef/>
      </w:r>
      <w:r>
        <w:t xml:space="preserve"> </w:t>
      </w:r>
      <w:r w:rsidR="004F21A1">
        <w:rPr>
          <w:rFonts w:ascii="Times New Roman" w:hAnsi="Times New Roman" w:cs="Times New Roman"/>
          <w:lang w:val="bg-BG"/>
        </w:rPr>
        <w:t>Съгласно чл. 30, параграф 3</w:t>
      </w:r>
      <w:r w:rsidR="004F21A1" w:rsidRPr="00A60FCD">
        <w:rPr>
          <w:rFonts w:ascii="Times New Roman" w:hAnsi="Times New Roman" w:cs="Times New Roman"/>
          <w:lang w:val="bg-BG"/>
        </w:rPr>
        <w:t xml:space="preserve"> от Директива (ЕС) 2015/849</w:t>
      </w:r>
      <w:r w:rsidR="004F21A1">
        <w:rPr>
          <w:rFonts w:ascii="Times New Roman" w:hAnsi="Times New Roman" w:cs="Times New Roman"/>
          <w:lang w:val="bg-BG"/>
        </w:rPr>
        <w:t>/ЕО и чл. 3 от Директива (ЕС) 2009/101/ЕО.</w:t>
      </w:r>
    </w:p>
  </w:footnote>
  <w:footnote w:id="10">
    <w:p w:rsidR="00CF5F24" w:rsidRPr="00962F5A" w:rsidRDefault="00CF5F24" w:rsidP="00962F5A">
      <w:pPr>
        <w:pStyle w:val="FootnoteText"/>
        <w:jc w:val="both"/>
        <w:rPr>
          <w:rFonts w:ascii="Times New Roman" w:hAnsi="Times New Roman" w:cs="Times New Roman"/>
          <w:lang w:val="bg-BG"/>
        </w:rPr>
      </w:pPr>
      <w:r>
        <w:rPr>
          <w:rStyle w:val="FootnoteReference"/>
        </w:rPr>
        <w:footnoteRef/>
      </w:r>
      <w:r>
        <w:t xml:space="preserve"> </w:t>
      </w:r>
      <w:r w:rsidR="00962F5A">
        <w:rPr>
          <w:rFonts w:ascii="Times New Roman" w:hAnsi="Times New Roman" w:cs="Times New Roman"/>
          <w:lang w:val="bg-BG"/>
        </w:rPr>
        <w:t xml:space="preserve">Съгласно чл. </w:t>
      </w:r>
      <w:r w:rsidR="00962F5A">
        <w:rPr>
          <w:rFonts w:ascii="Times New Roman" w:hAnsi="Times New Roman" w:cs="Times New Roman"/>
          <w:lang w:val="bg-BG"/>
        </w:rPr>
        <w:t>3</w:t>
      </w:r>
      <w:r w:rsidR="00962F5A">
        <w:rPr>
          <w:rFonts w:ascii="Times New Roman" w:hAnsi="Times New Roman" w:cs="Times New Roman"/>
          <w:lang w:val="bg-BG"/>
        </w:rPr>
        <w:t>, определение № 5</w:t>
      </w:r>
      <w:r w:rsidR="00962F5A" w:rsidRPr="00A60FCD">
        <w:rPr>
          <w:rFonts w:ascii="Times New Roman" w:hAnsi="Times New Roman" w:cs="Times New Roman"/>
          <w:lang w:val="bg-BG"/>
        </w:rPr>
        <w:t xml:space="preserve"> от </w:t>
      </w:r>
      <w:r w:rsidR="00962F5A">
        <w:rPr>
          <w:rFonts w:ascii="Times New Roman" w:hAnsi="Times New Roman" w:cs="Times New Roman"/>
          <w:lang w:val="bg-BG"/>
        </w:rPr>
        <w:t>Регламент</w:t>
      </w:r>
      <w:r w:rsidR="00D77DED">
        <w:rPr>
          <w:rFonts w:ascii="Times New Roman" w:hAnsi="Times New Roman" w:cs="Times New Roman"/>
          <w:lang w:val="bg-BG"/>
        </w:rPr>
        <w:t xml:space="preserve"> (ЕС) 2015/847</w:t>
      </w:r>
      <w:r w:rsidR="00962F5A">
        <w:rPr>
          <w:rFonts w:ascii="Times New Roman" w:hAnsi="Times New Roman" w:cs="Times New Roman"/>
          <w:lang w:val="bg-BG"/>
        </w:rPr>
        <w:t>/ЕО</w:t>
      </w:r>
      <w:r w:rsidR="00962F5A" w:rsidRPr="00A60FCD">
        <w:rPr>
          <w:rFonts w:ascii="Times New Roman" w:hAnsi="Times New Roman" w:cs="Times New Roman"/>
          <w:lang w:val="bg-BG"/>
        </w:rPr>
        <w:t>.</w:t>
      </w:r>
    </w:p>
  </w:footnote>
  <w:footnote w:id="11">
    <w:p w:rsidR="00CF5F24" w:rsidRPr="002728D2" w:rsidRDefault="00CF5F24" w:rsidP="002728D2">
      <w:pPr>
        <w:pStyle w:val="FootnoteText"/>
        <w:jc w:val="both"/>
        <w:rPr>
          <w:rFonts w:ascii="Times New Roman" w:hAnsi="Times New Roman" w:cs="Times New Roman"/>
          <w:lang w:val="bg-BG"/>
        </w:rPr>
      </w:pPr>
      <w:r>
        <w:rPr>
          <w:rStyle w:val="FootnoteReference"/>
        </w:rPr>
        <w:footnoteRef/>
      </w:r>
      <w:r>
        <w:t xml:space="preserve"> </w:t>
      </w:r>
      <w:r w:rsidR="002728D2">
        <w:rPr>
          <w:rFonts w:ascii="Times New Roman" w:hAnsi="Times New Roman" w:cs="Times New Roman"/>
          <w:lang w:val="bg-BG"/>
        </w:rPr>
        <w:t xml:space="preserve">Съгласно чл. 3, определение </w:t>
      </w:r>
      <w:r w:rsidR="002728D2">
        <w:rPr>
          <w:rFonts w:ascii="Times New Roman" w:hAnsi="Times New Roman" w:cs="Times New Roman"/>
          <w:lang w:val="bg-BG"/>
        </w:rPr>
        <w:t>№ 3</w:t>
      </w:r>
      <w:r w:rsidR="002728D2" w:rsidRPr="00A60FCD">
        <w:rPr>
          <w:rFonts w:ascii="Times New Roman" w:hAnsi="Times New Roman" w:cs="Times New Roman"/>
          <w:lang w:val="bg-BG"/>
        </w:rPr>
        <w:t xml:space="preserve"> от </w:t>
      </w:r>
      <w:r w:rsidR="002728D2">
        <w:rPr>
          <w:rFonts w:ascii="Times New Roman" w:hAnsi="Times New Roman" w:cs="Times New Roman"/>
          <w:lang w:val="bg-BG"/>
        </w:rPr>
        <w:t>Регламент</w:t>
      </w:r>
      <w:r w:rsidR="00D77DED">
        <w:rPr>
          <w:rFonts w:ascii="Times New Roman" w:hAnsi="Times New Roman" w:cs="Times New Roman"/>
          <w:lang w:val="bg-BG"/>
        </w:rPr>
        <w:t xml:space="preserve"> (ЕС) 2015/847</w:t>
      </w:r>
      <w:r w:rsidR="002728D2">
        <w:rPr>
          <w:rFonts w:ascii="Times New Roman" w:hAnsi="Times New Roman" w:cs="Times New Roman"/>
          <w:lang w:val="bg-BG"/>
        </w:rPr>
        <w:t>/ЕО</w:t>
      </w:r>
      <w:r w:rsidR="002728D2" w:rsidRPr="00A60FCD">
        <w:rPr>
          <w:rFonts w:ascii="Times New Roman" w:hAnsi="Times New Roman" w:cs="Times New Roman"/>
          <w:lang w:val="bg-BG"/>
        </w:rPr>
        <w:t>.</w:t>
      </w:r>
    </w:p>
  </w:footnote>
  <w:footnote w:id="12">
    <w:p w:rsidR="00CF5F24" w:rsidRPr="002728D2" w:rsidRDefault="00CF5F24" w:rsidP="002728D2">
      <w:pPr>
        <w:pStyle w:val="FootnoteText"/>
        <w:jc w:val="both"/>
        <w:rPr>
          <w:rFonts w:ascii="Times New Roman" w:hAnsi="Times New Roman" w:cs="Times New Roman"/>
          <w:lang w:val="bg-BG"/>
        </w:rPr>
      </w:pPr>
      <w:r>
        <w:rPr>
          <w:rStyle w:val="FootnoteReference"/>
        </w:rPr>
        <w:footnoteRef/>
      </w:r>
      <w:r>
        <w:t xml:space="preserve"> </w:t>
      </w:r>
      <w:r w:rsidR="002728D2">
        <w:rPr>
          <w:rFonts w:ascii="Times New Roman" w:hAnsi="Times New Roman" w:cs="Times New Roman"/>
          <w:lang w:val="bg-BG"/>
        </w:rPr>
        <w:t xml:space="preserve">Съгласно чл. 3, определение </w:t>
      </w:r>
      <w:r w:rsidR="002728D2">
        <w:rPr>
          <w:rFonts w:ascii="Times New Roman" w:hAnsi="Times New Roman" w:cs="Times New Roman"/>
          <w:lang w:val="bg-BG"/>
        </w:rPr>
        <w:t>№ 4</w:t>
      </w:r>
      <w:r w:rsidR="002728D2" w:rsidRPr="00A60FCD">
        <w:rPr>
          <w:rFonts w:ascii="Times New Roman" w:hAnsi="Times New Roman" w:cs="Times New Roman"/>
          <w:lang w:val="bg-BG"/>
        </w:rPr>
        <w:t xml:space="preserve"> от </w:t>
      </w:r>
      <w:r w:rsidR="002728D2">
        <w:rPr>
          <w:rFonts w:ascii="Times New Roman" w:hAnsi="Times New Roman" w:cs="Times New Roman"/>
          <w:lang w:val="bg-BG"/>
        </w:rPr>
        <w:t>Регламент</w:t>
      </w:r>
      <w:r w:rsidR="00D77DED">
        <w:rPr>
          <w:rFonts w:ascii="Times New Roman" w:hAnsi="Times New Roman" w:cs="Times New Roman"/>
          <w:lang w:val="bg-BG"/>
        </w:rPr>
        <w:t xml:space="preserve"> (ЕС) 2015/847</w:t>
      </w:r>
      <w:r w:rsidR="002728D2">
        <w:rPr>
          <w:rFonts w:ascii="Times New Roman" w:hAnsi="Times New Roman" w:cs="Times New Roman"/>
          <w:lang w:val="bg-BG"/>
        </w:rPr>
        <w:t>/ЕО</w:t>
      </w:r>
      <w:r w:rsidR="002728D2" w:rsidRPr="00A60FCD">
        <w:rPr>
          <w:rFonts w:ascii="Times New Roman" w:hAnsi="Times New Roman" w:cs="Times New Roman"/>
          <w:lang w:val="bg-BG"/>
        </w:rPr>
        <w:t>.</w:t>
      </w:r>
    </w:p>
  </w:footnote>
  <w:footnote w:id="13">
    <w:p w:rsidR="00CF5F24" w:rsidRPr="00FB2FDD" w:rsidRDefault="00CF5F24" w:rsidP="00FB2FDD">
      <w:pPr>
        <w:pStyle w:val="FootnoteText"/>
        <w:jc w:val="both"/>
        <w:rPr>
          <w:rFonts w:ascii="Times New Roman" w:hAnsi="Times New Roman" w:cs="Times New Roman"/>
          <w:lang w:val="bg-BG"/>
        </w:rPr>
      </w:pPr>
      <w:r>
        <w:rPr>
          <w:rStyle w:val="FootnoteReference"/>
        </w:rPr>
        <w:footnoteRef/>
      </w:r>
      <w:r>
        <w:t xml:space="preserve"> </w:t>
      </w:r>
      <w:r w:rsidR="00FB2FDD">
        <w:rPr>
          <w:rFonts w:ascii="Times New Roman" w:hAnsi="Times New Roman" w:cs="Times New Roman"/>
          <w:lang w:val="bg-BG"/>
        </w:rPr>
        <w:t xml:space="preserve">Съгласно чл. 3, определение </w:t>
      </w:r>
      <w:r w:rsidR="00FB2FDD">
        <w:rPr>
          <w:rFonts w:ascii="Times New Roman" w:hAnsi="Times New Roman" w:cs="Times New Roman"/>
          <w:lang w:val="bg-BG"/>
        </w:rPr>
        <w:t>№ 7</w:t>
      </w:r>
      <w:r w:rsidR="00FB2FDD" w:rsidRPr="00A60FCD">
        <w:rPr>
          <w:rFonts w:ascii="Times New Roman" w:hAnsi="Times New Roman" w:cs="Times New Roman"/>
          <w:lang w:val="bg-BG"/>
        </w:rPr>
        <w:t xml:space="preserve"> от </w:t>
      </w:r>
      <w:r w:rsidR="00FB2FDD">
        <w:rPr>
          <w:rFonts w:ascii="Times New Roman" w:hAnsi="Times New Roman" w:cs="Times New Roman"/>
          <w:lang w:val="bg-BG"/>
        </w:rPr>
        <w:t>Регламент</w:t>
      </w:r>
      <w:r w:rsidR="00D77DED">
        <w:rPr>
          <w:rFonts w:ascii="Times New Roman" w:hAnsi="Times New Roman" w:cs="Times New Roman"/>
          <w:lang w:val="bg-BG"/>
        </w:rPr>
        <w:t xml:space="preserve"> (ЕС) 2015/847</w:t>
      </w:r>
      <w:r w:rsidR="00FB2FDD">
        <w:rPr>
          <w:rFonts w:ascii="Times New Roman" w:hAnsi="Times New Roman" w:cs="Times New Roman"/>
          <w:lang w:val="bg-BG"/>
        </w:rPr>
        <w:t>/ЕО</w:t>
      </w:r>
      <w:r w:rsidR="00FB2FDD" w:rsidRPr="00A60FCD">
        <w:rPr>
          <w:rFonts w:ascii="Times New Roman" w:hAnsi="Times New Roman" w:cs="Times New Roman"/>
          <w:lang w:val="bg-BG"/>
        </w:rPr>
        <w:t>.</w:t>
      </w:r>
    </w:p>
  </w:footnote>
  <w:footnote w:id="14">
    <w:p w:rsidR="00CF5F24" w:rsidRPr="00FB2FDD" w:rsidRDefault="00CF5F24" w:rsidP="00FB2FDD">
      <w:pPr>
        <w:pStyle w:val="FootnoteText"/>
        <w:jc w:val="both"/>
        <w:rPr>
          <w:rFonts w:ascii="Times New Roman" w:hAnsi="Times New Roman" w:cs="Times New Roman"/>
          <w:lang w:val="bg-BG"/>
        </w:rPr>
      </w:pPr>
      <w:r>
        <w:rPr>
          <w:rStyle w:val="FootnoteReference"/>
        </w:rPr>
        <w:footnoteRef/>
      </w:r>
      <w:r>
        <w:t xml:space="preserve"> </w:t>
      </w:r>
      <w:r w:rsidR="00FB2FDD">
        <w:rPr>
          <w:rFonts w:ascii="Times New Roman" w:hAnsi="Times New Roman" w:cs="Times New Roman"/>
          <w:lang w:val="bg-BG"/>
        </w:rPr>
        <w:t xml:space="preserve">Съгласно чл. 3, определение </w:t>
      </w:r>
      <w:r w:rsidR="00FB2FDD">
        <w:rPr>
          <w:rFonts w:ascii="Times New Roman" w:hAnsi="Times New Roman" w:cs="Times New Roman"/>
          <w:lang w:val="bg-BG"/>
        </w:rPr>
        <w:t>№ 11</w:t>
      </w:r>
      <w:r w:rsidR="00FB2FDD" w:rsidRPr="00A60FCD">
        <w:rPr>
          <w:rFonts w:ascii="Times New Roman" w:hAnsi="Times New Roman" w:cs="Times New Roman"/>
          <w:lang w:val="bg-BG"/>
        </w:rPr>
        <w:t xml:space="preserve"> от </w:t>
      </w:r>
      <w:r w:rsidR="00FB2FDD">
        <w:rPr>
          <w:rFonts w:ascii="Times New Roman" w:hAnsi="Times New Roman" w:cs="Times New Roman"/>
          <w:lang w:val="bg-BG"/>
        </w:rPr>
        <w:t>Регламент</w:t>
      </w:r>
      <w:r w:rsidR="00D77DED">
        <w:rPr>
          <w:rFonts w:ascii="Times New Roman" w:hAnsi="Times New Roman" w:cs="Times New Roman"/>
          <w:lang w:val="bg-BG"/>
        </w:rPr>
        <w:t xml:space="preserve"> (ЕС) 2015/847</w:t>
      </w:r>
      <w:r w:rsidR="00FB2FDD">
        <w:rPr>
          <w:rFonts w:ascii="Times New Roman" w:hAnsi="Times New Roman" w:cs="Times New Roman"/>
          <w:lang w:val="bg-BG"/>
        </w:rPr>
        <w:t>/ЕО</w:t>
      </w:r>
      <w:r w:rsidR="00FB2FDD" w:rsidRPr="00A60FCD">
        <w:rPr>
          <w:rFonts w:ascii="Times New Roman" w:hAnsi="Times New Roman" w:cs="Times New Roman"/>
          <w:lang w:val="bg-BG"/>
        </w:rPr>
        <w:t>.</w:t>
      </w:r>
    </w:p>
  </w:footnote>
  <w:footnote w:id="15">
    <w:p w:rsidR="00895CF9" w:rsidRPr="00895CF9" w:rsidRDefault="00895CF9" w:rsidP="00895CF9">
      <w:pPr>
        <w:pStyle w:val="FootnoteText"/>
        <w:jc w:val="both"/>
        <w:rPr>
          <w:rFonts w:ascii="Times New Roman" w:hAnsi="Times New Roman" w:cs="Times New Roman"/>
          <w:lang w:val="bg-BG"/>
        </w:rPr>
      </w:pPr>
      <w:r>
        <w:rPr>
          <w:rStyle w:val="FootnoteReference"/>
        </w:rPr>
        <w:footnoteRef/>
      </w:r>
      <w:r>
        <w:t xml:space="preserve"> </w:t>
      </w:r>
      <w:r>
        <w:rPr>
          <w:rFonts w:ascii="Times New Roman" w:hAnsi="Times New Roman" w:cs="Times New Roman"/>
          <w:lang w:val="bg-BG"/>
        </w:rPr>
        <w:t xml:space="preserve">Съгласно чл. </w:t>
      </w:r>
      <w:r>
        <w:rPr>
          <w:rFonts w:ascii="Times New Roman" w:hAnsi="Times New Roman" w:cs="Times New Roman"/>
          <w:lang w:val="bg-BG"/>
        </w:rPr>
        <w:t xml:space="preserve">9 </w:t>
      </w:r>
      <w:r w:rsidRPr="00A60FCD">
        <w:rPr>
          <w:rFonts w:ascii="Times New Roman" w:hAnsi="Times New Roman" w:cs="Times New Roman"/>
          <w:lang w:val="bg-BG"/>
        </w:rPr>
        <w:t xml:space="preserve">от </w:t>
      </w:r>
      <w:r>
        <w:rPr>
          <w:rFonts w:ascii="Times New Roman" w:hAnsi="Times New Roman" w:cs="Times New Roman"/>
          <w:lang w:val="bg-BG"/>
        </w:rPr>
        <w:t>Регламент</w:t>
      </w:r>
      <w:r w:rsidR="00D77DED">
        <w:rPr>
          <w:rFonts w:ascii="Times New Roman" w:hAnsi="Times New Roman" w:cs="Times New Roman"/>
          <w:lang w:val="bg-BG"/>
        </w:rPr>
        <w:t xml:space="preserve"> (ЕС) 2015/847</w:t>
      </w:r>
      <w:r>
        <w:rPr>
          <w:rFonts w:ascii="Times New Roman" w:hAnsi="Times New Roman" w:cs="Times New Roman"/>
          <w:lang w:val="bg-BG"/>
        </w:rPr>
        <w:t>/ЕО</w:t>
      </w:r>
      <w:r>
        <w:rPr>
          <w:rFonts w:ascii="Times New Roman" w:hAnsi="Times New Roman" w:cs="Times New Roman"/>
          <w:lang w:val="bg-BG"/>
        </w:rPr>
        <w:t xml:space="preserve">, </w:t>
      </w:r>
      <w:proofErr w:type="spellStart"/>
      <w:r>
        <w:rPr>
          <w:rFonts w:ascii="Times New Roman" w:hAnsi="Times New Roman" w:cs="Times New Roman"/>
          <w:lang w:val="bg-BG"/>
        </w:rPr>
        <w:t>вр</w:t>
      </w:r>
      <w:proofErr w:type="spellEnd"/>
      <w:r>
        <w:rPr>
          <w:rFonts w:ascii="Times New Roman" w:hAnsi="Times New Roman" w:cs="Times New Roman"/>
          <w:lang w:val="bg-BG"/>
        </w:rPr>
        <w:t xml:space="preserve">. с Директива </w:t>
      </w:r>
      <w:r w:rsidRPr="00A60FCD">
        <w:rPr>
          <w:rFonts w:ascii="Times New Roman" w:hAnsi="Times New Roman" w:cs="Times New Roman"/>
          <w:lang w:val="bg-BG"/>
        </w:rPr>
        <w:t>(ЕС) 2015/849</w:t>
      </w:r>
      <w:r>
        <w:rPr>
          <w:rFonts w:ascii="Times New Roman" w:hAnsi="Times New Roman" w:cs="Times New Roman"/>
          <w:lang w:val="bg-BG"/>
        </w:rPr>
        <w:t>/ЕО</w:t>
      </w:r>
      <w:r>
        <w:rPr>
          <w:rFonts w:ascii="Times New Roman" w:hAnsi="Times New Roman" w:cs="Times New Roman"/>
          <w:lang w:val="bg-BG"/>
        </w:rPr>
        <w:t>.</w:t>
      </w:r>
    </w:p>
  </w:footnote>
  <w:footnote w:id="16">
    <w:p w:rsidR="00DB2925" w:rsidRPr="00DB2925" w:rsidRDefault="00DB2925">
      <w:pPr>
        <w:pStyle w:val="FootnoteText"/>
        <w:rPr>
          <w:lang w:val="bg-BG"/>
        </w:rPr>
      </w:pPr>
      <w:r>
        <w:rPr>
          <w:rStyle w:val="FootnoteReference"/>
        </w:rPr>
        <w:footnoteRef/>
      </w:r>
      <w:r>
        <w:t xml:space="preserve"> </w:t>
      </w:r>
      <w:r>
        <w:rPr>
          <w:rFonts w:ascii="Times New Roman" w:hAnsi="Times New Roman" w:cs="Times New Roman"/>
          <w:lang w:val="bg-BG"/>
        </w:rPr>
        <w:t xml:space="preserve">Съгласно чл. 3, определение </w:t>
      </w:r>
      <w:r>
        <w:rPr>
          <w:rFonts w:ascii="Times New Roman" w:hAnsi="Times New Roman" w:cs="Times New Roman"/>
          <w:lang w:val="bg-BG"/>
        </w:rPr>
        <w:t>№ 6</w:t>
      </w:r>
      <w:r w:rsidRPr="00A60FCD">
        <w:rPr>
          <w:rFonts w:ascii="Times New Roman" w:hAnsi="Times New Roman" w:cs="Times New Roman"/>
          <w:lang w:val="bg-BG"/>
        </w:rPr>
        <w:t xml:space="preserve"> от </w:t>
      </w:r>
      <w:r>
        <w:rPr>
          <w:rFonts w:ascii="Times New Roman" w:hAnsi="Times New Roman" w:cs="Times New Roman"/>
          <w:lang w:val="bg-BG"/>
        </w:rPr>
        <w:t>Регламент (ЕС) 2015/847/ЕО</w:t>
      </w:r>
      <w:r w:rsidRPr="00A60FCD">
        <w:rPr>
          <w:rFonts w:ascii="Times New Roman" w:hAnsi="Times New Roman" w:cs="Times New Roman"/>
          <w:lang w:val="bg-BG"/>
        </w:rPr>
        <w:t>.</w:t>
      </w:r>
    </w:p>
  </w:footnote>
  <w:footnote w:id="17">
    <w:p w:rsidR="004B5D1C" w:rsidRPr="005F5A4B" w:rsidRDefault="004B5D1C" w:rsidP="005F5A4B">
      <w:pPr>
        <w:pStyle w:val="FootnoteText"/>
        <w:jc w:val="both"/>
        <w:rPr>
          <w:rFonts w:ascii="Times New Roman" w:hAnsi="Times New Roman" w:cs="Times New Roman"/>
          <w:lang w:val="bg-BG"/>
        </w:rPr>
      </w:pPr>
      <w:r>
        <w:rPr>
          <w:rStyle w:val="FootnoteReference"/>
        </w:rPr>
        <w:footnoteRef/>
      </w:r>
      <w:r>
        <w:t xml:space="preserve"> </w:t>
      </w:r>
      <w:r w:rsidR="005F5A4B">
        <w:rPr>
          <w:rFonts w:ascii="Times New Roman" w:hAnsi="Times New Roman" w:cs="Times New Roman"/>
          <w:lang w:val="bg-BG"/>
        </w:rPr>
        <w:t xml:space="preserve">Съгласно чл. </w:t>
      </w:r>
      <w:r w:rsidR="005F5A4B">
        <w:rPr>
          <w:rFonts w:ascii="Times New Roman" w:hAnsi="Times New Roman" w:cs="Times New Roman"/>
          <w:lang w:val="bg-BG"/>
        </w:rPr>
        <w:t>12</w:t>
      </w:r>
      <w:r w:rsidR="005F5A4B">
        <w:rPr>
          <w:rFonts w:ascii="Times New Roman" w:hAnsi="Times New Roman" w:cs="Times New Roman"/>
          <w:lang w:val="bg-BG"/>
        </w:rPr>
        <w:t xml:space="preserve"> </w:t>
      </w:r>
      <w:r w:rsidR="005F5A4B" w:rsidRPr="00A60FCD">
        <w:rPr>
          <w:rFonts w:ascii="Times New Roman" w:hAnsi="Times New Roman" w:cs="Times New Roman"/>
          <w:lang w:val="bg-BG"/>
        </w:rPr>
        <w:t xml:space="preserve">от </w:t>
      </w:r>
      <w:r w:rsidR="005F5A4B">
        <w:rPr>
          <w:rFonts w:ascii="Times New Roman" w:hAnsi="Times New Roman" w:cs="Times New Roman"/>
          <w:lang w:val="bg-BG"/>
        </w:rPr>
        <w:t xml:space="preserve">Регламент (ЕС) 2015/847/ЕО, </w:t>
      </w:r>
      <w:proofErr w:type="spellStart"/>
      <w:r w:rsidR="005F5A4B">
        <w:rPr>
          <w:rFonts w:ascii="Times New Roman" w:hAnsi="Times New Roman" w:cs="Times New Roman"/>
          <w:lang w:val="bg-BG"/>
        </w:rPr>
        <w:t>вр</w:t>
      </w:r>
      <w:proofErr w:type="spellEnd"/>
      <w:r w:rsidR="005F5A4B">
        <w:rPr>
          <w:rFonts w:ascii="Times New Roman" w:hAnsi="Times New Roman" w:cs="Times New Roman"/>
          <w:lang w:val="bg-BG"/>
        </w:rPr>
        <w:t xml:space="preserve">. с Директива </w:t>
      </w:r>
      <w:r w:rsidR="005F5A4B" w:rsidRPr="00A60FCD">
        <w:rPr>
          <w:rFonts w:ascii="Times New Roman" w:hAnsi="Times New Roman" w:cs="Times New Roman"/>
          <w:lang w:val="bg-BG"/>
        </w:rPr>
        <w:t>(ЕС) 2015/849</w:t>
      </w:r>
      <w:r w:rsidR="005F5A4B">
        <w:rPr>
          <w:rFonts w:ascii="Times New Roman" w:hAnsi="Times New Roman" w:cs="Times New Roman"/>
          <w:lang w:val="bg-BG"/>
        </w:rPr>
        <w:t>/ЕО.</w:t>
      </w:r>
    </w:p>
  </w:footnote>
  <w:footnote w:id="18">
    <w:p w:rsidR="004B5D1C" w:rsidRPr="004B5D1C" w:rsidRDefault="004B5D1C" w:rsidP="004B5D1C">
      <w:pPr>
        <w:pStyle w:val="FootnoteText"/>
        <w:jc w:val="both"/>
        <w:rPr>
          <w:rFonts w:ascii="Times New Roman" w:hAnsi="Times New Roman" w:cs="Times New Roman"/>
          <w:lang w:val="bg-BG"/>
        </w:rPr>
      </w:pPr>
      <w:r>
        <w:rPr>
          <w:rStyle w:val="FootnoteReference"/>
        </w:rPr>
        <w:footnoteRef/>
      </w:r>
      <w:r>
        <w:t xml:space="preserve"> </w:t>
      </w:r>
      <w:r>
        <w:rPr>
          <w:rFonts w:ascii="Times New Roman" w:hAnsi="Times New Roman" w:cs="Times New Roman"/>
          <w:lang w:val="bg-BG"/>
        </w:rPr>
        <w:t xml:space="preserve">Съгласно чл. </w:t>
      </w:r>
      <w:r>
        <w:rPr>
          <w:rFonts w:ascii="Times New Roman" w:hAnsi="Times New Roman" w:cs="Times New Roman"/>
          <w:lang w:val="bg-BG"/>
        </w:rPr>
        <w:t>13</w:t>
      </w:r>
      <w:r>
        <w:rPr>
          <w:rFonts w:ascii="Times New Roman" w:hAnsi="Times New Roman" w:cs="Times New Roman"/>
          <w:lang w:val="bg-BG"/>
        </w:rPr>
        <w:t xml:space="preserve"> </w:t>
      </w:r>
      <w:r w:rsidRPr="00A60FCD">
        <w:rPr>
          <w:rFonts w:ascii="Times New Roman" w:hAnsi="Times New Roman" w:cs="Times New Roman"/>
          <w:lang w:val="bg-BG"/>
        </w:rPr>
        <w:t xml:space="preserve">от </w:t>
      </w:r>
      <w:r>
        <w:rPr>
          <w:rFonts w:ascii="Times New Roman" w:hAnsi="Times New Roman" w:cs="Times New Roman"/>
          <w:lang w:val="bg-BG"/>
        </w:rPr>
        <w:t xml:space="preserve">Регламент (ЕС) 2015/847/ЕО, </w:t>
      </w:r>
      <w:proofErr w:type="spellStart"/>
      <w:r>
        <w:rPr>
          <w:rFonts w:ascii="Times New Roman" w:hAnsi="Times New Roman" w:cs="Times New Roman"/>
          <w:lang w:val="bg-BG"/>
        </w:rPr>
        <w:t>вр</w:t>
      </w:r>
      <w:proofErr w:type="spellEnd"/>
      <w:r>
        <w:rPr>
          <w:rFonts w:ascii="Times New Roman" w:hAnsi="Times New Roman" w:cs="Times New Roman"/>
          <w:lang w:val="bg-BG"/>
        </w:rPr>
        <w:t xml:space="preserve">. с Директива </w:t>
      </w:r>
      <w:r w:rsidRPr="00A60FCD">
        <w:rPr>
          <w:rFonts w:ascii="Times New Roman" w:hAnsi="Times New Roman" w:cs="Times New Roman"/>
          <w:lang w:val="bg-BG"/>
        </w:rPr>
        <w:t>(ЕС) 2015/849</w:t>
      </w:r>
      <w:r>
        <w:rPr>
          <w:rFonts w:ascii="Times New Roman" w:hAnsi="Times New Roman" w:cs="Times New Roman"/>
          <w:lang w:val="bg-BG"/>
        </w:rPr>
        <w:t>/ЕО.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324D"/>
    <w:multiLevelType w:val="hybridMultilevel"/>
    <w:tmpl w:val="EC0E9AD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nsid w:val="16B016A2"/>
    <w:multiLevelType w:val="hybridMultilevel"/>
    <w:tmpl w:val="EE28303E"/>
    <w:lvl w:ilvl="0" w:tplc="AF84EC7A">
      <w:start w:val="1"/>
      <w:numFmt w:val="decimal"/>
      <w:lvlText w:val="%1."/>
      <w:lvlJc w:val="left"/>
      <w:pPr>
        <w:ind w:left="720" w:hanging="360"/>
      </w:pPr>
      <w:rPr>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C911699"/>
    <w:multiLevelType w:val="hybridMultilevel"/>
    <w:tmpl w:val="62DE40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28B60900"/>
    <w:multiLevelType w:val="hybridMultilevel"/>
    <w:tmpl w:val="0186D8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58D81AA6"/>
    <w:multiLevelType w:val="hybridMultilevel"/>
    <w:tmpl w:val="2A0A1A26"/>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nsid w:val="5B88330D"/>
    <w:multiLevelType w:val="hybridMultilevel"/>
    <w:tmpl w:val="64BAA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CF1554B"/>
    <w:multiLevelType w:val="hybridMultilevel"/>
    <w:tmpl w:val="E7740F6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nsid w:val="602071B5"/>
    <w:multiLevelType w:val="hybridMultilevel"/>
    <w:tmpl w:val="16CE1D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61762FBC"/>
    <w:multiLevelType w:val="hybridMultilevel"/>
    <w:tmpl w:val="D3445A86"/>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9">
    <w:nsid w:val="636F5BE5"/>
    <w:multiLevelType w:val="hybridMultilevel"/>
    <w:tmpl w:val="A0FED032"/>
    <w:lvl w:ilvl="0" w:tplc="B92A298E">
      <w:start w:val="1"/>
      <w:numFmt w:val="decimal"/>
      <w:lvlText w:val="%1."/>
      <w:lvlJc w:val="left"/>
      <w:pPr>
        <w:ind w:left="360" w:hanging="360"/>
      </w:pPr>
      <w:rPr>
        <w:sz w:val="24"/>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nsid w:val="680B4994"/>
    <w:multiLevelType w:val="hybridMultilevel"/>
    <w:tmpl w:val="7CDC8012"/>
    <w:lvl w:ilvl="0" w:tplc="B8B6B6FE">
      <w:start w:val="1"/>
      <w:numFmt w:val="decimal"/>
      <w:lvlText w:val="%1."/>
      <w:lvlJc w:val="left"/>
      <w:pPr>
        <w:ind w:left="720" w:hanging="360"/>
      </w:pPr>
      <w:rPr>
        <w:sz w:val="24"/>
        <w:szCs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8"/>
  </w:num>
  <w:num w:numId="5">
    <w:abstractNumId w:val="9"/>
  </w:num>
  <w:num w:numId="6">
    <w:abstractNumId w:val="1"/>
  </w:num>
  <w:num w:numId="7">
    <w:abstractNumId w:val="4"/>
  </w:num>
  <w:num w:numId="8">
    <w:abstractNumId w:val="0"/>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FF"/>
    <w:rsid w:val="00026B6E"/>
    <w:rsid w:val="00045105"/>
    <w:rsid w:val="00053268"/>
    <w:rsid w:val="000550DE"/>
    <w:rsid w:val="000764DE"/>
    <w:rsid w:val="0009674B"/>
    <w:rsid w:val="000C6001"/>
    <w:rsid w:val="000D2D87"/>
    <w:rsid w:val="000D5869"/>
    <w:rsid w:val="000F0D1F"/>
    <w:rsid w:val="001001C9"/>
    <w:rsid w:val="001028E0"/>
    <w:rsid w:val="00112EFD"/>
    <w:rsid w:val="00113785"/>
    <w:rsid w:val="0013121A"/>
    <w:rsid w:val="00131770"/>
    <w:rsid w:val="00170F19"/>
    <w:rsid w:val="001A5272"/>
    <w:rsid w:val="001D0D73"/>
    <w:rsid w:val="001D101C"/>
    <w:rsid w:val="001D576E"/>
    <w:rsid w:val="001E106B"/>
    <w:rsid w:val="001E4EA0"/>
    <w:rsid w:val="001E55B3"/>
    <w:rsid w:val="002417D6"/>
    <w:rsid w:val="00253333"/>
    <w:rsid w:val="00255880"/>
    <w:rsid w:val="00255C00"/>
    <w:rsid w:val="00263A60"/>
    <w:rsid w:val="00267A7F"/>
    <w:rsid w:val="00267C78"/>
    <w:rsid w:val="002728D2"/>
    <w:rsid w:val="00273853"/>
    <w:rsid w:val="00296330"/>
    <w:rsid w:val="002A4547"/>
    <w:rsid w:val="002B586B"/>
    <w:rsid w:val="002E36A8"/>
    <w:rsid w:val="003135C2"/>
    <w:rsid w:val="00317981"/>
    <w:rsid w:val="00325B3B"/>
    <w:rsid w:val="00334050"/>
    <w:rsid w:val="00342976"/>
    <w:rsid w:val="0035116F"/>
    <w:rsid w:val="00392471"/>
    <w:rsid w:val="003A1004"/>
    <w:rsid w:val="003A5EE8"/>
    <w:rsid w:val="003B4A45"/>
    <w:rsid w:val="003B5492"/>
    <w:rsid w:val="003B54C8"/>
    <w:rsid w:val="003C17F6"/>
    <w:rsid w:val="003D5E7A"/>
    <w:rsid w:val="003F552E"/>
    <w:rsid w:val="004016A0"/>
    <w:rsid w:val="00401B03"/>
    <w:rsid w:val="00437419"/>
    <w:rsid w:val="004724EC"/>
    <w:rsid w:val="004907A5"/>
    <w:rsid w:val="004A6F89"/>
    <w:rsid w:val="004A6F99"/>
    <w:rsid w:val="004B2DA1"/>
    <w:rsid w:val="004B5D1C"/>
    <w:rsid w:val="004D18D1"/>
    <w:rsid w:val="004D4957"/>
    <w:rsid w:val="004E7928"/>
    <w:rsid w:val="004F21A1"/>
    <w:rsid w:val="00522803"/>
    <w:rsid w:val="005311A0"/>
    <w:rsid w:val="005338C7"/>
    <w:rsid w:val="00541542"/>
    <w:rsid w:val="00542587"/>
    <w:rsid w:val="005549F9"/>
    <w:rsid w:val="00564F18"/>
    <w:rsid w:val="00571F3C"/>
    <w:rsid w:val="00573B22"/>
    <w:rsid w:val="00582C32"/>
    <w:rsid w:val="00592912"/>
    <w:rsid w:val="005951B4"/>
    <w:rsid w:val="005A3D37"/>
    <w:rsid w:val="005D261F"/>
    <w:rsid w:val="005F0F8C"/>
    <w:rsid w:val="005F5A4B"/>
    <w:rsid w:val="00600A6F"/>
    <w:rsid w:val="00602362"/>
    <w:rsid w:val="00640DF8"/>
    <w:rsid w:val="00676538"/>
    <w:rsid w:val="006A4B4C"/>
    <w:rsid w:val="006B134B"/>
    <w:rsid w:val="006F7136"/>
    <w:rsid w:val="007048D0"/>
    <w:rsid w:val="00727F70"/>
    <w:rsid w:val="00741345"/>
    <w:rsid w:val="0074137F"/>
    <w:rsid w:val="0075318C"/>
    <w:rsid w:val="00754053"/>
    <w:rsid w:val="007643D3"/>
    <w:rsid w:val="00765A54"/>
    <w:rsid w:val="00780597"/>
    <w:rsid w:val="00781F68"/>
    <w:rsid w:val="007A26F8"/>
    <w:rsid w:val="007B61A9"/>
    <w:rsid w:val="007D478C"/>
    <w:rsid w:val="00813889"/>
    <w:rsid w:val="0082468B"/>
    <w:rsid w:val="00833047"/>
    <w:rsid w:val="00845F1A"/>
    <w:rsid w:val="00855E72"/>
    <w:rsid w:val="00877286"/>
    <w:rsid w:val="00880272"/>
    <w:rsid w:val="00887C90"/>
    <w:rsid w:val="00890072"/>
    <w:rsid w:val="00895CF9"/>
    <w:rsid w:val="008A48B1"/>
    <w:rsid w:val="008A642C"/>
    <w:rsid w:val="008B447C"/>
    <w:rsid w:val="008F63D7"/>
    <w:rsid w:val="00902904"/>
    <w:rsid w:val="009263D2"/>
    <w:rsid w:val="00962F5A"/>
    <w:rsid w:val="00963871"/>
    <w:rsid w:val="009C3741"/>
    <w:rsid w:val="00A03DB6"/>
    <w:rsid w:val="00A17839"/>
    <w:rsid w:val="00A2209D"/>
    <w:rsid w:val="00A236A3"/>
    <w:rsid w:val="00A409CD"/>
    <w:rsid w:val="00A43B28"/>
    <w:rsid w:val="00A60FCD"/>
    <w:rsid w:val="00A70AF4"/>
    <w:rsid w:val="00A953FF"/>
    <w:rsid w:val="00AA35CF"/>
    <w:rsid w:val="00AB0502"/>
    <w:rsid w:val="00AB7136"/>
    <w:rsid w:val="00AC1470"/>
    <w:rsid w:val="00AE1924"/>
    <w:rsid w:val="00B012F3"/>
    <w:rsid w:val="00B138A7"/>
    <w:rsid w:val="00B1499A"/>
    <w:rsid w:val="00B1650E"/>
    <w:rsid w:val="00B30B3D"/>
    <w:rsid w:val="00B71B03"/>
    <w:rsid w:val="00BA5D69"/>
    <w:rsid w:val="00BA693A"/>
    <w:rsid w:val="00BB07C2"/>
    <w:rsid w:val="00BB38CE"/>
    <w:rsid w:val="00C10C1C"/>
    <w:rsid w:val="00C17F31"/>
    <w:rsid w:val="00C30208"/>
    <w:rsid w:val="00C30BAC"/>
    <w:rsid w:val="00C36C25"/>
    <w:rsid w:val="00C37F6A"/>
    <w:rsid w:val="00C729F8"/>
    <w:rsid w:val="00C844AE"/>
    <w:rsid w:val="00C90FF0"/>
    <w:rsid w:val="00CA1113"/>
    <w:rsid w:val="00CA7859"/>
    <w:rsid w:val="00CB3FA0"/>
    <w:rsid w:val="00CC4E7E"/>
    <w:rsid w:val="00CF5F24"/>
    <w:rsid w:val="00D12D38"/>
    <w:rsid w:val="00D148FA"/>
    <w:rsid w:val="00D22DB2"/>
    <w:rsid w:val="00D57D29"/>
    <w:rsid w:val="00D77DED"/>
    <w:rsid w:val="00D85FAD"/>
    <w:rsid w:val="00D968D2"/>
    <w:rsid w:val="00DA4CAC"/>
    <w:rsid w:val="00DB2925"/>
    <w:rsid w:val="00DB630D"/>
    <w:rsid w:val="00DC64DE"/>
    <w:rsid w:val="00DD34FA"/>
    <w:rsid w:val="00DD600D"/>
    <w:rsid w:val="00DD6CB8"/>
    <w:rsid w:val="00DF5BEA"/>
    <w:rsid w:val="00E219E5"/>
    <w:rsid w:val="00E42C31"/>
    <w:rsid w:val="00E52DB3"/>
    <w:rsid w:val="00E60C37"/>
    <w:rsid w:val="00E62137"/>
    <w:rsid w:val="00E81CFE"/>
    <w:rsid w:val="00EA0BDA"/>
    <w:rsid w:val="00EA1BA5"/>
    <w:rsid w:val="00EA3536"/>
    <w:rsid w:val="00ED5ABE"/>
    <w:rsid w:val="00ED6FDD"/>
    <w:rsid w:val="00EE61C5"/>
    <w:rsid w:val="00F141F8"/>
    <w:rsid w:val="00F2146F"/>
    <w:rsid w:val="00F21F23"/>
    <w:rsid w:val="00F332A2"/>
    <w:rsid w:val="00F43E85"/>
    <w:rsid w:val="00F53FAB"/>
    <w:rsid w:val="00F54793"/>
    <w:rsid w:val="00F60435"/>
    <w:rsid w:val="00F81483"/>
    <w:rsid w:val="00F84EBF"/>
    <w:rsid w:val="00F94A84"/>
    <w:rsid w:val="00FA1F42"/>
    <w:rsid w:val="00FB2FDD"/>
    <w:rsid w:val="00FD7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CC43C0-864C-4F1C-B659-9BB7A155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953FF"/>
  </w:style>
  <w:style w:type="paragraph" w:customStyle="1" w:styleId="Header1">
    <w:name w:val="Header1"/>
    <w:basedOn w:val="Normal"/>
    <w:next w:val="Header"/>
    <w:link w:val="HeaderChar"/>
    <w:uiPriority w:val="99"/>
    <w:unhideWhenUsed/>
    <w:rsid w:val="00A953FF"/>
    <w:pPr>
      <w:tabs>
        <w:tab w:val="center" w:pos="4536"/>
        <w:tab w:val="right" w:pos="9072"/>
      </w:tabs>
      <w:spacing w:after="0" w:line="240" w:lineRule="auto"/>
    </w:pPr>
  </w:style>
  <w:style w:type="character" w:customStyle="1" w:styleId="HeaderChar">
    <w:name w:val="Header Char"/>
    <w:basedOn w:val="DefaultParagraphFont"/>
    <w:link w:val="Header1"/>
    <w:uiPriority w:val="99"/>
    <w:rsid w:val="00A953FF"/>
  </w:style>
  <w:style w:type="paragraph" w:customStyle="1" w:styleId="Footer1">
    <w:name w:val="Footer1"/>
    <w:basedOn w:val="Normal"/>
    <w:next w:val="Footer"/>
    <w:link w:val="FooterChar"/>
    <w:uiPriority w:val="99"/>
    <w:unhideWhenUsed/>
    <w:rsid w:val="00A953FF"/>
    <w:pPr>
      <w:tabs>
        <w:tab w:val="center" w:pos="4536"/>
        <w:tab w:val="right" w:pos="9072"/>
      </w:tabs>
      <w:spacing w:after="0" w:line="240" w:lineRule="auto"/>
    </w:pPr>
  </w:style>
  <w:style w:type="character" w:customStyle="1" w:styleId="FooterChar">
    <w:name w:val="Footer Char"/>
    <w:basedOn w:val="DefaultParagraphFont"/>
    <w:link w:val="Footer1"/>
    <w:uiPriority w:val="99"/>
    <w:rsid w:val="00A953FF"/>
  </w:style>
  <w:style w:type="character" w:customStyle="1" w:styleId="Hyperlink1">
    <w:name w:val="Hyperlink1"/>
    <w:basedOn w:val="DefaultParagraphFont"/>
    <w:uiPriority w:val="99"/>
    <w:unhideWhenUsed/>
    <w:rsid w:val="00A953FF"/>
    <w:rPr>
      <w:color w:val="0563C1"/>
      <w:u w:val="single"/>
    </w:rPr>
  </w:style>
  <w:style w:type="paragraph" w:customStyle="1" w:styleId="BalloonText1">
    <w:name w:val="Balloon Text1"/>
    <w:basedOn w:val="Normal"/>
    <w:next w:val="BalloonText"/>
    <w:link w:val="BalloonTextChar"/>
    <w:uiPriority w:val="99"/>
    <w:semiHidden/>
    <w:unhideWhenUsed/>
    <w:rsid w:val="00A953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A953FF"/>
    <w:rPr>
      <w:rFonts w:ascii="Segoe UI" w:hAnsi="Segoe UI" w:cs="Segoe UI"/>
      <w:sz w:val="18"/>
      <w:szCs w:val="18"/>
    </w:rPr>
  </w:style>
  <w:style w:type="paragraph" w:customStyle="1" w:styleId="FootnoteText1">
    <w:name w:val="Footnote Text1"/>
    <w:basedOn w:val="Normal"/>
    <w:next w:val="FootnoteText"/>
    <w:link w:val="FootnoteTextChar"/>
    <w:uiPriority w:val="99"/>
    <w:unhideWhenUsed/>
    <w:rsid w:val="00A953FF"/>
    <w:pPr>
      <w:spacing w:after="0" w:line="240" w:lineRule="auto"/>
    </w:pPr>
    <w:rPr>
      <w:sz w:val="20"/>
      <w:szCs w:val="20"/>
    </w:rPr>
  </w:style>
  <w:style w:type="character" w:customStyle="1" w:styleId="FootnoteTextChar">
    <w:name w:val="Footnote Text Char"/>
    <w:basedOn w:val="DefaultParagraphFont"/>
    <w:link w:val="FootnoteText1"/>
    <w:uiPriority w:val="99"/>
    <w:rsid w:val="00A953FF"/>
    <w:rPr>
      <w:sz w:val="20"/>
      <w:szCs w:val="20"/>
    </w:rPr>
  </w:style>
  <w:style w:type="character" w:styleId="FootnoteReference">
    <w:name w:val="footnote reference"/>
    <w:basedOn w:val="DefaultParagraphFont"/>
    <w:uiPriority w:val="99"/>
    <w:semiHidden/>
    <w:unhideWhenUsed/>
    <w:rsid w:val="00A953FF"/>
    <w:rPr>
      <w:vertAlign w:val="superscript"/>
    </w:rPr>
  </w:style>
  <w:style w:type="paragraph" w:customStyle="1" w:styleId="ListParagraph1">
    <w:name w:val="List Paragraph1"/>
    <w:basedOn w:val="Normal"/>
    <w:next w:val="ListParagraph"/>
    <w:uiPriority w:val="34"/>
    <w:qFormat/>
    <w:rsid w:val="00A953FF"/>
    <w:pPr>
      <w:spacing w:after="160" w:line="259" w:lineRule="auto"/>
      <w:ind w:left="720"/>
      <w:contextualSpacing/>
    </w:pPr>
    <w:rPr>
      <w:lang w:val="bg-BG"/>
    </w:rPr>
  </w:style>
  <w:style w:type="character" w:customStyle="1" w:styleId="hps">
    <w:name w:val="hps"/>
    <w:basedOn w:val="DefaultParagraphFont"/>
    <w:rsid w:val="00A953FF"/>
  </w:style>
  <w:style w:type="paragraph" w:customStyle="1" w:styleId="Caption1">
    <w:name w:val="Caption1"/>
    <w:basedOn w:val="Normal"/>
    <w:next w:val="Normal"/>
    <w:uiPriority w:val="35"/>
    <w:unhideWhenUsed/>
    <w:qFormat/>
    <w:rsid w:val="00A953FF"/>
    <w:pPr>
      <w:spacing w:line="240" w:lineRule="auto"/>
    </w:pPr>
    <w:rPr>
      <w:i/>
      <w:iCs/>
      <w:color w:val="44546A"/>
      <w:sz w:val="18"/>
      <w:szCs w:val="18"/>
      <w:lang w:val="bg-BG"/>
    </w:rPr>
  </w:style>
  <w:style w:type="paragraph" w:styleId="NormalWeb">
    <w:name w:val="Normal (Web)"/>
    <w:basedOn w:val="Normal"/>
    <w:uiPriority w:val="99"/>
    <w:semiHidden/>
    <w:unhideWhenUsed/>
    <w:rsid w:val="00A95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llowedHyperlink1">
    <w:name w:val="FollowedHyperlink1"/>
    <w:basedOn w:val="DefaultParagraphFont"/>
    <w:uiPriority w:val="99"/>
    <w:semiHidden/>
    <w:unhideWhenUsed/>
    <w:rsid w:val="00A953FF"/>
    <w:rPr>
      <w:color w:val="954F72"/>
      <w:u w:val="single"/>
    </w:rPr>
  </w:style>
  <w:style w:type="table" w:customStyle="1" w:styleId="TableGrid1">
    <w:name w:val="Table Grid1"/>
    <w:basedOn w:val="TableNormal"/>
    <w:next w:val="TableGrid"/>
    <w:uiPriority w:val="39"/>
    <w:rsid w:val="00A953FF"/>
    <w:pPr>
      <w:spacing w:after="0" w:line="240" w:lineRule="auto"/>
    </w:pPr>
    <w:rPr>
      <w:lang w:val="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iPriority w:val="99"/>
    <w:semiHidden/>
    <w:unhideWhenUsed/>
    <w:rsid w:val="00A953FF"/>
    <w:pPr>
      <w:tabs>
        <w:tab w:val="center" w:pos="4703"/>
        <w:tab w:val="right" w:pos="9406"/>
      </w:tabs>
      <w:spacing w:after="0" w:line="240" w:lineRule="auto"/>
    </w:pPr>
  </w:style>
  <w:style w:type="character" w:customStyle="1" w:styleId="HeaderChar1">
    <w:name w:val="Header Char1"/>
    <w:basedOn w:val="DefaultParagraphFont"/>
    <w:link w:val="Header"/>
    <w:uiPriority w:val="99"/>
    <w:semiHidden/>
    <w:rsid w:val="00A953FF"/>
  </w:style>
  <w:style w:type="paragraph" w:styleId="Footer">
    <w:name w:val="footer"/>
    <w:basedOn w:val="Normal"/>
    <w:link w:val="FooterChar1"/>
    <w:uiPriority w:val="99"/>
    <w:semiHidden/>
    <w:unhideWhenUsed/>
    <w:rsid w:val="00A953FF"/>
    <w:pPr>
      <w:tabs>
        <w:tab w:val="center" w:pos="4703"/>
        <w:tab w:val="right" w:pos="9406"/>
      </w:tabs>
      <w:spacing w:after="0" w:line="240" w:lineRule="auto"/>
    </w:pPr>
  </w:style>
  <w:style w:type="character" w:customStyle="1" w:styleId="FooterChar1">
    <w:name w:val="Footer Char1"/>
    <w:basedOn w:val="DefaultParagraphFont"/>
    <w:link w:val="Footer"/>
    <w:uiPriority w:val="99"/>
    <w:semiHidden/>
    <w:rsid w:val="00A953FF"/>
  </w:style>
  <w:style w:type="character" w:styleId="Hyperlink">
    <w:name w:val="Hyperlink"/>
    <w:basedOn w:val="DefaultParagraphFont"/>
    <w:uiPriority w:val="99"/>
    <w:unhideWhenUsed/>
    <w:rsid w:val="00A953FF"/>
    <w:rPr>
      <w:color w:val="0000FF" w:themeColor="hyperlink"/>
      <w:u w:val="single"/>
    </w:rPr>
  </w:style>
  <w:style w:type="paragraph" w:styleId="BalloonText">
    <w:name w:val="Balloon Text"/>
    <w:basedOn w:val="Normal"/>
    <w:link w:val="BalloonTextChar1"/>
    <w:uiPriority w:val="99"/>
    <w:semiHidden/>
    <w:unhideWhenUsed/>
    <w:rsid w:val="00A953FF"/>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A953FF"/>
    <w:rPr>
      <w:rFonts w:ascii="Tahoma" w:hAnsi="Tahoma" w:cs="Tahoma"/>
      <w:sz w:val="16"/>
      <w:szCs w:val="16"/>
    </w:rPr>
  </w:style>
  <w:style w:type="paragraph" w:styleId="FootnoteText">
    <w:name w:val="footnote text"/>
    <w:basedOn w:val="Normal"/>
    <w:link w:val="FootnoteTextChar1"/>
    <w:uiPriority w:val="99"/>
    <w:semiHidden/>
    <w:unhideWhenUsed/>
    <w:rsid w:val="00A953FF"/>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A953FF"/>
    <w:rPr>
      <w:sz w:val="20"/>
      <w:szCs w:val="20"/>
    </w:rPr>
  </w:style>
  <w:style w:type="paragraph" w:styleId="ListParagraph">
    <w:name w:val="List Paragraph"/>
    <w:basedOn w:val="Normal"/>
    <w:uiPriority w:val="34"/>
    <w:qFormat/>
    <w:rsid w:val="00A953FF"/>
    <w:pPr>
      <w:ind w:left="720"/>
      <w:contextualSpacing/>
    </w:pPr>
  </w:style>
  <w:style w:type="character" w:styleId="FollowedHyperlink">
    <w:name w:val="FollowedHyperlink"/>
    <w:basedOn w:val="DefaultParagraphFont"/>
    <w:uiPriority w:val="99"/>
    <w:semiHidden/>
    <w:unhideWhenUsed/>
    <w:rsid w:val="00A953FF"/>
    <w:rPr>
      <w:color w:val="800080" w:themeColor="followedHyperlink"/>
      <w:u w:val="single"/>
    </w:rPr>
  </w:style>
  <w:style w:type="table" w:styleId="TableGrid">
    <w:name w:val="Table Grid"/>
    <w:basedOn w:val="TableNormal"/>
    <w:uiPriority w:val="59"/>
    <w:rsid w:val="00A953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legal-content/BG/TXT/PDF/?uri=CELEX:32015L0849&amp;from=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ur-lex.europa.eu/legal-content/BG/TXT/PDF/?uri=CELEX:32015R0847&amp;from=BG" TargetMode="External"/><Relationship Id="rId4" Type="http://schemas.openxmlformats.org/officeDocument/2006/relationships/settings" Target="settings.xml"/><Relationship Id="rId9" Type="http://schemas.openxmlformats.org/officeDocument/2006/relationships/hyperlink" Target="http://www.fatf-gafi.org/publications/fatfrecommendations/documents/fatf-recommen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85E81-E471-4840-BA2D-3C47E52D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Alias</dc:creator>
  <cp:lastModifiedBy>Гергана Йорданова</cp:lastModifiedBy>
  <cp:revision>27</cp:revision>
  <dcterms:created xsi:type="dcterms:W3CDTF">2016-06-27T05:35:00Z</dcterms:created>
  <dcterms:modified xsi:type="dcterms:W3CDTF">2016-06-27T06:23:00Z</dcterms:modified>
</cp:coreProperties>
</file>