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14" w:rsidRPr="00DB6A14" w:rsidRDefault="00DB6A14" w:rsidP="00DB6A14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val="ru-RU"/>
        </w:rPr>
      </w:pPr>
      <w:r w:rsidRPr="00DB6A14">
        <w:rPr>
          <w:rFonts w:ascii="Times New Roman" w:eastAsia="Calibri" w:hAnsi="Times New Roman" w:cs="Times New Roman"/>
          <w:b/>
          <w:caps/>
          <w:sz w:val="28"/>
          <w:szCs w:val="28"/>
        </w:rPr>
        <w:t>Европейска програма за сигурност 2016 г.: Проблеми пред законодателството за подготвяне на условията за Съюз на сигурност</w:t>
      </w:r>
    </w:p>
    <w:p w:rsidR="00DB6A14" w:rsidRPr="00DB6A14" w:rsidRDefault="00DB6A14" w:rsidP="00DB6A1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DB6A14" w:rsidRPr="00DB6A14" w:rsidRDefault="00DB6A14" w:rsidP="00DB6A14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проф. д-р Екатерина МИХАЙЛОВА,</w:t>
      </w:r>
    </w:p>
    <w:p w:rsidR="00DB6A14" w:rsidRPr="00DB6A14" w:rsidRDefault="00DB6A14" w:rsidP="00DB6A14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Нов български университет</w:t>
      </w:r>
    </w:p>
    <w:p w:rsidR="00DB6A14" w:rsidRPr="00DB6A14" w:rsidRDefault="00DB6A14" w:rsidP="00DB6A1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b/>
          <w:i/>
          <w:sz w:val="24"/>
          <w:szCs w:val="24"/>
        </w:rPr>
        <w:t>Резюме</w:t>
      </w:r>
      <w:r w:rsidRPr="00DB6A14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>:</w:t>
      </w:r>
      <w:r w:rsidRPr="00DB6A14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 </w:t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Настоящият доклад се фокусира върху Европейската програма за сигурност „Подготвяне на условията за Съюз на сигурност“, оповестена от Европейската комисия на 20 април 2016 г.. Разглеждат се мерките описани в този документ, чрез които ЕС следва да противодейства на терористичната заплаха. Приоритетните области в борбата срещу тероризма са представени в контекста на законодателството на Р България. 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b/>
          <w:i/>
          <w:sz w:val="24"/>
          <w:szCs w:val="24"/>
        </w:rPr>
        <w:t>Ключови думи</w:t>
      </w:r>
      <w:r w:rsidRPr="00DB6A14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>:</w:t>
      </w:r>
      <w:r w:rsidRPr="00DB6A1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тероризъм, Съюз на сигурност,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радикализация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B6A14" w:rsidRPr="00DB6A14" w:rsidRDefault="00DB6A14" w:rsidP="00DB6A1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B6A14" w:rsidRPr="00DB6A14" w:rsidRDefault="00DB6A14" w:rsidP="00DB6A1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На 28 април 2015 г. Европейската комисия приема Европейска програма за сигурност, която очертава основните дейности, които да осигурят ефективна реакция на ЕС срещу тероризма и заплахите за сигурността в Европейския съюз през периода 2015—2020 г.. След приемането на Програмата е постигнат значителен напредък по изпълнението ѝ в борбата с незаконната търговия и използването на огнестрелни оръжия и взривни вещества, в засилване на борбата с финансирането на тероризма и създаването на по-здрави и по-интелигентни информационни системи в областта на границите и сигурността.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Последните атентати в Брюксел и Париж подтикват Европейският парламент, министрите на правосъдието и вътрешните работи от ЕС и Комисията за продължаване изпълнението на предвидените мерки и задълбочаване на борбата срещу тероризма. 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В съобщение за медиите на Европейската комисия от 20 април 2016 г. се оповестява Европейска програма за сигурност, наречена „Подготвяне на условията за Съюз на сигурност“, който да се яви ефективен и истински Европейски съюз на сигурност. Независимо от това, че за сигурността се носи отговорност основно от държавите членки, появата на транснационалните заплахи създават условията за общ </w:t>
      </w:r>
      <w:r w:rsidRPr="00DB6A14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европейски подход. В резултат на това инструментариума се подготвя на европейско равнище, с което да се даде възможност на ефективно сътрудничество на националните органи, като се извърши </w:t>
      </w:r>
      <w:r w:rsidRPr="00DB6A14">
        <w:rPr>
          <w:rFonts w:ascii="Times New Roman" w:eastAsia="Calibri" w:hAnsi="Times New Roman" w:cs="Times New Roman"/>
          <w:i/>
          <w:sz w:val="24"/>
          <w:szCs w:val="24"/>
        </w:rPr>
        <w:t>радикална промяна</w:t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на равнището на държавите членки и техните правоприлагащи органи, като се работи в тясно сътрудничество с агенциите на ЕС.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В съобщението на Комисията е направен</w:t>
      </w:r>
      <w:r w:rsidRPr="00DB6A1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преглед на напредъка, установяват се пропуските в изпълнението на мерките, предприети за борба срещу тероризма, и се определят действията, които са необходими да бъдат предприети. Предвиден е и инструмент за постигането на набелязаните цели, като се предвижда </w:t>
      </w:r>
      <w:r w:rsidRPr="00DB6A14">
        <w:rPr>
          <w:rFonts w:ascii="Times New Roman" w:eastAsia="Calibri" w:hAnsi="Times New Roman" w:cs="Times New Roman"/>
          <w:i/>
          <w:sz w:val="24"/>
          <w:szCs w:val="24"/>
        </w:rPr>
        <w:t>пътна карта</w:t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за приоритетните области в борбата срещу тероризма.</w:t>
      </w:r>
      <w:r w:rsidRPr="00DB6A14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"/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Мерките, целящи увеличаване на колективната способност за борба с терористичната заплаха, включват:</w:t>
      </w:r>
    </w:p>
    <w:p w:rsidR="00DB6A14" w:rsidRPr="00DB6A14" w:rsidRDefault="00DB6A14" w:rsidP="004C165C">
      <w:pPr>
        <w:numPr>
          <w:ilvl w:val="0"/>
          <w:numId w:val="1"/>
        </w:numPr>
        <w:spacing w:after="0" w:line="360" w:lineRule="auto"/>
        <w:ind w:left="499" w:firstLine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DB6A14">
        <w:rPr>
          <w:rFonts w:ascii="Times New Roman" w:eastAsia="Calibri" w:hAnsi="Times New Roman" w:cs="Times New Roman"/>
          <w:i/>
          <w:sz w:val="24"/>
          <w:szCs w:val="24"/>
        </w:rPr>
        <w:t xml:space="preserve">Преодоляване на заплахата, която представляват завръщащите се чуждестранни бойци терористи. 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В тази част е предвидена необходимостта националните органи да бъдат напълно информирани за придвижването на чуждестранните бойци терористи, както при излизане, така и при влизане, и да обменят такава информация помежду си и с агенциите на ЕС чрез Шенгенската информационна система и Европейския център за борба с тероризма към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Европол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Тук следва да отбележа, че България въведе в последното изменение на Наказателния кодекс от 2015г.</w:t>
      </w:r>
      <w:r w:rsidRPr="00DB6A14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"/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понятието за „тероризъм“ и носенето на наказателна отговорност за извършени деяния, които се квалифицират като тероризъм. По този начин се изпълняват и изискванията на Резолюцията на ООН от 2014 г. за криминализиране на пътуването на чуждестранните бойци и финансирането им и изпълнение на препоръките на Комитета на Съвета на Европа за борба с изпирането на пари (MONEYVAL) в областта на финансирането на тероризма. На 10 ноември 2015 г. България подписва и Допълнителния протокол към Конвенцията на Съвета на Европа за предотвратяване на тероризма, като конкретните действия са насочени към: Осигуряване на пресичането на острата и нарастваща заплаха, която представляват чуждестранните бойци-терористи; Предотвратяване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радикализацията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на тероризма, противодействие на наемането и забрана за пътуване на чуждестранните бойци-терористи; Противодействие на насилствения екстремизъм и нарастващото използване от страна на терористите и техните поддръжници на комуникационни технологии.</w:t>
      </w:r>
    </w:p>
    <w:p w:rsidR="00DB6A14" w:rsidRPr="00DB6A14" w:rsidRDefault="00DB6A14" w:rsidP="004C165C">
      <w:pPr>
        <w:numPr>
          <w:ilvl w:val="0"/>
          <w:numId w:val="1"/>
        </w:numPr>
        <w:spacing w:after="0" w:line="360" w:lineRule="auto"/>
        <w:ind w:left="499" w:firstLine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DB6A14">
        <w:rPr>
          <w:rFonts w:ascii="Times New Roman" w:eastAsia="Calibri" w:hAnsi="Times New Roman" w:cs="Times New Roman"/>
          <w:i/>
          <w:sz w:val="24"/>
          <w:szCs w:val="24"/>
        </w:rPr>
        <w:lastRenderedPageBreak/>
        <w:t xml:space="preserve">Предотвратяване и борба с </w:t>
      </w:r>
      <w:proofErr w:type="spellStart"/>
      <w:r w:rsidRPr="00DB6A14">
        <w:rPr>
          <w:rFonts w:ascii="Times New Roman" w:eastAsia="Calibri" w:hAnsi="Times New Roman" w:cs="Times New Roman"/>
          <w:i/>
          <w:sz w:val="24"/>
          <w:szCs w:val="24"/>
        </w:rPr>
        <w:t>радикализацията</w:t>
      </w:r>
      <w:proofErr w:type="spellEnd"/>
      <w:r w:rsidRPr="00DB6A14">
        <w:rPr>
          <w:rFonts w:ascii="Times New Roman" w:eastAsia="Calibri" w:hAnsi="Times New Roman" w:cs="Times New Roman"/>
          <w:i/>
          <w:sz w:val="24"/>
          <w:szCs w:val="24"/>
        </w:rPr>
        <w:t xml:space="preserve">. 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Чрез тази мярка се дава приоритет на предотвратяването на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радикализацията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и вербуването на европейски граждани от страна на терористични организации. Очаква се държавите членки да се постараят радикализиралите се лица да бъдат включени в програми по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дерадикализиране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и да им бъде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попречено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да разпространяват терористична пропаганда и изказвания, проповядващи омраза, и проактивно да се обменя информация относно лицата, за които има висок риск от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радикализация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Тук следва да се отбележи Резолюция на Европейския парламент от 25 ноември 2015 г. относно предотвратяване на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радикализацията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и вербуването на граждани на Съюза от страна на терористични организации (2015/2063(INI)).</w:t>
      </w:r>
      <w:r w:rsidRPr="00DB6A14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"/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В резолюцията са изложени конкретни предложения за обща стратегия за борба с екстремизма - създаването на европейски черен списък с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джихадисти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и заподозрени в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джихадистки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тероризъм и общо определение на „чужди бойци“; гарантиране, че чуждите бойци се поставят под съдебен контрол и при нужда и под административно задържане; изолирането на радикализирани затворници; спиране разпространението на омраза и възхвала на тероризма в интернет и др.. Обръща се внимание за предприемане на правни действия за хармонизиран подход към определянето за престъпления на изказвания, проповядващи омраза, онлайн и офлайн, в които радикално настроени лица подбуждат други да не зачитат и да нарушават основните права.</w:t>
      </w:r>
    </w:p>
    <w:p w:rsidR="00DB6A14" w:rsidRPr="00DB6A14" w:rsidRDefault="00DB6A14" w:rsidP="004C165C">
      <w:pPr>
        <w:numPr>
          <w:ilvl w:val="0"/>
          <w:numId w:val="1"/>
        </w:numPr>
        <w:spacing w:after="0" w:line="360" w:lineRule="auto"/>
        <w:ind w:left="499" w:firstLine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DB6A14">
        <w:rPr>
          <w:rFonts w:ascii="Times New Roman" w:eastAsia="Calibri" w:hAnsi="Times New Roman" w:cs="Times New Roman"/>
          <w:i/>
          <w:sz w:val="24"/>
          <w:szCs w:val="24"/>
        </w:rPr>
        <w:t>Санкции за терористите и техните поддръжници.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Тук препоръката е Европейският парламент и Съветът да постигнат съгласие по предложението на Комисията за </w:t>
      </w:r>
      <w:r w:rsidRPr="00DB6A14">
        <w:rPr>
          <w:rFonts w:ascii="Times New Roman" w:eastAsia="Calibri" w:hAnsi="Times New Roman" w:cs="Times New Roman"/>
          <w:i/>
          <w:sz w:val="24"/>
          <w:szCs w:val="24"/>
        </w:rPr>
        <w:t>директива относно борбата с тероризма,</w:t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с цел да се утвърди инкриминирането на престъпления, свързани с терористични дейности, като например пътуванията с терористична цел и предоставянето на финансиране, място за живеене, транспорт или материална помощ на терористи.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i/>
          <w:sz w:val="24"/>
          <w:szCs w:val="24"/>
        </w:rPr>
        <w:t>На 11 март 2016 г. Съветът прие своята преговорна позиция по предложението за директива относно борбата с тероризма.</w:t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С предложената директива се укрепва и актуализира действащото Рамково решение 2002/475/ПВР, тъй като с нея се инкриминират:</w:t>
      </w:r>
    </w:p>
    <w:p w:rsidR="00DB6A14" w:rsidRPr="00DB6A14" w:rsidRDefault="00DB6A14" w:rsidP="00DB6A14">
      <w:pPr>
        <w:numPr>
          <w:ilvl w:val="0"/>
          <w:numId w:val="3"/>
        </w:numPr>
        <w:spacing w:after="0" w:line="360" w:lineRule="auto"/>
        <w:ind w:left="1429" w:hanging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Пътуванията за терористични цели, за да се противодейства на явлението чуждестранни бойци терористи;</w:t>
      </w:r>
    </w:p>
    <w:p w:rsidR="00DB6A14" w:rsidRPr="00DB6A14" w:rsidRDefault="00DB6A14" w:rsidP="00DB6A14">
      <w:pPr>
        <w:numPr>
          <w:ilvl w:val="0"/>
          <w:numId w:val="3"/>
        </w:numPr>
        <w:spacing w:after="0" w:line="360" w:lineRule="auto"/>
        <w:ind w:left="1429" w:hanging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lastRenderedPageBreak/>
        <w:t>Финансирането, организацията и улесняването на такива пътувания, включително чрез логистична и материална подкрепа, предоставянето на огнестрелни оръжия и експлозиви, подслон, средства за транспорт, услуги, активи и стоки;</w:t>
      </w:r>
    </w:p>
    <w:p w:rsidR="00DB6A14" w:rsidRPr="00DB6A14" w:rsidRDefault="00DB6A14" w:rsidP="00DB6A14">
      <w:pPr>
        <w:numPr>
          <w:ilvl w:val="0"/>
          <w:numId w:val="3"/>
        </w:numPr>
        <w:spacing w:after="0" w:line="360" w:lineRule="auto"/>
        <w:ind w:left="1429" w:hanging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Преминаването на обучение за терористични цели, включително чрез предоставяне на възможност за разследване и съдебно преследване на дейности по обучение, които могат да доведат до извършването на терористични престъпления;</w:t>
      </w:r>
    </w:p>
    <w:p w:rsidR="00DB6A14" w:rsidRPr="00DB6A14" w:rsidRDefault="00DB6A14" w:rsidP="00DB6A14">
      <w:pPr>
        <w:numPr>
          <w:ilvl w:val="0"/>
          <w:numId w:val="3"/>
        </w:numPr>
        <w:spacing w:after="0" w:line="360" w:lineRule="auto"/>
        <w:ind w:left="1429" w:hanging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Предоставянето на средства за извършване на терористични престъпления и на престъпления, свързани с терористични групи или терористични дейности.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Освен това с директивата ще бъде допълнено действащото законодателство относно правата на пострадалите, за да се гарантира, че пострадалите от тероризъм получават незабавен достъп до професионални услуги за подкрепа, осигуряващи физическо и психо-социално лечение, както и информация за техните права.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В България е в процес на подготовка на проект на закон за борба с тероризма, който ще трябва да е съобразен с директивата. Би следвало да се изчака приемането на директивата и едва след нея българският законодател да приема Закон за противодействие на тероризма.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Ще маркирам едни от основните въпроси, които се поставят в подготвения проект за закон. На първо място това е темата свързана с основните права на гражданите. Отчита се, че всяко ограничаване на упражняването на основните права и свободи е предмет на условията, определени в член 52, параграф 1 от Хартата на основните права, т.е. подлежи на спазването </w:t>
      </w:r>
      <w:r w:rsidRPr="00DB6A14">
        <w:rPr>
          <w:rFonts w:ascii="Times New Roman" w:eastAsia="Calibri" w:hAnsi="Times New Roman" w:cs="Times New Roman"/>
          <w:i/>
          <w:sz w:val="24"/>
          <w:szCs w:val="24"/>
        </w:rPr>
        <w:t>принципа на пропорционалност</w:t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по отношение на легитимната цел за посрещането на признати от Съюза цели от общ интерес. Приема се, че ако се ограничават права и свободи това може да бъде само ако</w:t>
      </w:r>
      <w:r w:rsidRPr="00DB6A14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Pr="00DB6A14">
        <w:rPr>
          <w:rFonts w:ascii="Times New Roman" w:eastAsia="Calibri" w:hAnsi="Times New Roman" w:cs="Times New Roman"/>
          <w:i/>
          <w:sz w:val="24"/>
          <w:szCs w:val="24"/>
        </w:rPr>
        <w:t>бъде предвидено в закон</w:t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при зачитане на основното съдържание на същите права и свободи. Проектът предвижда приемането от Министерския съвет на Национален план за противодействие на тероризма, с който се създава организация за оповестяване и информиране, координиране на действията на компетентните органи на изпълнителната и местната власт. Предлага се въвеждането на режим на операции за противодействие на тероризма при различни нива на заплаха. Регламентирано е участието на въоръжените сили в предотвратяване на тероризъм и в преодоляване на последствията от тероризъм, като е предвидено да имат правомощия, сходни с тези на служители на  МВР. Съществен </w:t>
      </w:r>
      <w:r w:rsidRPr="00DB6A14">
        <w:rPr>
          <w:rFonts w:ascii="Times New Roman" w:eastAsia="Calibri" w:hAnsi="Times New Roman" w:cs="Times New Roman"/>
          <w:sz w:val="24"/>
          <w:szCs w:val="24"/>
        </w:rPr>
        <w:lastRenderedPageBreak/>
        <w:t>момент е предложението да бъде възстановена функцията по разследване на Държавна агенция „Национална сигурност”, както и свързаните с нея правомощия по задържане на лица и обиск на задържани лица.</w:t>
      </w:r>
    </w:p>
    <w:p w:rsidR="00DB6A14" w:rsidRPr="00DB6A14" w:rsidRDefault="00DB6A14" w:rsidP="004C165C">
      <w:pPr>
        <w:numPr>
          <w:ilvl w:val="0"/>
          <w:numId w:val="1"/>
        </w:numPr>
        <w:spacing w:after="0" w:line="360" w:lineRule="auto"/>
        <w:ind w:left="499" w:firstLine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DB6A14">
        <w:rPr>
          <w:rFonts w:ascii="Times New Roman" w:eastAsia="Calibri" w:hAnsi="Times New Roman" w:cs="Times New Roman"/>
          <w:i/>
          <w:sz w:val="24"/>
          <w:szCs w:val="24"/>
        </w:rPr>
        <w:t>Подобряване на обмена на информация.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По този пункт от пътната карта е заложено Европейският парламент и Съветът бързо да приключат работата си по изменения регламент за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Европол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и да приемат законодателните предложения, представени от Комисията, с цел подобряване на обмена на информация и оперативната съвместимост на базите данни и на информационните системи, като например разширяването на обхвата на Европейската информационна система за съдимост (ECRIS), така че да включва гражданите на държави извън ЕС.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Бих желала да отбележа няколко конкретни действия в тази насока:</w:t>
      </w:r>
    </w:p>
    <w:p w:rsidR="00DB6A14" w:rsidRPr="00DB6A14" w:rsidRDefault="00DB6A14" w:rsidP="00DB6A1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А. Предложение за Директива на Европейския  парламент и на Съвета за изменение на Рамково решение 2009/315/ПВР на Съвета във връзка с обмена на информация за гражданите на трети държави и във връзка с Европейската </w:t>
      </w:r>
      <w:r w:rsidRPr="00DB6A14">
        <w:rPr>
          <w:rFonts w:ascii="Times New Roman" w:eastAsia="Calibri" w:hAnsi="Times New Roman" w:cs="Times New Roman"/>
          <w:i/>
          <w:sz w:val="24"/>
          <w:szCs w:val="24"/>
        </w:rPr>
        <w:t>информационна система за регистрите за съдимост</w:t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(ECRIS) и за замяна на Решение 2009/316/ПВР на Съвета.</w:t>
      </w:r>
    </w:p>
    <w:p w:rsidR="00DB6A14" w:rsidRPr="00DB6A14" w:rsidRDefault="00DB6A14" w:rsidP="00DB6A1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Б. Директива 2013/40/ЕС на Европейския парламент и на Съвета от 12 август 2013 година </w:t>
      </w:r>
      <w:r w:rsidRPr="00DB6A14">
        <w:rPr>
          <w:rFonts w:ascii="Times New Roman" w:eastAsia="Calibri" w:hAnsi="Times New Roman" w:cs="Times New Roman"/>
          <w:i/>
          <w:sz w:val="24"/>
          <w:szCs w:val="24"/>
        </w:rPr>
        <w:t>относно атаките срещу информационните системи</w:t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и за замяна на Рамково решение 2005/222/ПВР на Съвета (ОВ L 218 от 14 август 2013 г.). 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От българска страна е подготвен проект за закон за изменения и допълнения на Наказателния кодекс относно атаките срещу информационните системи.</w:t>
      </w:r>
      <w:r w:rsidRPr="00DB6A1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Проектът предвижда разширяване обхвата на компютърните престъпления, включване на нови изпълнителни деяния в престъпните състави, както и завишаване на наказанията за тези престъпления. Чрез този проект за закон се въвежда изискванията на Директива 2013/40/ЕС на Европейския парламент и на Съвета от 12 август 2013 година относно атаките срещу информационните системи и за замяна на Рамково решение 2005/222/ПВР на Съвета (ОВ L 218 от 14 август 2013 г.). </w:t>
      </w:r>
    </w:p>
    <w:p w:rsidR="00DB6A14" w:rsidRPr="00DB6A14" w:rsidRDefault="00DB6A14" w:rsidP="00DB6A1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България е закъсняла с транспонирането на този законодателен акт.</w:t>
      </w:r>
    </w:p>
    <w:p w:rsidR="00DB6A14" w:rsidRPr="00DB6A14" w:rsidRDefault="00DB6A14" w:rsidP="00DB6A1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В. Директива (ЕС) 2016/681 на Европейския парламент и на Съвета от 27 април 2016 г. относно използването на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резервационни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данни на пътниците с цел предотвратяване, разкриване, разследване и наказателно преследване на терористични престъпления и тежки престъпления.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Директивата урежда ползването на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резервационните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данни на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авиопътниците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в ЕС (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Passenger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Name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Record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- PNR) с цел превенция, разкриване, разследване и съдебно </w:t>
      </w:r>
      <w:r w:rsidRPr="00DB6A14">
        <w:rPr>
          <w:rFonts w:ascii="Times New Roman" w:eastAsia="Calibri" w:hAnsi="Times New Roman" w:cs="Times New Roman"/>
          <w:sz w:val="24"/>
          <w:szCs w:val="24"/>
        </w:rPr>
        <w:lastRenderedPageBreak/>
        <w:t>преследване на тероризъм и сериозни престъпления. Директивата ще се прилага за полети до и от ЕС, но държавите членки могат да разширят приложението ѝ до вътрешни за ЕС полети (от една държава-членка на ЕС до друга), при условие, че уведомят Европейската комисия за това. Държавите-членки на ЕС могат също така да решат да събират и обработват PNR данни от пътнически агенции и туроператори, които предоставят услуги, свързани с пътувания.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Авиолиниите се задължават да предават на националните власти данните на пътниците за всички полети от трети страни към ЕС и обратно. Държавите членки ще трябва да създадат "звена за данни за пътниците" (ЗДП), които ще са отговорни за съхраняването и обработването на тези данни и предаването им на компетентните органи, както и за обмена със ЗПД на други държави членки и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Европол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На 17 февруари 2016 г. Народното събрание приема промени в Закона за Държавна агенция "Национална сигурност", с които бе въведена правната рамка за функционирането на такава система в Република България.</w:t>
      </w:r>
      <w:r w:rsidRPr="00DB6A14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"/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В приетия закон в чл. 11а, ал.1, се предвижда в Държавна агенция "Национална сигурност" да се създаде Национално звено за получаване и обработване на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резервационни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данни на пътниците в Република България.</w:t>
      </w:r>
    </w:p>
    <w:p w:rsidR="00DB6A14" w:rsidRPr="00DB6A14" w:rsidRDefault="00DB6A14" w:rsidP="004C165C">
      <w:pPr>
        <w:numPr>
          <w:ilvl w:val="0"/>
          <w:numId w:val="1"/>
        </w:numPr>
        <w:spacing w:after="0" w:line="360" w:lineRule="auto"/>
        <w:ind w:left="499" w:firstLine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DB6A14">
        <w:rPr>
          <w:rFonts w:ascii="Times New Roman" w:eastAsia="Calibri" w:hAnsi="Times New Roman" w:cs="Times New Roman"/>
          <w:i/>
          <w:sz w:val="24"/>
          <w:szCs w:val="24"/>
        </w:rPr>
        <w:t>Засилване на функциите на Европейския център за борба с тероризма.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Тук се включват функциите на Европейския център за борба с тероризма, които трябва да бъдат засилени, за да се превърне тази структура в разузнавателен център на правоприлагащите органи за анализ на заплахите и да подпомага разработването на оперативни планове за борба с тероризма. Комисията ще представи инициативи за развитието на Центъра в по-силна структура с капацитет за съвместно оперативно планиране, извършване на оценки на заплахите и координация на разузнавателните данни в областта на правоприлагането. Поради спешността на въпроса се поставя задачата да започне разработването на съвместни оценки на заплахите от тероризъм и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радикализация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B6A14" w:rsidRPr="00DB6A14" w:rsidRDefault="00DB6A14" w:rsidP="004C165C">
      <w:pPr>
        <w:numPr>
          <w:ilvl w:val="0"/>
          <w:numId w:val="1"/>
        </w:numPr>
        <w:spacing w:after="0" w:line="360" w:lineRule="auto"/>
        <w:ind w:left="499" w:firstLine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DB6A14">
        <w:rPr>
          <w:rFonts w:ascii="Times New Roman" w:eastAsia="Calibri" w:hAnsi="Times New Roman" w:cs="Times New Roman"/>
          <w:i/>
          <w:sz w:val="24"/>
          <w:szCs w:val="24"/>
        </w:rPr>
        <w:t>Пресичане на достъпа на терористите до огнестрелни оръжия и взривни вещества.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Предвижда се държавите членки приоритетно да изпълнят Плана за огнестрелните оръжия и взривните вещества, а Парламентът и Съветът да приемат </w:t>
      </w:r>
      <w:r w:rsidRPr="00DB6A14">
        <w:rPr>
          <w:rFonts w:ascii="Times New Roman" w:eastAsia="Calibri" w:hAnsi="Times New Roman" w:cs="Times New Roman"/>
          <w:sz w:val="24"/>
          <w:szCs w:val="24"/>
        </w:rPr>
        <w:lastRenderedPageBreak/>
        <w:t>предложението за изменение на Директивата относно контрола на придобиването и притежаването на оръжие, представено от Комисията на 18 ноември 2015 г..</w:t>
      </w:r>
    </w:p>
    <w:p w:rsidR="00DB6A14" w:rsidRPr="00DB6A14" w:rsidRDefault="00DB6A14" w:rsidP="004C165C">
      <w:pPr>
        <w:numPr>
          <w:ilvl w:val="0"/>
          <w:numId w:val="1"/>
        </w:numPr>
        <w:spacing w:after="0" w:line="360" w:lineRule="auto"/>
        <w:ind w:left="499" w:firstLine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DB6A14">
        <w:rPr>
          <w:rFonts w:ascii="Times New Roman" w:eastAsia="Calibri" w:hAnsi="Times New Roman" w:cs="Times New Roman"/>
          <w:i/>
          <w:sz w:val="24"/>
          <w:szCs w:val="24"/>
        </w:rPr>
        <w:t>Пресичане на достъпа на терористите до финансиране.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Комисията следва да приключи работата по Плана за действие относно борбата с финансирането на тероризма от 2 декември 2015г., с който да подпомогне държавите членки по-лесно да откриват и предотвратяват движението на средства и други активи, за да се прекъснат източниците на приходи на терористичните организации.</w:t>
      </w:r>
    </w:p>
    <w:p w:rsidR="00DB6A14" w:rsidRPr="00DB6A14" w:rsidRDefault="00DB6A14" w:rsidP="004C165C">
      <w:pPr>
        <w:numPr>
          <w:ilvl w:val="0"/>
          <w:numId w:val="1"/>
        </w:numPr>
        <w:spacing w:after="0" w:line="360" w:lineRule="auto"/>
        <w:ind w:left="499" w:firstLine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DB6A14">
        <w:rPr>
          <w:rFonts w:ascii="Times New Roman" w:eastAsia="Calibri" w:hAnsi="Times New Roman" w:cs="Times New Roman"/>
          <w:i/>
          <w:sz w:val="24"/>
          <w:szCs w:val="24"/>
        </w:rPr>
        <w:t xml:space="preserve">Защита на гражданите и на критичните инфраструктури. 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Заложено е правоприлагащите и други ключови органи да са по-добре подготвени за рисковете за сигурността, свързани с уязвимостта на критичната инфраструктура, да извършват ефикасен обмен на релевантна информация, да изготвят превантивни мерки по координиран отвъд границите начин и да подкрепят научните изследвания във връзка с бъдещи нужди от технологии и капацитет.</w:t>
      </w:r>
    </w:p>
    <w:p w:rsidR="00DB6A14" w:rsidRPr="00DB6A14" w:rsidRDefault="00DB6A14" w:rsidP="004C165C">
      <w:pPr>
        <w:numPr>
          <w:ilvl w:val="0"/>
          <w:numId w:val="1"/>
        </w:numPr>
        <w:spacing w:after="0" w:line="360" w:lineRule="auto"/>
        <w:ind w:left="499" w:firstLine="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DB6A14">
        <w:rPr>
          <w:rFonts w:ascii="Times New Roman" w:eastAsia="Calibri" w:hAnsi="Times New Roman" w:cs="Times New Roman"/>
          <w:i/>
          <w:sz w:val="24"/>
          <w:szCs w:val="24"/>
        </w:rPr>
        <w:t xml:space="preserve">Външнополитическото измерение. 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Чрез този пункт се изисква по-добра съгласуваност между вътрешнополитическите и външнополитическите действия в областта на сигурността. Въз основа на работата на координатора на ЕС за борбата с тероризма, на Комисията и на Европейската служба за външна дейност (ЕСВД), ЕС следва да установи партньорства за борба с тероризма с държавите в Средиземноморието.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За изпълнението на пътната карта съвсем естествено е, че освен приетата досега правна рамка, предстои изработването, съгласуването и приемането на множество актове, както на европейско, така и на национално ниво. Тук се поставя въпросът не само за добрата координация, но и за качеството на съответните актове. Прави впечатление, че почти по едно и също време на европейско ниво, а и в България са приети актове, целящи повишаване на качеството на законодателството. Първо ще се спра на европейското измерение, а след това и на българското такова.  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На 13 април 2016 г. е постигнато междуинституционално споразумение между Европейския парламент, Съвета на Европейския съюз и Европейската комисия за по-добро законотворчество.</w:t>
      </w:r>
      <w:r w:rsidRPr="00DB6A14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"/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Според поставените общи ангажименти и цели трите институции ще се стремят към по-добро законотворчество чрез редица инициативи и процедури. Принципите, които ще се съблюдават са демократична легитимност, субсидиарност и пропорционалност, както и принципа на правна сигурност. Освен това </w:t>
      </w:r>
      <w:r w:rsidRPr="00DB6A14">
        <w:rPr>
          <w:rFonts w:ascii="Times New Roman" w:eastAsia="Calibri" w:hAnsi="Times New Roman" w:cs="Times New Roman"/>
          <w:sz w:val="24"/>
          <w:szCs w:val="24"/>
        </w:rPr>
        <w:lastRenderedPageBreak/>
        <w:t>те се съгласяват да насърчават опростеността, яснотата и съгласуваността при изготвянето на законодателството на Съюза, както и да допринасят за възможно най-голямата прозрачност на законодателния процес. Освен това законодателството на Съюза следва да бъде разбираемо и ясно; да дава възможност на гражданите, администрацията и бизнеса лесно да разбират своите права и задължения; да включва изисквания за подходящо докладване, наблюдение и оценка; да избягва свръх регулирането и административната тежест; да може да се прилага на практика.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Инструментите за по-добро законотворчество са извършването на оценка на въздействието, консултация с обществеността и със заинтересованите страни и обратна връзка, последваща оценка на действащото законодателство. Освен това се предвижда прозрачност и координиране на законодателния процес.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Изтъква се и необходимостта от бързото и правилно прилагане на законодателството на Съюза в държавите членки, като сроковете за транспониране на директивите ще бъдат възможно най-кратки и по правило няма да превишават две години.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В България също се извършва промяна в правилата на </w:t>
      </w:r>
      <w:proofErr w:type="spellStart"/>
      <w:r w:rsidRPr="00DB6A14">
        <w:rPr>
          <w:rFonts w:ascii="Times New Roman" w:eastAsia="Calibri" w:hAnsi="Times New Roman" w:cs="Times New Roman"/>
          <w:sz w:val="24"/>
          <w:szCs w:val="24"/>
        </w:rPr>
        <w:t>нормотворчеството</w:t>
      </w:r>
      <w:proofErr w:type="spellEnd"/>
      <w:r w:rsidRPr="00DB6A14">
        <w:rPr>
          <w:rFonts w:ascii="Times New Roman" w:eastAsia="Calibri" w:hAnsi="Times New Roman" w:cs="Times New Roman"/>
          <w:sz w:val="24"/>
          <w:szCs w:val="24"/>
        </w:rPr>
        <w:t>. Последното изменение на Закона за нормативните актове от 2016г.</w:t>
      </w:r>
      <w:r w:rsidRPr="00DB6A14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"/>
      </w: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 въвежда при изработването на проект на нормативен акт, независимо от това дали вносителят е правителството или народен представител, да се извършва предварителна оценка на въздействието, да се провеждат обществени консултации с гражданите и юридическите лица. Освен това ще се извършва и последваща оценка за въздействието на приетия нормативен акт.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Цяла нова глава от ЗНА е посветена на оценката на въздействие на нормативните актове. Последващата оценка на въздействие се извършва в срок 5 години след влизането в сила на новия закон, кодекс или подзаконов нормативен акт и се публикува на интернет страницата на съответния орган и на Портала за обществени консултации в срок до 30 дни от изготвянето ѝ.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Изработването на проект на нормативен акт е предвидено да се извършва при зачитане на принципите на необходимост, обоснованост, предвидимост, откритост, съгласуваност, субсидиарност, пропорционалност и стабилност (чл. 26). Увеличен е срокът за обществени консултации с гражданите и юридическите лица от 14 на 30 дни. След приключването на обществената консултация съставителят на проекта публикува </w:t>
      </w:r>
      <w:r w:rsidRPr="00DB6A14">
        <w:rPr>
          <w:rFonts w:ascii="Times New Roman" w:eastAsia="Calibri" w:hAnsi="Times New Roman" w:cs="Times New Roman"/>
          <w:sz w:val="24"/>
          <w:szCs w:val="24"/>
        </w:rPr>
        <w:lastRenderedPageBreak/>
        <w:t>на интернет страницата на съответната институция справка за постъпилите предложения заедно с обосновка за неприетите предложения. Законът ще влиза в сила 6 месеца след обнародването му в „Държавен вестник“, т.е. в края на 2016г.</w:t>
      </w:r>
    </w:p>
    <w:p w:rsidR="00DB6A14" w:rsidRPr="00DB6A14" w:rsidRDefault="00DB6A14" w:rsidP="00DB6A1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С новоприетите актове се очаква повишаване нивото на качеството на нормативните актове.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>В заключение следва да отбележа, че реализирането на европейския съюз за сигурност се основава на подготовката на адекватни актове на ниво ЕС и държави членки. Процес труден, но възможен.</w:t>
      </w:r>
    </w:p>
    <w:p w:rsidR="00DB6A14" w:rsidRPr="00DB6A14" w:rsidRDefault="00DB6A14" w:rsidP="00DB6A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6A14">
        <w:rPr>
          <w:rFonts w:ascii="Times New Roman" w:eastAsia="Calibri" w:hAnsi="Times New Roman" w:cs="Times New Roman"/>
          <w:sz w:val="24"/>
          <w:szCs w:val="24"/>
        </w:rPr>
        <w:t xml:space="preserve">За България това означава привеждане в съответствие на европейското законодателство в българското такова, своевременно и точно. Тъй като една от изключително важните задачи в областта на сигурността е добрата координация между органите, които извършват тази дейност, поставям въпроса за една бъдеща кодификация на законодателството в сектор сигурност. По този начин може да се преодолее  противоречието в законодателството, което пък създава трудности при приложението му. Това е една голяма и амбициозна задача, но не е невъзможна при наличието на воля и експертиза за постигането ѝ. </w:t>
      </w:r>
    </w:p>
    <w:p w:rsidR="00DB6A14" w:rsidRPr="00DB6A14" w:rsidRDefault="00DB6A14" w:rsidP="00DB6A1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B6A14" w:rsidRPr="00DB6A14" w:rsidRDefault="00DB6A14" w:rsidP="00DB6A1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B6A14" w:rsidRPr="00DB6A14" w:rsidRDefault="00DB6A14" w:rsidP="00DB6A14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</w:pPr>
      <w:r w:rsidRPr="00DB6A14">
        <w:rPr>
          <w:rFonts w:ascii="Times New Roman" w:eastAsia="Calibri" w:hAnsi="Times New Roman" w:cs="Times New Roman"/>
          <w:b/>
          <w:i/>
          <w:sz w:val="24"/>
          <w:szCs w:val="24"/>
        </w:rPr>
        <w:t>Използвана литература</w:t>
      </w:r>
      <w:r w:rsidRPr="00DB6A14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:</w:t>
      </w:r>
    </w:p>
    <w:p w:rsidR="00DB6A14" w:rsidRPr="00DB6A14" w:rsidRDefault="00DB6A14" w:rsidP="00DB6A14">
      <w:pPr>
        <w:numPr>
          <w:ilvl w:val="0"/>
          <w:numId w:val="2"/>
        </w:numPr>
        <w:spacing w:after="0" w:line="360" w:lineRule="auto"/>
        <w:ind w:left="284" w:hanging="284"/>
        <w:contextualSpacing/>
        <w:rPr>
          <w:rFonts w:ascii="Times New Roman" w:eastAsia="Calibri" w:hAnsi="Times New Roman" w:cs="Times New Roman"/>
          <w:i/>
          <w:sz w:val="24"/>
          <w:szCs w:val="24"/>
          <w:lang w:val="ru-RU"/>
        </w:rPr>
      </w:pPr>
      <w:r w:rsidRPr="00DB6A14">
        <w:rPr>
          <w:rFonts w:ascii="Times New Roman" w:eastAsia="Calibri" w:hAnsi="Times New Roman" w:cs="Times New Roman"/>
          <w:i/>
          <w:sz w:val="24"/>
          <w:szCs w:val="24"/>
          <w:lang w:val="ru-RU"/>
        </w:rPr>
        <w:t xml:space="preserve">ДВ. бр.15 от 23 </w:t>
      </w:r>
      <w:proofErr w:type="spellStart"/>
      <w:r w:rsidRPr="00DB6A14">
        <w:rPr>
          <w:rFonts w:ascii="Times New Roman" w:eastAsia="Calibri" w:hAnsi="Times New Roman" w:cs="Times New Roman"/>
          <w:i/>
          <w:sz w:val="24"/>
          <w:szCs w:val="24"/>
          <w:lang w:val="ru-RU"/>
        </w:rPr>
        <w:t>Февруари</w:t>
      </w:r>
      <w:proofErr w:type="spellEnd"/>
      <w:r w:rsidRPr="00DB6A14">
        <w:rPr>
          <w:rFonts w:ascii="Times New Roman" w:eastAsia="Calibri" w:hAnsi="Times New Roman" w:cs="Times New Roman"/>
          <w:i/>
          <w:sz w:val="24"/>
          <w:szCs w:val="24"/>
          <w:lang w:val="ru-RU"/>
        </w:rPr>
        <w:t xml:space="preserve"> 2016 г.</w:t>
      </w:r>
    </w:p>
    <w:p w:rsidR="00DB6A14" w:rsidRPr="00DB6A14" w:rsidRDefault="00DB6A14" w:rsidP="00DB6A14">
      <w:pPr>
        <w:numPr>
          <w:ilvl w:val="0"/>
          <w:numId w:val="2"/>
        </w:numPr>
        <w:spacing w:after="0" w:line="360" w:lineRule="auto"/>
        <w:ind w:left="284" w:hanging="284"/>
        <w:contextualSpacing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DB6A14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ДВ, </w:t>
      </w:r>
      <w:proofErr w:type="spellStart"/>
      <w:r w:rsidRPr="00DB6A14">
        <w:rPr>
          <w:rFonts w:ascii="Times New Roman" w:eastAsia="Calibri" w:hAnsi="Times New Roman" w:cs="Times New Roman"/>
          <w:i/>
          <w:sz w:val="24"/>
          <w:szCs w:val="24"/>
          <w:lang w:val="en-US"/>
        </w:rPr>
        <w:t>бр</w:t>
      </w:r>
      <w:proofErr w:type="spellEnd"/>
      <w:r w:rsidRPr="00DB6A14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. 74 </w:t>
      </w:r>
      <w:proofErr w:type="spellStart"/>
      <w:r w:rsidRPr="00DB6A14">
        <w:rPr>
          <w:rFonts w:ascii="Times New Roman" w:eastAsia="Calibri" w:hAnsi="Times New Roman" w:cs="Times New Roman"/>
          <w:i/>
          <w:sz w:val="24"/>
          <w:szCs w:val="24"/>
          <w:lang w:val="en-US"/>
        </w:rPr>
        <w:t>от</w:t>
      </w:r>
      <w:proofErr w:type="spellEnd"/>
      <w:r w:rsidRPr="00DB6A14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2015 г.</w:t>
      </w:r>
    </w:p>
    <w:p w:rsidR="00DB6A14" w:rsidRPr="00DB6A14" w:rsidRDefault="00DB6A14" w:rsidP="00DB6A14">
      <w:pPr>
        <w:numPr>
          <w:ilvl w:val="0"/>
          <w:numId w:val="2"/>
        </w:numPr>
        <w:spacing w:after="0" w:line="360" w:lineRule="auto"/>
        <w:ind w:left="284" w:hanging="284"/>
        <w:contextualSpacing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DB6A14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ДВ </w:t>
      </w:r>
      <w:proofErr w:type="spellStart"/>
      <w:r w:rsidRPr="00DB6A14">
        <w:rPr>
          <w:rFonts w:ascii="Times New Roman" w:eastAsia="Calibri" w:hAnsi="Times New Roman" w:cs="Times New Roman"/>
          <w:i/>
          <w:sz w:val="24"/>
          <w:szCs w:val="24"/>
          <w:lang w:val="en-US"/>
        </w:rPr>
        <w:t>брой</w:t>
      </w:r>
      <w:proofErr w:type="spellEnd"/>
      <w:r w:rsidRPr="00DB6A14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34, 3.5.2016 г.</w:t>
      </w:r>
    </w:p>
    <w:p w:rsidR="00DB6A14" w:rsidRPr="00DB6A14" w:rsidRDefault="008F6712" w:rsidP="00DB6A14">
      <w:pPr>
        <w:numPr>
          <w:ilvl w:val="0"/>
          <w:numId w:val="2"/>
        </w:numPr>
        <w:spacing w:after="0" w:line="360" w:lineRule="auto"/>
        <w:ind w:left="284" w:hanging="284"/>
        <w:contextualSpacing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hyperlink r:id="rId7" w:history="1">
        <w:r w:rsidR="00DB6A14" w:rsidRPr="00DB6A14">
          <w:rPr>
            <w:rFonts w:ascii="Times New Roman" w:eastAsia="Calibri" w:hAnsi="Times New Roman" w:cs="Times New Roman"/>
            <w:i/>
            <w:color w:val="0563C1"/>
            <w:sz w:val="24"/>
            <w:szCs w:val="24"/>
            <w:u w:val="single"/>
            <w:lang w:val="en-US"/>
          </w:rPr>
          <w:t>http://www.europarl.europa.eu/sides/getDoc.do?pubRef=-//EP//TEXT+TA+P8-TA-2015-0410+0+DOC+XML+V0//BG</w:t>
        </w:r>
      </w:hyperlink>
    </w:p>
    <w:p w:rsidR="00DB6A14" w:rsidRPr="00DB6A14" w:rsidRDefault="008F6712" w:rsidP="00DB6A14">
      <w:pPr>
        <w:numPr>
          <w:ilvl w:val="0"/>
          <w:numId w:val="2"/>
        </w:numPr>
        <w:spacing w:after="0" w:line="360" w:lineRule="auto"/>
        <w:ind w:left="284" w:hanging="284"/>
        <w:contextualSpacing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hyperlink r:id="rId8" w:history="1">
        <w:r w:rsidR="00DB6A14" w:rsidRPr="00DB6A14">
          <w:rPr>
            <w:rFonts w:ascii="Times New Roman" w:eastAsia="Calibri" w:hAnsi="Times New Roman" w:cs="Times New Roman"/>
            <w:i/>
            <w:color w:val="0563C1"/>
            <w:sz w:val="24"/>
            <w:szCs w:val="24"/>
            <w:u w:val="single"/>
            <w:lang w:val="en-US"/>
          </w:rPr>
          <w:t>http://europa.eu/rapid/press-release_IP-16-1445_bg.htm</w:t>
        </w:r>
      </w:hyperlink>
    </w:p>
    <w:p w:rsidR="003F2871" w:rsidRPr="00DB6A14" w:rsidRDefault="008F6712" w:rsidP="00DB6A14">
      <w:pPr>
        <w:numPr>
          <w:ilvl w:val="0"/>
          <w:numId w:val="2"/>
        </w:numPr>
        <w:spacing w:after="0" w:line="360" w:lineRule="auto"/>
        <w:ind w:left="284" w:hanging="284"/>
        <w:contextualSpacing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hyperlink r:id="rId9" w:history="1">
        <w:r w:rsidR="00DB6A14" w:rsidRPr="00DB6A14">
          <w:rPr>
            <w:rFonts w:ascii="Times New Roman" w:eastAsia="Calibri" w:hAnsi="Times New Roman" w:cs="Times New Roman"/>
            <w:i/>
            <w:color w:val="0563C1"/>
            <w:sz w:val="24"/>
            <w:szCs w:val="24"/>
            <w:u w:val="single"/>
            <w:lang w:val="en-US"/>
          </w:rPr>
          <w:t>http://ec.europa.eu/smart-regulation/index_bg.htm</w:t>
        </w:r>
      </w:hyperlink>
      <w:bookmarkStart w:id="0" w:name="_GoBack"/>
      <w:bookmarkEnd w:id="0"/>
    </w:p>
    <w:sectPr w:rsidR="003F2871" w:rsidRPr="00DB6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712" w:rsidRDefault="008F6712" w:rsidP="00DB6A14">
      <w:pPr>
        <w:spacing w:after="0" w:line="240" w:lineRule="auto"/>
      </w:pPr>
      <w:r>
        <w:separator/>
      </w:r>
    </w:p>
  </w:endnote>
  <w:endnote w:type="continuationSeparator" w:id="0">
    <w:p w:rsidR="008F6712" w:rsidRDefault="008F6712" w:rsidP="00DB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712" w:rsidRDefault="008F6712" w:rsidP="00DB6A14">
      <w:pPr>
        <w:spacing w:after="0" w:line="240" w:lineRule="auto"/>
      </w:pPr>
      <w:r>
        <w:separator/>
      </w:r>
    </w:p>
  </w:footnote>
  <w:footnote w:type="continuationSeparator" w:id="0">
    <w:p w:rsidR="008F6712" w:rsidRDefault="008F6712" w:rsidP="00DB6A14">
      <w:pPr>
        <w:spacing w:after="0" w:line="240" w:lineRule="auto"/>
      </w:pPr>
      <w:r>
        <w:continuationSeparator/>
      </w:r>
    </w:p>
  </w:footnote>
  <w:footnote w:id="1">
    <w:p w:rsidR="00DB6A14" w:rsidRPr="00504248" w:rsidRDefault="00DB6A14" w:rsidP="00DB6A14">
      <w:pPr>
        <w:pStyle w:val="a3"/>
        <w:rPr>
          <w:rFonts w:ascii="Times New Roman" w:hAnsi="Times New Roman" w:cs="Times New Roman"/>
          <w:i/>
        </w:rPr>
      </w:pPr>
      <w:r w:rsidRPr="00504248">
        <w:rPr>
          <w:rStyle w:val="a5"/>
          <w:rFonts w:ascii="Times New Roman" w:hAnsi="Times New Roman" w:cs="Times New Roman"/>
          <w:i/>
        </w:rPr>
        <w:footnoteRef/>
      </w:r>
      <w:r w:rsidRPr="00504248">
        <w:rPr>
          <w:rFonts w:ascii="Times New Roman" w:hAnsi="Times New Roman" w:cs="Times New Roman"/>
          <w:i/>
        </w:rPr>
        <w:t xml:space="preserve"> http://europa.eu/rapid/press-release_IP-16-1445_bg.htm</w:t>
      </w:r>
    </w:p>
  </w:footnote>
  <w:footnote w:id="2">
    <w:p w:rsidR="00DB6A14" w:rsidRPr="00504248" w:rsidRDefault="00DB6A14" w:rsidP="00DB6A14">
      <w:pPr>
        <w:pStyle w:val="a3"/>
        <w:rPr>
          <w:rFonts w:ascii="Times New Roman" w:hAnsi="Times New Roman" w:cs="Times New Roman"/>
          <w:i/>
        </w:rPr>
      </w:pPr>
      <w:r w:rsidRPr="00504248">
        <w:rPr>
          <w:rStyle w:val="a5"/>
          <w:rFonts w:ascii="Times New Roman" w:hAnsi="Times New Roman" w:cs="Times New Roman"/>
          <w:i/>
        </w:rPr>
        <w:footnoteRef/>
      </w:r>
      <w:r w:rsidRPr="00504248">
        <w:rPr>
          <w:rFonts w:ascii="Times New Roman" w:hAnsi="Times New Roman" w:cs="Times New Roman"/>
          <w:i/>
        </w:rPr>
        <w:t xml:space="preserve"> ДВ, бр. 74 от 2015 г.</w:t>
      </w:r>
    </w:p>
  </w:footnote>
  <w:footnote w:id="3">
    <w:p w:rsidR="00DB6A14" w:rsidRDefault="00DB6A14" w:rsidP="00DB6A14">
      <w:pPr>
        <w:pStyle w:val="a3"/>
      </w:pPr>
      <w:r w:rsidRPr="00504248">
        <w:rPr>
          <w:rStyle w:val="a5"/>
          <w:rFonts w:ascii="Times New Roman" w:hAnsi="Times New Roman" w:cs="Times New Roman"/>
          <w:i/>
        </w:rPr>
        <w:footnoteRef/>
      </w:r>
      <w:r w:rsidRPr="00504248">
        <w:rPr>
          <w:rFonts w:ascii="Times New Roman" w:hAnsi="Times New Roman" w:cs="Times New Roman"/>
          <w:i/>
        </w:rPr>
        <w:t xml:space="preserve"> http://www.europarl.europa.eu/sides/getDoc.do?pubRef=-//EP//TEXT+TA+P8-TA-2015-0410+0+DOC+XML+V0//BG</w:t>
      </w:r>
    </w:p>
  </w:footnote>
  <w:footnote w:id="4">
    <w:p w:rsidR="00DB6A14" w:rsidRPr="00504248" w:rsidRDefault="00DB6A14" w:rsidP="00DB6A14">
      <w:pPr>
        <w:pStyle w:val="a3"/>
        <w:rPr>
          <w:rFonts w:ascii="Times New Roman" w:hAnsi="Times New Roman" w:cs="Times New Roman"/>
          <w:i/>
        </w:rPr>
      </w:pPr>
      <w:r w:rsidRPr="00504248">
        <w:rPr>
          <w:rStyle w:val="a5"/>
          <w:rFonts w:ascii="Times New Roman" w:hAnsi="Times New Roman" w:cs="Times New Roman"/>
          <w:i/>
        </w:rPr>
        <w:footnoteRef/>
      </w:r>
      <w:r w:rsidRPr="00504248">
        <w:rPr>
          <w:rFonts w:ascii="Times New Roman" w:hAnsi="Times New Roman" w:cs="Times New Roman"/>
          <w:i/>
        </w:rPr>
        <w:t xml:space="preserve"> ДВ. бр.15 от 23 Февруари 2016</w:t>
      </w:r>
      <w:r>
        <w:rPr>
          <w:rFonts w:ascii="Times New Roman" w:hAnsi="Times New Roman" w:cs="Times New Roman"/>
          <w:i/>
        </w:rPr>
        <w:t xml:space="preserve"> </w:t>
      </w:r>
      <w:r w:rsidRPr="00504248">
        <w:rPr>
          <w:rFonts w:ascii="Times New Roman" w:hAnsi="Times New Roman" w:cs="Times New Roman"/>
          <w:i/>
        </w:rPr>
        <w:t>г.</w:t>
      </w:r>
    </w:p>
  </w:footnote>
  <w:footnote w:id="5">
    <w:p w:rsidR="00DB6A14" w:rsidRPr="00504248" w:rsidRDefault="00DB6A14" w:rsidP="00DB6A14">
      <w:pPr>
        <w:pStyle w:val="a3"/>
        <w:rPr>
          <w:rFonts w:ascii="Times New Roman" w:hAnsi="Times New Roman" w:cs="Times New Roman"/>
          <w:i/>
        </w:rPr>
      </w:pPr>
      <w:r w:rsidRPr="00504248">
        <w:rPr>
          <w:rStyle w:val="a5"/>
          <w:rFonts w:ascii="Times New Roman" w:hAnsi="Times New Roman" w:cs="Times New Roman"/>
          <w:i/>
        </w:rPr>
        <w:footnoteRef/>
      </w:r>
      <w:r w:rsidRPr="00504248">
        <w:rPr>
          <w:rFonts w:ascii="Times New Roman" w:hAnsi="Times New Roman" w:cs="Times New Roman"/>
          <w:i/>
        </w:rPr>
        <w:t xml:space="preserve"> http://ec.europa.eu/smart-regulation/index_bg.htm</w:t>
      </w:r>
    </w:p>
  </w:footnote>
  <w:footnote w:id="6">
    <w:p w:rsidR="00DB6A14" w:rsidRDefault="00DB6A14" w:rsidP="00DB6A14">
      <w:pPr>
        <w:pStyle w:val="a3"/>
      </w:pPr>
      <w:r w:rsidRPr="00504248">
        <w:rPr>
          <w:rStyle w:val="a5"/>
          <w:rFonts w:ascii="Times New Roman" w:hAnsi="Times New Roman" w:cs="Times New Roman"/>
          <w:i/>
        </w:rPr>
        <w:footnoteRef/>
      </w:r>
      <w:r w:rsidRPr="00504248">
        <w:rPr>
          <w:rFonts w:ascii="Times New Roman" w:hAnsi="Times New Roman" w:cs="Times New Roman"/>
          <w:i/>
        </w:rPr>
        <w:t xml:space="preserve"> ДВ брой 34, 3.5.2016 г.</w:t>
      </w:r>
      <w:r w:rsidRPr="005014E9">
        <w:t xml:space="preserve"> 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028E5"/>
    <w:multiLevelType w:val="hybridMultilevel"/>
    <w:tmpl w:val="F97CCC72"/>
    <w:lvl w:ilvl="0" w:tplc="0402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E2966"/>
    <w:multiLevelType w:val="hybridMultilevel"/>
    <w:tmpl w:val="F97CCC72"/>
    <w:lvl w:ilvl="0" w:tplc="0402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573FB"/>
    <w:multiLevelType w:val="hybridMultilevel"/>
    <w:tmpl w:val="4E603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14"/>
    <w:rsid w:val="003F2871"/>
    <w:rsid w:val="004C165C"/>
    <w:rsid w:val="004E59DB"/>
    <w:rsid w:val="008F6712"/>
    <w:rsid w:val="00DB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0C94F4-50CE-4887-93C5-0D70EDB8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Fußnotentext arial,fn,Schriftart: 9 pt,Schriftart: 10 pt,Schriftart: 8 pt,WB-Fußnotentext,Fu?notentext arial,Sprotna opomba - besedilo Znak1,Sprotna opomba - besedilo Znak Znak2,Sprotna opomba - besedilo Znak1 Znak Znak1,stile 1"/>
    <w:basedOn w:val="a"/>
    <w:link w:val="a4"/>
    <w:unhideWhenUsed/>
    <w:rsid w:val="00DB6A14"/>
    <w:pPr>
      <w:spacing w:after="0" w:line="240" w:lineRule="auto"/>
    </w:pPr>
    <w:rPr>
      <w:rFonts w:eastAsia="Times New Roman"/>
      <w:sz w:val="20"/>
      <w:szCs w:val="20"/>
      <w:lang w:val="mk-MK" w:eastAsia="mk-MK"/>
    </w:rPr>
  </w:style>
  <w:style w:type="character" w:customStyle="1" w:styleId="a4">
    <w:name w:val="Текст под линия Знак"/>
    <w:aliases w:val="Fußnotentext arial Знак,fn Знак,Schriftart: 9 pt Знак,Schriftart: 10 pt Знак,Schriftart: 8 pt Знак,WB-Fußnotentext Знак,Fu?notentext arial Знак,Sprotna opomba - besedilo Znak1 Знак,Sprotna opomba - besedilo Znak Znak2 Знак"/>
    <w:basedOn w:val="a0"/>
    <w:link w:val="a3"/>
    <w:rsid w:val="00DB6A14"/>
    <w:rPr>
      <w:rFonts w:eastAsia="Times New Roman"/>
      <w:sz w:val="20"/>
      <w:szCs w:val="20"/>
      <w:lang w:val="mk-MK" w:eastAsia="mk-MK"/>
    </w:rPr>
  </w:style>
  <w:style w:type="character" w:styleId="a5">
    <w:name w:val="footnote reference"/>
    <w:aliases w:val="SUPERS,Footnote Reference Superscript,BVI fnr,Footnote symbol,Footnote symboFußnotenzeichen,Footnote sign,Footnote Reference text,Footnote Reference/,footnote ref,FR,Fußnotenzeichen diss neu,Times 10 Point,callout,fr"/>
    <w:basedOn w:val="a0"/>
    <w:uiPriority w:val="99"/>
    <w:unhideWhenUsed/>
    <w:rsid w:val="00DB6A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pa.eu/rapid/press-release_IP-16-1445_bg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uroparl.europa.eu/sides/getDoc.do?pubRef=-//EP//TEXT+TA+P8-TA-2015-0410+0+DOC+XML+V0//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c.europa.eu/smart-regulation/index_bg.htm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2922</Words>
  <Characters>16658</Characters>
  <Application>Microsoft Office Word</Application>
  <DocSecurity>0</DocSecurity>
  <Lines>138</Lines>
  <Paragraphs>39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2</cp:revision>
  <dcterms:created xsi:type="dcterms:W3CDTF">2016-09-04T08:39:00Z</dcterms:created>
  <dcterms:modified xsi:type="dcterms:W3CDTF">2016-09-04T08:44:00Z</dcterms:modified>
</cp:coreProperties>
</file>