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713B" w:rsidRPr="00F0713B" w:rsidRDefault="00F0713B" w:rsidP="00F0713B">
      <w:pPr>
        <w:spacing w:after="0" w:line="360" w:lineRule="auto"/>
        <w:jc w:val="center"/>
        <w:rPr>
          <w:rFonts w:ascii="Times New Roman" w:eastAsia="Calibri" w:hAnsi="Times New Roman" w:cs="Times New Roman"/>
          <w:b/>
          <w:caps/>
          <w:sz w:val="28"/>
          <w:szCs w:val="28"/>
        </w:rPr>
      </w:pPr>
      <w:r w:rsidRPr="00F0713B">
        <w:rPr>
          <w:rFonts w:ascii="Times New Roman" w:eastAsia="Calibri" w:hAnsi="Times New Roman" w:cs="Times New Roman"/>
          <w:b/>
          <w:caps/>
          <w:sz w:val="28"/>
          <w:szCs w:val="28"/>
        </w:rPr>
        <w:t>Аналитичен подход за изследване на новите предизвикателства пред сигурността в дигиталното общество</w:t>
      </w:r>
    </w:p>
    <w:p w:rsidR="00F0713B" w:rsidRPr="00F0713B" w:rsidRDefault="00F0713B" w:rsidP="00F0713B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F0713B" w:rsidRPr="00F0713B" w:rsidRDefault="00F0713B" w:rsidP="00F0713B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t>доц. Златогор МИНЧЕВ</w:t>
      </w:r>
    </w:p>
    <w:p w:rsidR="00F0713B" w:rsidRPr="00F0713B" w:rsidRDefault="00F0713B" w:rsidP="00F0713B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t>Институт по информационни и комуникационни технологии,</w:t>
      </w:r>
    </w:p>
    <w:p w:rsidR="00F0713B" w:rsidRPr="00F0713B" w:rsidRDefault="00F0713B" w:rsidP="00F0713B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t>Българска академия на науките</w:t>
      </w:r>
    </w:p>
    <w:p w:rsidR="00F0713B" w:rsidRPr="00F0713B" w:rsidRDefault="00F0713B" w:rsidP="00F0713B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F0713B" w:rsidRPr="00F0713B" w:rsidRDefault="00F0713B" w:rsidP="00F0713B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t>инж. Георги ДУКОВ,</w:t>
      </w:r>
    </w:p>
    <w:p w:rsidR="00F0713B" w:rsidRPr="00F0713B" w:rsidRDefault="00F0713B" w:rsidP="00F0713B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t>Институт по информационни и комуникационни технологии,</w:t>
      </w:r>
    </w:p>
    <w:p w:rsidR="00F0713B" w:rsidRPr="00F0713B" w:rsidRDefault="00F0713B" w:rsidP="00F0713B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t>Българска академия на науките</w:t>
      </w:r>
    </w:p>
    <w:p w:rsidR="00F0713B" w:rsidRPr="00F0713B" w:rsidRDefault="00F0713B" w:rsidP="00F0713B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b/>
          <w:i/>
          <w:sz w:val="24"/>
          <w:szCs w:val="24"/>
        </w:rPr>
        <w:t>Резюме:</w:t>
      </w:r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Динамиката на новото дигитално общество създава редица нови предизвикателства пред съвременната сигурност. Днес те се развиват в сложната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кибер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-физическа смесена реалност, включваща информационното пространство и обективната реалност. В статията е представен методологичен подход за моделно изследване на тези нови заплахи. Използвано е системно моделиране и анализ, базиран на анкети, интервюта и експертни знания. Последващата вероятностна валидация, се използва за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симулационна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оценка в динамика на идентифицираните заплахи. Резултатите са допълнително верифицирани с активното участие на човешкия фактор. Предложеният подход създава добра основа за анализ на бъдещите предизвикателства пред сигурността в дигиталното общество.</w:t>
      </w: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b/>
          <w:i/>
          <w:sz w:val="24"/>
          <w:szCs w:val="24"/>
        </w:rPr>
      </w:pP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b/>
          <w:i/>
          <w:sz w:val="24"/>
          <w:szCs w:val="24"/>
        </w:rPr>
        <w:t>Ключови думи:</w:t>
      </w:r>
      <w:r w:rsidRPr="00F0713B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кибер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>-физическо пространство, заплахи и предизвикателства, моделно изследване и анализ, валидация и верификация.</w:t>
      </w: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0"/>
          <w:szCs w:val="20"/>
        </w:rPr>
      </w:pP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0"/>
          <w:szCs w:val="20"/>
        </w:rPr>
      </w:pPr>
    </w:p>
    <w:p w:rsidR="00F0713B" w:rsidRPr="00F0713B" w:rsidRDefault="00F0713B" w:rsidP="00F0713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F0713B">
        <w:rPr>
          <w:rFonts w:ascii="Times New Roman" w:eastAsia="Calibri" w:hAnsi="Times New Roman" w:cs="Times New Roman"/>
          <w:b/>
          <w:sz w:val="24"/>
          <w:szCs w:val="24"/>
        </w:rPr>
        <w:t>Въведение</w:t>
      </w: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Съвременното общество създава все по-тясна връзка между технологиите и хората. Това, от своя страна, става източник на редица социални промени в поведението и реакциите на днешните и бъдещите хора. Технологиите все повече влияят върху формирането на дигиталното общество, което създава своеобразен еволюционен парадокс. Новата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кибер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-физическа реалност е основополагаща за социалните промени, </w:t>
      </w:r>
      <w:r w:rsidRPr="00F0713B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базирани на технологиите от Интернет пространството [1]. Ускорената социална динамика, допълнително стимулирана от съвременните феномени на: цветните  революции, тероризма, миграцията и хибридните войни е много по-различна от тази на 20-и век. В ерата на уеб технологиите и услугите, социалните мрежи и мобилните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смарт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устройства, понятия като „социален инженеринг“, „лично пространство“ и „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компрометираност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по дизайн“, пораждат редица въпроси пред бъдещето на човеко-машинната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интеракция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в новата смесена реалност на съществуване [2]. При това, развитието на идеята за автономност, от гледна точка на технологията, поставя нови предизвикателства пред бъдещето на „изкуствения интелект“. Очакваното развитие за комуникациите на ниво „машина-машина“ в ерата на „Интернет на обектите“, открива и реални възможности за недалечното бъдеще, свързани с „машинно-човешко“ общуване [3]. Едно по-различно равнище в този аспект ще отреди по-активна роля на машите и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самоеволюиращият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им интелект [4], който неформално да повлияе на хората по нов, неизследван досега начин.</w:t>
      </w: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t>Всичко това поставя неизменната необходимост за създаване на изследователска рамка, представена в следващата точка, за адекватно посрещане на тези нови предизвикателства в днешното дигитално общество.</w:t>
      </w: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F0713B" w:rsidRPr="00F0713B" w:rsidRDefault="00F0713B" w:rsidP="00F0713B">
      <w:pPr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F0713B">
        <w:rPr>
          <w:rFonts w:ascii="Times New Roman" w:eastAsia="Calibri" w:hAnsi="Times New Roman" w:cs="Times New Roman"/>
          <w:b/>
          <w:sz w:val="24"/>
          <w:szCs w:val="24"/>
        </w:rPr>
        <w:t>Изследователска рамка</w:t>
      </w: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Предвид сложния, многостранен и не напълно определен характер на съвременната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кибер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-физическа реалност и възникващите в нея предизвикателства пред сигурността, породени от „човеко-машинната“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интеракция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>, за целите на настоящата работа бе модифицирана и допълнена изследователска рамка, основана на идеите от [5] - [7].</w:t>
      </w:r>
    </w:p>
    <w:p w:rsidR="00F0713B" w:rsidRPr="00F0713B" w:rsidRDefault="00F0713B" w:rsidP="00F0713B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noProof/>
          <w:sz w:val="24"/>
          <w:szCs w:val="24"/>
          <w:lang w:eastAsia="bg-BG"/>
        </w:rPr>
        <w:drawing>
          <wp:inline distT="0" distB="0" distL="0" distR="0" wp14:anchorId="45250B17" wp14:editId="39275097">
            <wp:extent cx="3018705" cy="1918669"/>
            <wp:effectExtent l="0" t="0" r="0" b="5715"/>
            <wp:docPr id="61" name="Picture 3" descr="C:\Users\Zlatogor\Desktop\NBU\nbu_2016\figures\grey\Figure 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latogor\Desktop\NBU\nbu_2016\figures\grey\Figure 1.tif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397" cy="193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13B" w:rsidRPr="00F0713B" w:rsidRDefault="00F0713B" w:rsidP="00F0713B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0"/>
          <w:szCs w:val="20"/>
        </w:rPr>
      </w:pPr>
      <w:r w:rsidRPr="00F0713B">
        <w:rPr>
          <w:rFonts w:ascii="Times New Roman" w:eastAsia="Calibri" w:hAnsi="Times New Roman" w:cs="Times New Roman"/>
          <w:b/>
          <w:sz w:val="20"/>
          <w:szCs w:val="20"/>
        </w:rPr>
        <w:t>Фиг.1. Общ вид на използваната изследователска рамка</w:t>
      </w: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Както е видно от Фиг. 1, рамката е организирана в четири етапа с активното участие на човешкия фактор: (i) </w:t>
      </w:r>
      <w:r w:rsidRPr="00F0713B">
        <w:rPr>
          <w:rFonts w:ascii="Times New Roman" w:eastAsia="Calibri" w:hAnsi="Times New Roman" w:cs="Times New Roman"/>
          <w:i/>
          <w:sz w:val="24"/>
          <w:szCs w:val="24"/>
        </w:rPr>
        <w:t>Дефиниране на проблемното пространство</w:t>
      </w:r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, (ii) </w:t>
      </w:r>
      <w:r w:rsidRPr="00F0713B">
        <w:rPr>
          <w:rFonts w:ascii="Times New Roman" w:eastAsia="Calibri" w:hAnsi="Times New Roman" w:cs="Times New Roman"/>
          <w:i/>
          <w:sz w:val="24"/>
          <w:szCs w:val="24"/>
        </w:rPr>
        <w:t>Системно моделиране и анализ</w:t>
      </w:r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, (iii) </w:t>
      </w:r>
      <w:r w:rsidRPr="00F0713B">
        <w:rPr>
          <w:rFonts w:ascii="Times New Roman" w:eastAsia="Calibri" w:hAnsi="Times New Roman" w:cs="Times New Roman"/>
          <w:i/>
          <w:sz w:val="24"/>
          <w:szCs w:val="24"/>
        </w:rPr>
        <w:t>Вероятностна валидация</w:t>
      </w:r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и (iv) </w:t>
      </w:r>
      <w:r w:rsidRPr="00F0713B">
        <w:rPr>
          <w:rFonts w:ascii="Times New Roman" w:eastAsia="Calibri" w:hAnsi="Times New Roman" w:cs="Times New Roman"/>
          <w:i/>
          <w:sz w:val="24"/>
          <w:szCs w:val="24"/>
        </w:rPr>
        <w:t>Интерактивна верификация</w:t>
      </w:r>
      <w:r w:rsidRPr="00F0713B">
        <w:rPr>
          <w:rFonts w:ascii="Times New Roman" w:eastAsia="Calibri" w:hAnsi="Times New Roman" w:cs="Times New Roman"/>
          <w:sz w:val="24"/>
          <w:szCs w:val="24"/>
        </w:rPr>
        <w:t>.</w:t>
      </w: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t>В следващата точка рамката ще бъде представена в детайли, в съчетание с аналитични резултати, демонстриращи ефекта от нейното практическо използване в изследването на настоящи и бъдещи заплахи в новата дигитална реалност.</w:t>
      </w: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F0713B" w:rsidRPr="00F0713B" w:rsidRDefault="00F0713B" w:rsidP="00F0713B">
      <w:pPr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F0713B">
        <w:rPr>
          <w:rFonts w:ascii="Times New Roman" w:eastAsia="Calibri" w:hAnsi="Times New Roman" w:cs="Times New Roman"/>
          <w:b/>
          <w:sz w:val="24"/>
          <w:szCs w:val="24"/>
        </w:rPr>
        <w:t>Практическа реализация</w:t>
      </w: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Представените на Фиг.1 четири етапа от изследователската рамка за изследването на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кибер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-физическата реалност ще бъдат детайлно разгледани и илюстрирани по-долу. </w:t>
      </w:r>
    </w:p>
    <w:p w:rsidR="00F0713B" w:rsidRPr="00F0713B" w:rsidRDefault="00F0713B" w:rsidP="00F0713B">
      <w:pPr>
        <w:spacing w:after="0" w:line="360" w:lineRule="auto"/>
        <w:ind w:left="720"/>
        <w:jc w:val="both"/>
        <w:rPr>
          <w:rFonts w:ascii="Times New Roman" w:eastAsia="Calibri" w:hAnsi="Times New Roman" w:cs="Times New Roman"/>
          <w:i/>
          <w:sz w:val="24"/>
          <w:szCs w:val="24"/>
        </w:rPr>
      </w:pPr>
      <w:r w:rsidRPr="00F0713B">
        <w:rPr>
          <w:rFonts w:ascii="Times New Roman" w:eastAsia="Calibri" w:hAnsi="Times New Roman" w:cs="Times New Roman"/>
          <w:i/>
          <w:sz w:val="24"/>
          <w:szCs w:val="24"/>
        </w:rPr>
        <w:t>Дефиниране на проблемното пространство</w:t>
      </w: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Предвид прогнозния характер на този етап, бяха използвани данни от образователната сфера, индустрията и експертната общност. Изследването бе реализирано чрез анкетно проучване сред 350 студенти (21 +/-3 години) от страна на Съвместния център за обучение, симулации и анализ (СЦОСА) към Института по информационни и комуникационни технологии (ИИКТ) – БАН, съвместно с Университета за национално и световно стопанство и Пловдивския университет „Паисий Хилендарски“. Допълнително бяха включени тенденции от анализа, приложен в подготовката на Национална стратегия за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киберсигурност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на Р България [8]. Мненията на водещи индустриални партньори, събрани от 21 световни лидери в сферата на информационните и комуникационни технологии, предоставени ни от Асоциацията на комуникационните и информационни специалисти в България [9], също бяха използвани при формирането на настоящото проблемно пространство.</w:t>
      </w: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t>Обобщените резултати, в графичен вид, с времеви хоризонт до 2020 година са представени на Фиг.2.</w:t>
      </w:r>
    </w:p>
    <w:p w:rsidR="00F0713B" w:rsidRPr="00F0713B" w:rsidRDefault="00F0713B" w:rsidP="00F0713B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0"/>
          <w:szCs w:val="20"/>
        </w:rPr>
      </w:pPr>
      <w:r w:rsidRPr="00F0713B">
        <w:rPr>
          <w:rFonts w:ascii="Times New Roman" w:eastAsia="Calibri" w:hAnsi="Times New Roman" w:cs="Times New Roman"/>
          <w:b/>
          <w:noProof/>
          <w:sz w:val="24"/>
          <w:szCs w:val="24"/>
          <w:lang w:eastAsia="bg-BG"/>
        </w:rPr>
        <w:lastRenderedPageBreak/>
        <w:drawing>
          <wp:inline distT="0" distB="0" distL="0" distR="0" wp14:anchorId="344B8587" wp14:editId="504E4942">
            <wp:extent cx="5617845" cy="3419431"/>
            <wp:effectExtent l="0" t="0" r="1905" b="0"/>
            <wp:docPr id="62" name="Picture 11" descr="C:\Users\Zlatogor\Desktop\NBU\nbu_2016\figures\grey\Figure 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latogor\Desktop\NBU\nbu_2016\figures\grey\Figure 2.t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116" cy="343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713B">
        <w:rPr>
          <w:rFonts w:ascii="Times New Roman" w:eastAsia="Calibri" w:hAnsi="Times New Roman" w:cs="Times New Roman"/>
          <w:b/>
          <w:sz w:val="24"/>
          <w:szCs w:val="24"/>
        </w:rPr>
        <w:br/>
      </w:r>
      <w:r w:rsidRPr="00F0713B">
        <w:rPr>
          <w:rFonts w:ascii="Times New Roman" w:eastAsia="Calibri" w:hAnsi="Times New Roman" w:cs="Times New Roman"/>
          <w:b/>
          <w:sz w:val="20"/>
          <w:szCs w:val="20"/>
        </w:rPr>
        <w:t xml:space="preserve">Фиг.2. Обобщение на тенденциите в развитието на дигиталното общество, уеб услугите, </w:t>
      </w:r>
      <w:proofErr w:type="spellStart"/>
      <w:r w:rsidRPr="00F0713B">
        <w:rPr>
          <w:rFonts w:ascii="Times New Roman" w:eastAsia="Calibri" w:hAnsi="Times New Roman" w:cs="Times New Roman"/>
          <w:b/>
          <w:sz w:val="20"/>
          <w:szCs w:val="20"/>
        </w:rPr>
        <w:t>киберпредизвикателствата</w:t>
      </w:r>
      <w:proofErr w:type="spellEnd"/>
      <w:r w:rsidRPr="00F0713B">
        <w:rPr>
          <w:rFonts w:ascii="Times New Roman" w:eastAsia="Calibri" w:hAnsi="Times New Roman" w:cs="Times New Roman"/>
          <w:b/>
          <w:sz w:val="20"/>
          <w:szCs w:val="20"/>
        </w:rPr>
        <w:t xml:space="preserve"> и възможни вектори за атаки до 2020 г.</w:t>
      </w: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Както става ясно от Фиг.2, основните тенденции до 2020 година, определени в изследването, дават приоритетно развитие на „Среда и качество на живот“ – 40% и „Бизнес и производство“ – 28%. Тенденцията се запазва и в очакваната еволюция на уеб услугите и въвеждането на 4G/5G високоскоростен мобилен достъп, позволяващ увеличаване на „Разширени мултимедийни забавления“ – 35%, използващи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смарт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устройства за „Подобряване качеството на живот“ – 30%. При това, най-съществените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кибер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предизвикателства за човешкия фактор се предвиждат в „Лично пространство и технологично пристрастяване“ – 35% и „Информационно претоварване“ – 30%.  Възможните вектори за атаки са съсредоточени в „Лично пространство и социален инженеринг“ – 40%, „Зловреден софтуер и насочени атаки“ – 25%.</w:t>
      </w: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t>Като цяло, ще отбележим, че близките пет години не се очаква рязка тенденция за дефиниране водеща роля на машините и изкуствения интелект пред тази на човешкия фактор.</w:t>
      </w: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i/>
          <w:sz w:val="24"/>
          <w:szCs w:val="24"/>
        </w:rPr>
      </w:pPr>
      <w:r w:rsidRPr="00F0713B">
        <w:rPr>
          <w:rFonts w:ascii="Times New Roman" w:eastAsia="Calibri" w:hAnsi="Times New Roman" w:cs="Times New Roman"/>
          <w:i/>
          <w:sz w:val="24"/>
          <w:szCs w:val="24"/>
        </w:rPr>
        <w:t>Системно моделиране и анализ</w:t>
      </w: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Изследването на сложните взаимовръзки в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кибер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-физическата реалност на дигиталната ера и произтичащите от тях заплахи и предизвикателства, предвижда необходимостта от по-задълбочено разглеждане на проблема. Получените резултати от предишната точка, най-общо очертават проблемното пространство за работа, но не </w:t>
      </w:r>
      <w:r w:rsidRPr="00F0713B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отчитат системното влияние между отделните области на интерес. С цел преодоляване на това несъвършенство, тук ще бъде представен системен модел, предоставящ възможност за по-задълбочен анализ и оценка. </w:t>
      </w: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t>За целите на настоящото системно моделиране и анализ бе използвано проблемното пространство, дефинирано в предишната точка (вж. Фиг.2), в съчетание с обобщените резултати от дискусии с участници от 24 държави (представители на НАТО, Балканите, Черноморско-кавказкия регион и Европа) по време на: “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Cyber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Forum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DESSERT B2S – S2B”, м. май, 2016 и “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Third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NATO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Summer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School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in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Bulgaria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: NATO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Challenges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&amp;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Concerns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on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the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Eve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of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2016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Summit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>”, м. юни, 2016.</w:t>
      </w: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F0713B">
        <w:rPr>
          <w:rFonts w:ascii="Times New Roman" w:eastAsia="Calibri" w:hAnsi="Times New Roman" w:cs="Times New Roman"/>
          <w:color w:val="000000"/>
          <w:sz w:val="24"/>
          <w:szCs w:val="24"/>
        </w:rPr>
        <w:t>Практическото използване на тези данни бе осъществено чрез средата I-SCIP-SA, позволяваща лесно и интуитивно моделиране и анализ в различни проблемни области. При това, идеята в процеса на моделиране е основана на машинното представяне на сложни системи чрез подхода „обект-връзка“. Реализация е извършена върху претеглен ориентиран граф, представящ комплексна дискретна система в статичен или динамичен режим [10].</w:t>
      </w: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Общата класификация на обектите в създадения системен модел са графично интерпретирани в „3D Диаграма на чувствителността“, използваща оценки за: „Влиянието“ (правата връзка – </w:t>
      </w:r>
      <w:r w:rsidRPr="00F0713B">
        <w:rPr>
          <w:rFonts w:ascii="Times New Roman" w:eastAsia="Calibri" w:hAnsi="Times New Roman" w:cs="Times New Roman"/>
          <w:i/>
          <w:sz w:val="24"/>
          <w:szCs w:val="24"/>
        </w:rPr>
        <w:t>x</w:t>
      </w:r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),  „Зависимостта“ (обратната връзка – </w:t>
      </w:r>
      <w:r w:rsidRPr="00F0713B">
        <w:rPr>
          <w:rFonts w:ascii="Times New Roman" w:eastAsia="Calibri" w:hAnsi="Times New Roman" w:cs="Times New Roman"/>
          <w:i/>
          <w:sz w:val="24"/>
          <w:szCs w:val="24"/>
        </w:rPr>
        <w:t>y</w:t>
      </w:r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) и „Чувствителността“ (резултантната на правата и обратната връзка – </w:t>
      </w:r>
      <w:r w:rsidRPr="00F0713B">
        <w:rPr>
          <w:rFonts w:ascii="Times New Roman" w:eastAsia="Calibri" w:hAnsi="Times New Roman" w:cs="Times New Roman"/>
          <w:i/>
          <w:sz w:val="24"/>
          <w:szCs w:val="24"/>
        </w:rPr>
        <w:t>z</w:t>
      </w:r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) на обектите в четири сектора: „активен“ – червен, „пасивен“ – син, „критичен“ – жълт, „буферен“ – зелен. Допълнително, съобразно стойностите на </w:t>
      </w:r>
      <w:r w:rsidRPr="00F0713B">
        <w:rPr>
          <w:rFonts w:ascii="Times New Roman" w:eastAsia="Calibri" w:hAnsi="Times New Roman" w:cs="Times New Roman"/>
          <w:i/>
          <w:sz w:val="24"/>
          <w:szCs w:val="24"/>
        </w:rPr>
        <w:t>z</w:t>
      </w:r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, обектите са класифицирани като  „активни“ (бели, </w:t>
      </w:r>
      <w:r w:rsidRPr="00F0713B">
        <w:rPr>
          <w:rFonts w:ascii="Times New Roman" w:eastAsia="Calibri" w:hAnsi="Times New Roman" w:cs="Times New Roman"/>
          <w:i/>
          <w:sz w:val="24"/>
          <w:szCs w:val="24"/>
        </w:rPr>
        <w:t>z</w:t>
      </w:r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&gt; = 0) и „пасивни“ (сиви, </w:t>
      </w:r>
      <w:r w:rsidRPr="00F0713B">
        <w:rPr>
          <w:rFonts w:ascii="Times New Roman" w:eastAsia="Calibri" w:hAnsi="Times New Roman" w:cs="Times New Roman"/>
          <w:i/>
          <w:sz w:val="24"/>
          <w:szCs w:val="24"/>
        </w:rPr>
        <w:t>z</w:t>
      </w:r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&lt; 0) в рамките на всеки от разглежданите сектори.</w:t>
      </w: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Резултатите от системното моделиране и класификация за прогнозно изследване на ефектите от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кибер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>-физическото взаимодействие в новото дигитално пространство са представени графично на Фиг. 3.</w:t>
      </w: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F0713B" w:rsidRPr="00F0713B" w:rsidRDefault="00F0713B" w:rsidP="00F0713B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noProof/>
          <w:sz w:val="24"/>
          <w:szCs w:val="24"/>
          <w:lang w:eastAsia="bg-BG"/>
        </w:rPr>
        <w:lastRenderedPageBreak/>
        <w:drawing>
          <wp:inline distT="0" distB="0" distL="0" distR="0" wp14:anchorId="665D522D" wp14:editId="25266316">
            <wp:extent cx="5541267" cy="2794406"/>
            <wp:effectExtent l="0" t="0" r="2540" b="6350"/>
            <wp:docPr id="63" name="Picture 12" descr="C:\Users\Zlatogor\Desktop\NBU\nbu_2016\figures\grey\Figure 3a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latogor\Desktop\NBU\nbu_2016\figures\grey\Figure 3a.tif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676" cy="2797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13B" w:rsidRPr="00F0713B" w:rsidRDefault="00F0713B" w:rsidP="00F0713B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noProof/>
          <w:sz w:val="24"/>
          <w:szCs w:val="24"/>
          <w:lang w:eastAsia="bg-BG"/>
        </w:rPr>
        <w:drawing>
          <wp:inline distT="0" distB="0" distL="0" distR="0" wp14:anchorId="4CB41B8F" wp14:editId="34920B40">
            <wp:extent cx="4457430" cy="3620595"/>
            <wp:effectExtent l="0" t="0" r="635" b="0"/>
            <wp:docPr id="64" name="Picture 14" descr="C:\Users\Zlatogor\Desktop\NBU\nbu_2016\figures\grey\Figure 3b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latogor\Desktop\NBU\nbu_2016\figures\grey\Figure 3b.t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26" cy="362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13B" w:rsidRPr="00F0713B" w:rsidRDefault="00F0713B" w:rsidP="00F0713B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0"/>
          <w:szCs w:val="20"/>
        </w:rPr>
      </w:pPr>
      <w:r w:rsidRPr="00F0713B">
        <w:rPr>
          <w:rFonts w:ascii="Times New Roman" w:eastAsia="Calibri" w:hAnsi="Times New Roman" w:cs="Times New Roman"/>
          <w:b/>
          <w:sz w:val="20"/>
          <w:szCs w:val="20"/>
        </w:rPr>
        <w:t xml:space="preserve">Фиг. 3. Системен модел (а) и резултантна 3D класификация (б) за прогнозно изследване на ефектите от </w:t>
      </w:r>
      <w:proofErr w:type="spellStart"/>
      <w:r w:rsidRPr="00F0713B">
        <w:rPr>
          <w:rFonts w:ascii="Times New Roman" w:eastAsia="Calibri" w:hAnsi="Times New Roman" w:cs="Times New Roman"/>
          <w:b/>
          <w:sz w:val="20"/>
          <w:szCs w:val="20"/>
        </w:rPr>
        <w:t>кибер</w:t>
      </w:r>
      <w:proofErr w:type="spellEnd"/>
      <w:r w:rsidRPr="00F0713B">
        <w:rPr>
          <w:rFonts w:ascii="Times New Roman" w:eastAsia="Calibri" w:hAnsi="Times New Roman" w:cs="Times New Roman"/>
          <w:b/>
          <w:sz w:val="20"/>
          <w:szCs w:val="20"/>
        </w:rPr>
        <w:t>-физическото взаимодействие в новото дигитално пространство чрез средата I-SCIP-SA, v. 2.0.</w:t>
      </w: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Представения на Фиг.3а модел е изграден на базата на два класа обекти от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кибер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-физическата реалност: </w:t>
      </w:r>
      <w:r w:rsidRPr="00F0713B">
        <w:rPr>
          <w:rFonts w:ascii="Times New Roman" w:eastAsia="Calibri" w:hAnsi="Times New Roman" w:cs="Times New Roman"/>
          <w:i/>
          <w:sz w:val="24"/>
          <w:szCs w:val="24"/>
        </w:rPr>
        <w:t>Физически</w:t>
      </w:r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, представящи социалния фактор в новата дигитална ера: „Управление“, „Публичен сектор“, „Предприятия“, „Индивиди“ и съответните дейности, свързани с тях: „Всекидневни активности“, „Забавления“, „Бизнес“, „Криминални активности“; </w:t>
      </w:r>
      <w:r w:rsidRPr="00F0713B">
        <w:rPr>
          <w:rFonts w:ascii="Times New Roman" w:eastAsia="Calibri" w:hAnsi="Times New Roman" w:cs="Times New Roman"/>
          <w:i/>
          <w:sz w:val="24"/>
          <w:szCs w:val="24"/>
        </w:rPr>
        <w:t>Кибер</w:t>
      </w:r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частта е ориентирана около очакваното технологично </w:t>
      </w:r>
      <w:r w:rsidRPr="00F0713B">
        <w:rPr>
          <w:rFonts w:ascii="Times New Roman" w:eastAsia="Calibri" w:hAnsi="Times New Roman" w:cs="Times New Roman"/>
          <w:sz w:val="24"/>
          <w:szCs w:val="24"/>
        </w:rPr>
        <w:lastRenderedPageBreak/>
        <w:t>развитие до 2020 година, свързано с: „Уеб услуги“, „Смесена реалност“, „Изкуствен интелект“, „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Хипермедия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>“, „Комуникационни услуги“, „Инструменти за сътрудничество“ и произтичащите от тяхното взаимодействие с физическата част на модела, хибридни по характер заплахи: „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Дехуманизация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“, „Информационно претоварване“, „Е-регулации“, „Мултикултурни сблъсъци“ и „Дигитални неясноти“. </w:t>
      </w: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t>По отношение на класифицирането на тези обекти, с цел определяне на тяхната значимост в модела, бе извършен последващ системен анализ за дефиниране и оценка на връзките между обектите.</w:t>
      </w: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t>Резултатът е представен графично в „3D Диаграмата на чувствителността“ (вж. Фиг.3б), като са определени следните класове обекти: активни: „Уеб услуги – 12“, „Дигитални неясноти – 16“, „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Хипермедия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– 2“, „Публичен сектор – 7“, „Управление – 8“; критични: „Бизнес – 4“, „Забавления – 11“, „Е-регулации – 3“, „Информационно претоварване – 15“, „Предприятия – 6“, „Мултикултурни сблъсъци – 13“, „Криминални активности – 14“; пасивни: „Всекидневни активности – 10“, „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Дехуманизация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– 19“, „Комуникационни услуги – 17“; буферни: „Смесена реалност – 1“, „Инструменти за сътрудничество – 18“, „Индивиди – 9“, „Изкуствен интелект – 5“.</w:t>
      </w: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Наличието на множество обекти от модела в критичната зона показва ясно, че заплахите и предизвикателствата в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кибер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>-физическото пространство имат сложна природа. Всичко това способства за развитието на средата, при отчитане водещата роля на бизнеса и публичния сектор. Критичните моменти в модела са определени за Е-регулациите, мултикултурните сблъсъци, информационното претоварване и криминалните активности.</w:t>
      </w: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Развитието на изкуствения интелект не е определено явно за заплаха. То е отразено индиректно в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дехуманизацията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>, вследствие на интелигентната електронизация на всекидневните активности и нарастващата популярност от развиващите се мобилни технологии и комуникационни услуги. При това, активна остава ролята на нарастващите дигитални неясноти в новото общество. Тези резултати се потвърждават и от други изследвания с по-широк времеви хоризонт [11], [12].</w:t>
      </w: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t>Поради статичния характер на предложения модел, в следващата точка е извършено и изследване на възможностите за неговата, динамична вероятностна валидация.</w:t>
      </w:r>
    </w:p>
    <w:p w:rsidR="00F0713B" w:rsidRPr="00F0713B" w:rsidRDefault="00F0713B" w:rsidP="00F0713B">
      <w:pPr>
        <w:spacing w:after="0" w:line="360" w:lineRule="auto"/>
        <w:ind w:firstLine="720"/>
        <w:rPr>
          <w:rFonts w:ascii="Times New Roman" w:eastAsia="Calibri" w:hAnsi="Times New Roman" w:cs="Times New Roman"/>
          <w:i/>
          <w:sz w:val="24"/>
          <w:szCs w:val="24"/>
        </w:rPr>
      </w:pPr>
      <w:r w:rsidRPr="00F0713B">
        <w:rPr>
          <w:rFonts w:ascii="Times New Roman" w:eastAsia="Calibri" w:hAnsi="Times New Roman" w:cs="Times New Roman"/>
          <w:i/>
          <w:sz w:val="24"/>
          <w:szCs w:val="24"/>
        </w:rPr>
        <w:t>Вероятностна валидация</w:t>
      </w: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Представените резултати от системния анализ дават добра основа за системно разглеждане на предизвикателствата и заплахите в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кибер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-физическата реалност. </w:t>
      </w:r>
      <w:r w:rsidRPr="00F0713B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Получената класификация обаче е статична. Интерес представлява нейното развитие, предвид прогнозния ѝ характер. Тук ще отбележим и други сходни достижения, като: циклите на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Кондратиев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и Теория на перспективите на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Канеман-Тверски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за описване на социалната и икономическа динамика [13]. Използването на трендове за прогнозиране на бъдещето е доста амбициозна задача, решението на която може да бъде осъществено, най-общо, по два начина: (i) чрез разработване на аналитичен модел от система уравнения или (ii) посредством вероятностни разпределения.</w:t>
      </w: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t>Практическото използване на първия метод е предложено в [14], като е постигната много добра точност, но при сравнително гладки трендове, което не винаги е възможно. В настоящата работа ще бъде приложен вторият – вероятностният. Основна причина за това е липсата на трендове за изследване. Друг проблем е сложността при създаването на модели за тяхното генериране, по отношение на стабилност и чувствителност, при наличие на голям брой параметри, необходими за постигане на близък до реалността модел.</w:t>
      </w: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Вероятностният подход, реализиран на базата на бета разпределение, системно моделиране и средата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Matlab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R2011b е предложен в [7], като ще отбележим, че дава добра основа за изследване и позволява лесното симулиране на различни типове атаки, по отношение на връзките между обектите в системата. Това е сериозно предимство, предвид възможността за комбиниране на анкетни, експертни,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симулационни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и сензорни данни, с прякото участие на човешкия фактор [5]. Същевременно така се преодоляват проблемите с различните скорости на изменение на трендовете и техните размерности.</w:t>
      </w: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t>Графични резултати от прилагането на методологията за вероятностна валидация на тенденциите в развитието на избрани заплахи от системния модел (вж. Фиг. 3) са показани на Фиг.4.</w:t>
      </w:r>
    </w:p>
    <w:p w:rsidR="00F0713B" w:rsidRPr="00F0713B" w:rsidRDefault="00F0713B" w:rsidP="00F0713B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F0713B">
        <w:rPr>
          <w:rFonts w:ascii="Times New Roman" w:eastAsia="Calibri" w:hAnsi="Times New Roman" w:cs="Times New Roman"/>
          <w:b/>
          <w:noProof/>
          <w:sz w:val="24"/>
          <w:szCs w:val="24"/>
          <w:lang w:eastAsia="bg-BG"/>
        </w:rPr>
        <w:drawing>
          <wp:inline distT="0" distB="0" distL="0" distR="0" wp14:anchorId="61C668F8" wp14:editId="13B5E051">
            <wp:extent cx="4884420" cy="2268690"/>
            <wp:effectExtent l="0" t="0" r="0" b="0"/>
            <wp:docPr id="65" name="Picture 65" descr="C:\Users\Zlatogor\Desktop\NBU\nbu_2016\figures\grey\Figure 4-I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latogor\Desktop\NBU\nbu_2016\figures\grey\Figure 4-I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555" cy="2281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13B" w:rsidRPr="00F0713B" w:rsidRDefault="00F0713B" w:rsidP="00F0713B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F0713B">
        <w:rPr>
          <w:rFonts w:ascii="Times New Roman" w:eastAsia="Calibri" w:hAnsi="Times New Roman" w:cs="Times New Roman"/>
          <w:b/>
          <w:noProof/>
          <w:sz w:val="24"/>
          <w:szCs w:val="24"/>
          <w:lang w:eastAsia="bg-BG"/>
        </w:rPr>
        <w:lastRenderedPageBreak/>
        <w:drawing>
          <wp:inline distT="0" distB="0" distL="0" distR="0" wp14:anchorId="436B3E52" wp14:editId="0442A0CA">
            <wp:extent cx="4846320" cy="2268690"/>
            <wp:effectExtent l="0" t="0" r="0" b="0"/>
            <wp:docPr id="66" name="Picture 16" descr="C:\Users\Zlatogor\Desktop\NBU\nbu_2016\figures\grey\Figure 4-II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latogor\Desktop\NBU\nbu_2016\figures\grey\Figure 4-II.t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224" cy="2280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13B" w:rsidRPr="00F0713B" w:rsidRDefault="00F0713B" w:rsidP="00F0713B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F0713B">
        <w:rPr>
          <w:rFonts w:ascii="Times New Roman" w:eastAsia="Calibri" w:hAnsi="Times New Roman" w:cs="Times New Roman"/>
          <w:b/>
          <w:noProof/>
          <w:sz w:val="24"/>
          <w:szCs w:val="24"/>
          <w:lang w:eastAsia="bg-BG"/>
        </w:rPr>
        <w:drawing>
          <wp:inline distT="0" distB="0" distL="0" distR="0" wp14:anchorId="0B1F266D" wp14:editId="4511CA30">
            <wp:extent cx="4893945" cy="2268690"/>
            <wp:effectExtent l="0" t="0" r="1905" b="0"/>
            <wp:docPr id="67" name="Picture 17" descr="C:\Users\Zlatogor\Desktop\NBU\nbu_2016\figures\grey\Figure 4-III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latogor\Desktop\NBU\nbu_2016\figures\grey\Figure 4-III.t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215" cy="228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13B" w:rsidRPr="00F0713B" w:rsidRDefault="00F0713B" w:rsidP="00F0713B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0"/>
          <w:szCs w:val="20"/>
        </w:rPr>
      </w:pPr>
      <w:r w:rsidRPr="00F0713B">
        <w:rPr>
          <w:rFonts w:ascii="Times New Roman" w:eastAsia="Calibri" w:hAnsi="Times New Roman" w:cs="Times New Roman"/>
          <w:b/>
          <w:sz w:val="20"/>
          <w:szCs w:val="20"/>
        </w:rPr>
        <w:t>Фиг.4. Вероятностна валидация на тенденциите в развитието на избрани заплахи от Фиг. 3 („Дигитални неясноти“ – I, „Информационно претоварване“ – II, „</w:t>
      </w:r>
      <w:proofErr w:type="spellStart"/>
      <w:r w:rsidRPr="00F0713B">
        <w:rPr>
          <w:rFonts w:ascii="Times New Roman" w:eastAsia="Calibri" w:hAnsi="Times New Roman" w:cs="Times New Roman"/>
          <w:b/>
          <w:sz w:val="20"/>
          <w:szCs w:val="20"/>
        </w:rPr>
        <w:t>Дехуманизация</w:t>
      </w:r>
      <w:proofErr w:type="spellEnd"/>
      <w:r w:rsidRPr="00F0713B">
        <w:rPr>
          <w:rFonts w:ascii="Times New Roman" w:eastAsia="Calibri" w:hAnsi="Times New Roman" w:cs="Times New Roman"/>
          <w:b/>
          <w:sz w:val="20"/>
          <w:szCs w:val="20"/>
        </w:rPr>
        <w:t xml:space="preserve">“ – III) в средата </w:t>
      </w:r>
      <w:proofErr w:type="spellStart"/>
      <w:r w:rsidRPr="00F0713B">
        <w:rPr>
          <w:rFonts w:ascii="Times New Roman" w:eastAsia="Calibri" w:hAnsi="Times New Roman" w:cs="Times New Roman"/>
          <w:b/>
          <w:sz w:val="20"/>
          <w:szCs w:val="20"/>
        </w:rPr>
        <w:t>Matlab</w:t>
      </w:r>
      <w:proofErr w:type="spellEnd"/>
      <w:r w:rsidRPr="00F0713B">
        <w:rPr>
          <w:rFonts w:ascii="Times New Roman" w:eastAsia="Calibri" w:hAnsi="Times New Roman" w:cs="Times New Roman"/>
          <w:b/>
          <w:sz w:val="20"/>
          <w:szCs w:val="20"/>
        </w:rPr>
        <w:t xml:space="preserve"> R2011b</w:t>
      </w: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Предствените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на Фиг. 4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резутати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са отнесени към трите класа заплахи, идентифицирани в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ситемния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модел от Фиг. 3: активни: „Дигитални неясноти“ – 16, критични: „Информационно претоварване“ – 15 и пасивни: „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Дехуманизация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>“ – 19.</w:t>
      </w: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t>Изследването на тяхната еволюционна динамика чрез предложената валидация, показва някои интересни резултати по отношение промяната в априорната спрямо апостериорната вероятност.  За „Дигитални неясноти“ (панел I, Фиг. 4б) значима роля се очаква да имат: „Криминални активности“ – 2, „Изкуствен интелект“ – 4, „Смесена реалност“ – 3, „Инструменти за сътрудничество“ – 5. „Информационно претоварване“ (панел II, Фиг. 4б) ще бъде повлияно най-силно от „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Хипермедия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>“ – 4 и „Комуникационни услуги“ – 5. „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Дехуманизация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>“ (панел III, Фиг. 4б) ще зависи най-вече от: „Изкуствен интелект“ – 3, „Комуникационни услуги“ – 6, „Забавления“ – 2, „Уеб услуги“ – 4 и „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Хипермедия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“ – 5. </w:t>
      </w: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lastRenderedPageBreak/>
        <w:t>Получените резултати са за атаки в диапазона 30-45% от общия брой използвани, симулирани заявки към всяка от изследваните връзки и M &gt; 0.5.</w:t>
      </w: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Резултатите от идентифицираните потенциални заплахи в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кибер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>-физическата реалност, получени като комплексна комбинация на системния анализ и вероятностната валидация имат основно прогнозен характер за изследвания контекст. Предвид техния бъдещ хоризонт за развитие (до 2020 година), в следващия параграф ще разгледаме и възможност за верифицирането им с цел постигане на по-добро разбиране.</w:t>
      </w: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i/>
          <w:sz w:val="24"/>
          <w:szCs w:val="24"/>
        </w:rPr>
        <w:t>Интерактивна верификация</w:t>
      </w:r>
    </w:p>
    <w:p w:rsidR="00F0713B" w:rsidRPr="00F0713B" w:rsidRDefault="00F0713B" w:rsidP="00F0713B">
      <w:pPr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t>Реализацията на този последен етап от предложената методологична рамка (вж. Фиг. 1) се осъществява, на базата на компютърно подпомагани учения за изследване на нови заплахи и предизвикателства в киберпространството [15], [16].</w:t>
      </w:r>
    </w:p>
    <w:p w:rsidR="00F0713B" w:rsidRPr="00F0713B" w:rsidRDefault="00F0713B" w:rsidP="00F0713B">
      <w:pPr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Основната идея, използвана при този подход, реализиращ интерактивна симулация, е да се създадат въображаеми ситуации, при които, съобразно сценариен скрипт от планирани и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непланирани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събития, да се изследват отговорите и избрани психофизиологични корелати на играещите, с цел оценяване адекватността на техните знания, емоции и поведение в изкуствено създадената среда. </w:t>
      </w:r>
    </w:p>
    <w:p w:rsidR="00F0713B" w:rsidRPr="00F0713B" w:rsidRDefault="00F0713B" w:rsidP="00F0713B">
      <w:pPr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Предвид комплексния характер на изследваните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кибер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>-физически заплахи ще бъдат използвани резултатите от проведено международно учение CYREX 2016, организирано от: Съвместния център за обучение, симулации и анализ в Пловдивския университет „Паисий Хилендарски“, в рамките на обучителния курс „Основи на сигурността в киберпространството“. Подкрепа, с наблюдатели и участници на събитието, бе предоставена от: IFIP, Асоциацията на комуникационни и информационни специалисти и представители на бизнеса от Р България и Р Македония [17].</w:t>
      </w:r>
    </w:p>
    <w:p w:rsidR="00F0713B" w:rsidRPr="00F0713B" w:rsidRDefault="00F0713B" w:rsidP="00F0713B">
      <w:pPr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Обучаемите бяха организирани в затворена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Facebook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група (от 30 студенти, на възраст 20 +/– 2 години, в т. ч. и 8 наблюдатели), свързана с полигон на смесена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кибер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-физическа реалност, позволяваща на участниците да използват различни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смарт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устройства (таблет,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фаблет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, смартфон,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айпод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ултрабук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и лаптоп), десктоп компютри, включени във вътрешна LAN мрежа, посредством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Wi-Fi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рутер (за лесно организиране на вътрешна мрежа и записване на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лог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за събитията по време на учението), имейл сървър и SMS нотификация. Учението бе проведено чрез пет отбора (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мотиватори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: „Дигитален живот“: неправителствена организация, наблюдаваща и търсеща регулация в дигиталното общество;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хактивисти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: „Омега“, неформална организация от хакери; международна разследваща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киберпрестъпления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агенция: „Хидра“; стартираща </w:t>
      </w:r>
      <w:r w:rsidRPr="00F0713B">
        <w:rPr>
          <w:rFonts w:ascii="Times New Roman" w:eastAsia="Calibri" w:hAnsi="Times New Roman" w:cs="Times New Roman"/>
          <w:sz w:val="24"/>
          <w:szCs w:val="24"/>
        </w:rPr>
        <w:lastRenderedPageBreak/>
        <w:t>шпионска компания „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Хоуп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>“ и мултинационална компания, разследвана за финансиране на криминални дейности: „Корпорация Зет“.</w:t>
      </w:r>
    </w:p>
    <w:p w:rsidR="00F0713B" w:rsidRPr="00F0713B" w:rsidRDefault="00F0713B" w:rsidP="00F0713B">
      <w:pPr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В CYREX 2016 бяха изследвани сценарийни комбинации за реализиране на индустриален шпионаж чрез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инсайдери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в смесена реалност, с използване на: QR кодове, криптиране, мултимедийни съобщения, базирани на аватари,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клауд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и чат услуги, както и въздействие чрез: зловреден софтуер, разпределен отказ от услуги –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DDoS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по IP и социален инженеринг за мотивиран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хактивизъм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>. Идейната архитектура и моменти от учението са показани на Фиг. 5.</w:t>
      </w:r>
    </w:p>
    <w:p w:rsidR="00F0713B" w:rsidRPr="00F0713B" w:rsidRDefault="00F0713B" w:rsidP="00F0713B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noProof/>
          <w:sz w:val="24"/>
          <w:szCs w:val="24"/>
          <w:lang w:eastAsia="bg-BG"/>
        </w:rPr>
        <w:drawing>
          <wp:inline distT="0" distB="0" distL="0" distR="0" wp14:anchorId="56865BD1" wp14:editId="7B7D4C98">
            <wp:extent cx="5308958" cy="2133600"/>
            <wp:effectExtent l="0" t="0" r="6350" b="0"/>
            <wp:docPr id="68" name="Picture 18" descr="C:\Users\Zlatogor\Desktop\NBU\nbu_2016\figures\grey\Figure 5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latogor\Desktop\NBU\nbu_2016\figures\grey\Figure 5.tif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958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13B" w:rsidRPr="00F0713B" w:rsidRDefault="00F0713B" w:rsidP="00F0713B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/>
          <w:sz w:val="20"/>
          <w:szCs w:val="20"/>
        </w:rPr>
      </w:pPr>
      <w:r w:rsidRPr="00F0713B">
        <w:rPr>
          <w:rFonts w:ascii="Times New Roman" w:eastAsia="Calibri" w:hAnsi="Times New Roman" w:cs="Times New Roman"/>
          <w:b/>
          <w:sz w:val="20"/>
          <w:szCs w:val="20"/>
        </w:rPr>
        <w:t>Фиг.5. Идейна архитектура (а) и моменти от  учението CYREX 2016 (б)</w:t>
      </w:r>
    </w:p>
    <w:p w:rsidR="00F0713B" w:rsidRPr="00F0713B" w:rsidRDefault="00F0713B" w:rsidP="00F0713B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F0713B" w:rsidRPr="00F0713B" w:rsidRDefault="00F0713B" w:rsidP="00F0713B">
      <w:pPr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Като резултат от CYREX 2016, бе установена практически значимата роля на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хипермедията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в съвременната смесена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кибер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-физическа реалност, при използване на множество интелигентни устройства за комуникация чрез различни комуникационни услуги. Същевременно, нуждата от Е-регулация на новата дигитална среда за контролиране на различни криминални активности, остава неизменна и, за момента, е в процес на развитие. Наличието на множество дигитални неясноти позволяват сравнително лесното създаване и внедряването на организационни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инсайдери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>, посредством инструментите на социалния инженеринг, с цел шпионаж. При това, новите технологии отварят редица незащитени области за атаки, свързани с удобни и забавни технологични решения и услуги със свободно разпространение. Последното е пряко свързано и с търсенето на лесни и автоматизирани решения за работа, вследствие на информационното претоварване, което поставя еволюцията на изкуствения интелект в приоритет за бъдещите уеб услуги.</w:t>
      </w:r>
    </w:p>
    <w:p w:rsidR="00F0713B" w:rsidRDefault="00F0713B" w:rsidP="00F0713B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F0713B" w:rsidRPr="00F0713B" w:rsidRDefault="00F0713B" w:rsidP="00F0713B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F0713B" w:rsidRPr="00F0713B" w:rsidRDefault="00F0713B" w:rsidP="00F0713B">
      <w:pPr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F0713B">
        <w:rPr>
          <w:rFonts w:ascii="Times New Roman" w:eastAsia="Calibri" w:hAnsi="Times New Roman" w:cs="Times New Roman"/>
          <w:b/>
          <w:sz w:val="24"/>
          <w:szCs w:val="24"/>
        </w:rPr>
        <w:lastRenderedPageBreak/>
        <w:t>Заключение</w:t>
      </w: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Предложената изследователска рамка за изследване на новите заплахи и предизвикателства в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кибер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>-физическата смесена реалност на дигиталната ера предлага надеждна изследователска основа за работа. Предвид прогнозния си характер, тя е основана на анкетни, експертни и моделно генерирани данни, което й придава завършеност по отношение на възможностите за валидация и верификация с активното участие на човешкия фактор.</w:t>
      </w: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t>Допълнително е възможно нейното последващо усъвършенстване по отношение на:</w:t>
      </w:r>
    </w:p>
    <w:p w:rsidR="00F0713B" w:rsidRPr="00F0713B" w:rsidRDefault="00F0713B" w:rsidP="00F0713B">
      <w:pPr>
        <w:numPr>
          <w:ilvl w:val="0"/>
          <w:numId w:val="1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обобщен анализ и предсказване на трендовете за очаквани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киберзаплахи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и предизвикателства в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агрегиран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 вид с цел динамична оценка на прогнозните резултати;</w:t>
      </w:r>
    </w:p>
    <w:p w:rsidR="00F0713B" w:rsidRPr="00F0713B" w:rsidRDefault="00F0713B" w:rsidP="00F0713B">
      <w:pPr>
        <w:numPr>
          <w:ilvl w:val="0"/>
          <w:numId w:val="1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t>добавяне на високо интегрирани средства за интелигентен мониторинг и стимулация на емоциите и поведението на потребителите, позволяващ своевременно модифициране на смесената реалност и по-пълно задоволяване на техните потребности.</w:t>
      </w:r>
    </w:p>
    <w:p w:rsidR="00F0713B" w:rsidRPr="00F0713B" w:rsidRDefault="00F0713B" w:rsidP="00F0713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F0713B">
        <w:rPr>
          <w:rFonts w:ascii="Times New Roman" w:eastAsia="Calibri" w:hAnsi="Times New Roman" w:cs="Times New Roman"/>
          <w:b/>
          <w:sz w:val="24"/>
          <w:szCs w:val="24"/>
        </w:rPr>
        <w:t>Благодарности</w:t>
      </w:r>
    </w:p>
    <w:p w:rsidR="00F0713B" w:rsidRPr="00F0713B" w:rsidRDefault="00F0713B" w:rsidP="00F0713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713B">
        <w:rPr>
          <w:rFonts w:ascii="Times New Roman" w:eastAsia="Calibri" w:hAnsi="Times New Roman" w:cs="Times New Roman"/>
          <w:sz w:val="24"/>
          <w:szCs w:val="24"/>
        </w:rPr>
        <w:t xml:space="preserve">Авторите са признателни за финансовата и експертна подкрепа, оказана им от фирма СТЕМО ЕООД при създаването на модела за </w:t>
      </w:r>
      <w:proofErr w:type="spellStart"/>
      <w:r w:rsidRPr="00F0713B">
        <w:rPr>
          <w:rFonts w:ascii="Times New Roman" w:eastAsia="Calibri" w:hAnsi="Times New Roman" w:cs="Times New Roman"/>
          <w:sz w:val="24"/>
          <w:szCs w:val="24"/>
        </w:rPr>
        <w:t>киберразузнаване</w:t>
      </w:r>
      <w:proofErr w:type="spellEnd"/>
      <w:r w:rsidRPr="00F0713B">
        <w:rPr>
          <w:rFonts w:ascii="Times New Roman" w:eastAsia="Calibri" w:hAnsi="Times New Roman" w:cs="Times New Roman"/>
          <w:sz w:val="24"/>
          <w:szCs w:val="24"/>
        </w:rPr>
        <w:t>, основан на големи масиви от данни, в рамките на ESGI 113, както и за провеждането на компютърно подпомаганото учение CYREX 2016.</w:t>
      </w:r>
    </w:p>
    <w:p w:rsidR="00F0713B" w:rsidRPr="00F0713B" w:rsidRDefault="00F0713B" w:rsidP="00F0713B">
      <w:pPr>
        <w:spacing w:after="0"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F0713B" w:rsidRPr="00F0713B" w:rsidRDefault="00F0713B" w:rsidP="00F0713B">
      <w:pPr>
        <w:spacing w:after="0"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F0713B" w:rsidRPr="00F0713B" w:rsidRDefault="00F0713B" w:rsidP="00F0713B">
      <w:pPr>
        <w:spacing w:after="0" w:line="360" w:lineRule="auto"/>
        <w:jc w:val="both"/>
        <w:rPr>
          <w:rFonts w:ascii="Times New Roman" w:eastAsia="Calibri" w:hAnsi="Times New Roman" w:cs="Times New Roman"/>
          <w:b/>
          <w:i/>
          <w:sz w:val="24"/>
          <w:szCs w:val="24"/>
        </w:rPr>
      </w:pPr>
      <w:r w:rsidRPr="00F0713B">
        <w:rPr>
          <w:rFonts w:ascii="Times New Roman" w:eastAsia="Calibri" w:hAnsi="Times New Roman" w:cs="Times New Roman"/>
          <w:b/>
          <w:i/>
          <w:sz w:val="24"/>
          <w:szCs w:val="24"/>
        </w:rPr>
        <w:t>Използвана литература</w:t>
      </w:r>
      <w:r w:rsidRPr="00F0713B">
        <w:rPr>
          <w:rFonts w:ascii="Times New Roman" w:eastAsia="Calibri" w:hAnsi="Times New Roman" w:cs="Times New Roman"/>
          <w:b/>
          <w:i/>
          <w:sz w:val="24"/>
          <w:szCs w:val="24"/>
          <w:lang w:val="en-US"/>
        </w:rPr>
        <w:t>:</w:t>
      </w:r>
    </w:p>
    <w:p w:rsidR="00F0713B" w:rsidRPr="00F0713B" w:rsidRDefault="00F0713B" w:rsidP="00F0713B">
      <w:pPr>
        <w:spacing w:after="0" w:line="360" w:lineRule="auto"/>
        <w:ind w:left="284" w:hanging="284"/>
        <w:rPr>
          <w:rFonts w:ascii="Times New Roman" w:eastAsia="Calibri" w:hAnsi="Times New Roman" w:cs="Times New Roman"/>
          <w:i/>
          <w:sz w:val="24"/>
          <w:szCs w:val="24"/>
          <w:lang w:val="en-US"/>
        </w:rPr>
      </w:pPr>
      <w:r w:rsidRPr="00F0713B">
        <w:rPr>
          <w:rFonts w:ascii="Times New Roman" w:eastAsia="Calibri" w:hAnsi="Times New Roman" w:cs="Times New Roman"/>
          <w:i/>
          <w:sz w:val="24"/>
          <w:szCs w:val="24"/>
        </w:rPr>
        <w:t xml:space="preserve">1. </w:t>
      </w:r>
      <w:proofErr w:type="spellStart"/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>Floridi</w:t>
      </w:r>
      <w:proofErr w:type="spellEnd"/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 xml:space="preserve">, L. The Fourth Revolution (How the </w:t>
      </w:r>
      <w:proofErr w:type="spellStart"/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>Infosphere</w:t>
      </w:r>
      <w:proofErr w:type="spellEnd"/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 xml:space="preserve"> is Reshaping Human Reality), Oxford University Press, 2016.</w:t>
      </w:r>
    </w:p>
    <w:p w:rsidR="00F0713B" w:rsidRPr="00F0713B" w:rsidRDefault="00F0713B" w:rsidP="00F0713B">
      <w:pPr>
        <w:spacing w:after="0" w:line="360" w:lineRule="auto"/>
        <w:ind w:left="284" w:hanging="284"/>
        <w:rPr>
          <w:rFonts w:ascii="Times New Roman" w:eastAsia="Calibri" w:hAnsi="Times New Roman" w:cs="Times New Roman"/>
          <w:i/>
          <w:sz w:val="24"/>
          <w:szCs w:val="24"/>
          <w:lang w:val="en-US"/>
        </w:rPr>
      </w:pPr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>2. Kim, G. Human-Computer Interaction, CRC Press, 2015.</w:t>
      </w:r>
    </w:p>
    <w:p w:rsidR="00F0713B" w:rsidRPr="00F0713B" w:rsidRDefault="00F0713B" w:rsidP="00F0713B">
      <w:pPr>
        <w:spacing w:after="0" w:line="360" w:lineRule="auto"/>
        <w:ind w:left="284" w:hanging="284"/>
        <w:rPr>
          <w:rFonts w:ascii="Times New Roman" w:eastAsia="Calibri" w:hAnsi="Times New Roman" w:cs="Times New Roman"/>
          <w:i/>
          <w:sz w:val="24"/>
          <w:szCs w:val="24"/>
          <w:lang w:val="en-US"/>
        </w:rPr>
      </w:pPr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 xml:space="preserve">3. </w:t>
      </w:r>
      <w:proofErr w:type="spellStart"/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>Höller</w:t>
      </w:r>
      <w:proofErr w:type="spellEnd"/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 xml:space="preserve">, J., </w:t>
      </w:r>
      <w:proofErr w:type="spellStart"/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>Tsiatsis</w:t>
      </w:r>
      <w:proofErr w:type="spellEnd"/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 xml:space="preserve">, V., Mulligan, C., </w:t>
      </w:r>
      <w:proofErr w:type="spellStart"/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>Karnouskos</w:t>
      </w:r>
      <w:proofErr w:type="spellEnd"/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 xml:space="preserve">, S., </w:t>
      </w:r>
      <w:proofErr w:type="spellStart"/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>Avesand</w:t>
      </w:r>
      <w:proofErr w:type="spellEnd"/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>, S., Boyle, D. From Machine-to-Machine to the Internet of Things: Introduction to a New Age of Intelligence, Elsevier, 2014.</w:t>
      </w:r>
    </w:p>
    <w:p w:rsidR="00F0713B" w:rsidRPr="00F0713B" w:rsidRDefault="00F0713B" w:rsidP="00F0713B">
      <w:pPr>
        <w:spacing w:after="0" w:line="360" w:lineRule="auto"/>
        <w:ind w:left="284" w:hanging="284"/>
        <w:rPr>
          <w:rFonts w:ascii="Times New Roman" w:eastAsia="Calibri" w:hAnsi="Times New Roman" w:cs="Times New Roman"/>
          <w:i/>
          <w:sz w:val="24"/>
          <w:szCs w:val="24"/>
          <w:lang w:val="en-US"/>
        </w:rPr>
      </w:pPr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 xml:space="preserve">4. </w:t>
      </w:r>
      <w:proofErr w:type="spellStart"/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>Bostrom</w:t>
      </w:r>
      <w:proofErr w:type="spellEnd"/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>, N. Superintelligence: Paths, Dangers, Strategies, Oxford University Press, 2014.</w:t>
      </w:r>
    </w:p>
    <w:p w:rsidR="00F0713B" w:rsidRPr="00F0713B" w:rsidRDefault="00F0713B" w:rsidP="00F0713B">
      <w:pPr>
        <w:spacing w:after="0" w:line="360" w:lineRule="auto"/>
        <w:ind w:left="284" w:hanging="284"/>
        <w:rPr>
          <w:rFonts w:ascii="Times New Roman" w:eastAsia="Calibri" w:hAnsi="Times New Roman" w:cs="Times New Roman"/>
          <w:i/>
          <w:sz w:val="24"/>
          <w:szCs w:val="24"/>
          <w:lang w:val="en-US"/>
        </w:rPr>
      </w:pPr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 xml:space="preserve">5. </w:t>
      </w:r>
      <w:proofErr w:type="spellStart"/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>Minchev</w:t>
      </w:r>
      <w:proofErr w:type="spellEnd"/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>, Z. Human Factor Role for Cyber Threats Resilience, In Handbook of Research on Civil Society and National Security in the Era of Cyber Warfare, Chapter 17, IGI Global, pp. 377 - 402, 2015.</w:t>
      </w:r>
    </w:p>
    <w:p w:rsidR="00F0713B" w:rsidRPr="00F0713B" w:rsidRDefault="00F0713B" w:rsidP="00F0713B">
      <w:pPr>
        <w:spacing w:after="0" w:line="360" w:lineRule="auto"/>
        <w:ind w:left="284" w:hanging="284"/>
        <w:rPr>
          <w:rFonts w:ascii="Times New Roman" w:eastAsia="Calibri" w:hAnsi="Times New Roman" w:cs="Times New Roman"/>
          <w:i/>
          <w:sz w:val="24"/>
          <w:szCs w:val="24"/>
          <w:lang w:val="en-US"/>
        </w:rPr>
      </w:pPr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lastRenderedPageBreak/>
        <w:t xml:space="preserve">6. </w:t>
      </w:r>
      <w:proofErr w:type="spellStart"/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>Minchev</w:t>
      </w:r>
      <w:proofErr w:type="spellEnd"/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 xml:space="preserve">, Z. Cyber Threats Identification in the Evolving Digital Reality, In Proceedings of Ninth National Conference “Education and Research in the Information Society”, Plovdiv, Bulgaria, May 26-27, pp. 011-022, 2016. </w:t>
      </w:r>
    </w:p>
    <w:p w:rsidR="00F0713B" w:rsidRPr="00F0713B" w:rsidRDefault="00F0713B" w:rsidP="00F0713B">
      <w:pPr>
        <w:spacing w:after="0" w:line="360" w:lineRule="auto"/>
        <w:ind w:left="284" w:hanging="284"/>
        <w:rPr>
          <w:rFonts w:ascii="Times New Roman" w:eastAsia="Calibri" w:hAnsi="Times New Roman" w:cs="Times New Roman"/>
          <w:i/>
          <w:sz w:val="24"/>
          <w:szCs w:val="24"/>
          <w:lang w:val="en-US"/>
        </w:rPr>
      </w:pPr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 xml:space="preserve">7. </w:t>
      </w:r>
      <w:proofErr w:type="spellStart"/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>Minchev</w:t>
      </w:r>
      <w:proofErr w:type="spellEnd"/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 xml:space="preserve">, Z., </w:t>
      </w:r>
      <w:proofErr w:type="spellStart"/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>Dukov</w:t>
      </w:r>
      <w:proofErr w:type="spellEnd"/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>, G., et al. Cyber Intelligence Decision Support in the Era of Big Data, In ESGI 113 Problems &amp; Final Reports Book, Chapter 6, FASTUMPRINT, pp. 85-92, 2015.</w:t>
      </w:r>
    </w:p>
    <w:p w:rsidR="00F0713B" w:rsidRPr="00F0713B" w:rsidRDefault="00F0713B" w:rsidP="00F0713B">
      <w:pPr>
        <w:spacing w:after="0" w:line="360" w:lineRule="auto"/>
        <w:ind w:left="284" w:hanging="284"/>
        <w:rPr>
          <w:rFonts w:ascii="Times New Roman" w:eastAsia="Calibri" w:hAnsi="Times New Roman" w:cs="Times New Roman"/>
          <w:i/>
          <w:sz w:val="24"/>
          <w:szCs w:val="24"/>
          <w:lang w:val="ru-RU"/>
        </w:rPr>
      </w:pPr>
      <w:r w:rsidRPr="00F0713B">
        <w:rPr>
          <w:rFonts w:ascii="Times New Roman" w:eastAsia="Calibri" w:hAnsi="Times New Roman" w:cs="Times New Roman"/>
          <w:i/>
          <w:sz w:val="24"/>
          <w:szCs w:val="24"/>
          <w:lang w:val="ru-RU"/>
        </w:rPr>
        <w:t xml:space="preserve">8. </w:t>
      </w:r>
      <w:proofErr w:type="spellStart"/>
      <w:r w:rsidRPr="00F0713B">
        <w:rPr>
          <w:rFonts w:ascii="Times New Roman" w:eastAsia="Calibri" w:hAnsi="Times New Roman" w:cs="Times New Roman"/>
          <w:i/>
          <w:sz w:val="24"/>
          <w:szCs w:val="24"/>
          <w:lang w:val="ru-RU"/>
        </w:rPr>
        <w:t>Минчев</w:t>
      </w:r>
      <w:proofErr w:type="spellEnd"/>
      <w:r w:rsidRPr="00F0713B">
        <w:rPr>
          <w:rFonts w:ascii="Times New Roman" w:eastAsia="Calibri" w:hAnsi="Times New Roman" w:cs="Times New Roman"/>
          <w:i/>
          <w:sz w:val="24"/>
          <w:szCs w:val="24"/>
          <w:lang w:val="ru-RU"/>
        </w:rPr>
        <w:t xml:space="preserve">, З. </w:t>
      </w:r>
      <w:proofErr w:type="spellStart"/>
      <w:r w:rsidRPr="00F0713B">
        <w:rPr>
          <w:rFonts w:ascii="Times New Roman" w:eastAsia="Calibri" w:hAnsi="Times New Roman" w:cs="Times New Roman"/>
          <w:i/>
          <w:sz w:val="24"/>
          <w:szCs w:val="24"/>
          <w:lang w:val="ru-RU"/>
        </w:rPr>
        <w:t>Прогнозни</w:t>
      </w:r>
      <w:proofErr w:type="spellEnd"/>
      <w:r w:rsidRPr="00F0713B">
        <w:rPr>
          <w:rFonts w:ascii="Times New Roman" w:eastAsia="Calibri" w:hAnsi="Times New Roman" w:cs="Times New Roman"/>
          <w:i/>
          <w:sz w:val="24"/>
          <w:szCs w:val="24"/>
          <w:lang w:val="ru-RU"/>
        </w:rPr>
        <w:t xml:space="preserve"> </w:t>
      </w:r>
      <w:proofErr w:type="spellStart"/>
      <w:r w:rsidRPr="00F0713B">
        <w:rPr>
          <w:rFonts w:ascii="Times New Roman" w:eastAsia="Calibri" w:hAnsi="Times New Roman" w:cs="Times New Roman"/>
          <w:i/>
          <w:sz w:val="24"/>
          <w:szCs w:val="24"/>
          <w:lang w:val="ru-RU"/>
        </w:rPr>
        <w:t>заплахи</w:t>
      </w:r>
      <w:proofErr w:type="spellEnd"/>
      <w:r w:rsidRPr="00F0713B">
        <w:rPr>
          <w:rFonts w:ascii="Times New Roman" w:eastAsia="Calibri" w:hAnsi="Times New Roman" w:cs="Times New Roman"/>
          <w:i/>
          <w:sz w:val="24"/>
          <w:szCs w:val="24"/>
          <w:lang w:val="ru-RU"/>
        </w:rPr>
        <w:t xml:space="preserve"> и </w:t>
      </w:r>
      <w:proofErr w:type="spellStart"/>
      <w:r w:rsidRPr="00F0713B">
        <w:rPr>
          <w:rFonts w:ascii="Times New Roman" w:eastAsia="Calibri" w:hAnsi="Times New Roman" w:cs="Times New Roman"/>
          <w:i/>
          <w:sz w:val="24"/>
          <w:szCs w:val="24"/>
          <w:lang w:val="ru-RU"/>
        </w:rPr>
        <w:t>предизвикателства</w:t>
      </w:r>
      <w:proofErr w:type="spellEnd"/>
      <w:r w:rsidRPr="00F0713B">
        <w:rPr>
          <w:rFonts w:ascii="Times New Roman" w:eastAsia="Calibri" w:hAnsi="Times New Roman" w:cs="Times New Roman"/>
          <w:i/>
          <w:sz w:val="24"/>
          <w:szCs w:val="24"/>
          <w:lang w:val="ru-RU"/>
        </w:rPr>
        <w:t xml:space="preserve"> в </w:t>
      </w:r>
      <w:proofErr w:type="spellStart"/>
      <w:r w:rsidRPr="00F0713B">
        <w:rPr>
          <w:rFonts w:ascii="Times New Roman" w:eastAsia="Calibri" w:hAnsi="Times New Roman" w:cs="Times New Roman"/>
          <w:i/>
          <w:sz w:val="24"/>
          <w:szCs w:val="24"/>
          <w:lang w:val="ru-RU"/>
        </w:rPr>
        <w:t>киберпространството</w:t>
      </w:r>
      <w:proofErr w:type="spellEnd"/>
      <w:r w:rsidRPr="00F0713B">
        <w:rPr>
          <w:rFonts w:ascii="Times New Roman" w:eastAsia="Calibri" w:hAnsi="Times New Roman" w:cs="Times New Roman"/>
          <w:i/>
          <w:sz w:val="24"/>
          <w:szCs w:val="24"/>
          <w:lang w:val="ru-RU"/>
        </w:rPr>
        <w:t xml:space="preserve">, Позиции ЦМСО, </w:t>
      </w:r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>No</w:t>
      </w:r>
      <w:r w:rsidRPr="00F0713B">
        <w:rPr>
          <w:rFonts w:ascii="Times New Roman" w:eastAsia="Calibri" w:hAnsi="Times New Roman" w:cs="Times New Roman"/>
          <w:i/>
          <w:sz w:val="24"/>
          <w:szCs w:val="24"/>
          <w:lang w:val="ru-RU"/>
        </w:rPr>
        <w:t xml:space="preserve">. 31, ЦМСО, ИИКТ-БАН, София, </w:t>
      </w:r>
      <w:proofErr w:type="spellStart"/>
      <w:r w:rsidRPr="00F0713B">
        <w:rPr>
          <w:rFonts w:ascii="Times New Roman" w:eastAsia="Calibri" w:hAnsi="Times New Roman" w:cs="Times New Roman"/>
          <w:i/>
          <w:sz w:val="24"/>
          <w:szCs w:val="24"/>
          <w:lang w:val="ru-RU"/>
        </w:rPr>
        <w:t>юни</w:t>
      </w:r>
      <w:proofErr w:type="spellEnd"/>
      <w:r w:rsidRPr="00F0713B">
        <w:rPr>
          <w:rFonts w:ascii="Times New Roman" w:eastAsia="Calibri" w:hAnsi="Times New Roman" w:cs="Times New Roman"/>
          <w:i/>
          <w:sz w:val="24"/>
          <w:szCs w:val="24"/>
          <w:lang w:val="ru-RU"/>
        </w:rPr>
        <w:t xml:space="preserve">, 2015, </w:t>
      </w:r>
      <w:hyperlink r:id="rId13" w:history="1">
        <w:r w:rsidRPr="00F0713B">
          <w:rPr>
            <w:rFonts w:ascii="Times New Roman" w:eastAsia="Calibri" w:hAnsi="Times New Roman" w:cs="Times New Roman"/>
            <w:i/>
            <w:color w:val="0000FF"/>
            <w:sz w:val="24"/>
            <w:szCs w:val="24"/>
            <w:u w:val="single"/>
            <w:lang w:val="en-US"/>
          </w:rPr>
          <w:t>http</w:t>
        </w:r>
        <w:r w:rsidRPr="00F0713B">
          <w:rPr>
            <w:rFonts w:ascii="Times New Roman" w:eastAsia="Calibri" w:hAnsi="Times New Roman" w:cs="Times New Roman"/>
            <w:i/>
            <w:color w:val="0000FF"/>
            <w:sz w:val="24"/>
            <w:szCs w:val="24"/>
            <w:u w:val="single"/>
            <w:lang w:val="ru-RU"/>
          </w:rPr>
          <w:t>://</w:t>
        </w:r>
        <w:r w:rsidRPr="00F0713B">
          <w:rPr>
            <w:rFonts w:ascii="Times New Roman" w:eastAsia="Calibri" w:hAnsi="Times New Roman" w:cs="Times New Roman"/>
            <w:i/>
            <w:color w:val="0000FF"/>
            <w:sz w:val="24"/>
            <w:szCs w:val="24"/>
            <w:u w:val="single"/>
            <w:lang w:val="en-US"/>
          </w:rPr>
          <w:t>it</w:t>
        </w:r>
        <w:r w:rsidRPr="00F0713B">
          <w:rPr>
            <w:rFonts w:ascii="Times New Roman" w:eastAsia="Calibri" w:hAnsi="Times New Roman" w:cs="Times New Roman"/>
            <w:i/>
            <w:color w:val="0000FF"/>
            <w:sz w:val="24"/>
            <w:szCs w:val="24"/>
            <w:u w:val="single"/>
            <w:lang w:val="ru-RU"/>
          </w:rPr>
          <w:t>4</w:t>
        </w:r>
        <w:r w:rsidRPr="00F0713B">
          <w:rPr>
            <w:rFonts w:ascii="Times New Roman" w:eastAsia="Calibri" w:hAnsi="Times New Roman" w:cs="Times New Roman"/>
            <w:i/>
            <w:color w:val="0000FF"/>
            <w:sz w:val="24"/>
            <w:szCs w:val="24"/>
            <w:u w:val="single"/>
            <w:lang w:val="en-US"/>
          </w:rPr>
          <w:t>sec</w:t>
        </w:r>
        <w:r w:rsidRPr="00F0713B">
          <w:rPr>
            <w:rFonts w:ascii="Times New Roman" w:eastAsia="Calibri" w:hAnsi="Times New Roman" w:cs="Times New Roman"/>
            <w:i/>
            <w:color w:val="0000FF"/>
            <w:sz w:val="24"/>
            <w:szCs w:val="24"/>
            <w:u w:val="single"/>
            <w:lang w:val="ru-RU"/>
          </w:rPr>
          <w:t>.</w:t>
        </w:r>
        <w:r w:rsidRPr="00F0713B">
          <w:rPr>
            <w:rFonts w:ascii="Times New Roman" w:eastAsia="Calibri" w:hAnsi="Times New Roman" w:cs="Times New Roman"/>
            <w:i/>
            <w:color w:val="0000FF"/>
            <w:sz w:val="24"/>
            <w:szCs w:val="24"/>
            <w:u w:val="single"/>
            <w:lang w:val="en-US"/>
          </w:rPr>
          <w:t>org</w:t>
        </w:r>
        <w:r w:rsidRPr="00F0713B">
          <w:rPr>
            <w:rFonts w:ascii="Times New Roman" w:eastAsia="Calibri" w:hAnsi="Times New Roman" w:cs="Times New Roman"/>
            <w:i/>
            <w:color w:val="0000FF"/>
            <w:sz w:val="24"/>
            <w:szCs w:val="24"/>
            <w:u w:val="single"/>
            <w:lang w:val="ru-RU"/>
          </w:rPr>
          <w:t>/</w:t>
        </w:r>
        <w:proofErr w:type="spellStart"/>
        <w:r w:rsidRPr="00F0713B">
          <w:rPr>
            <w:rFonts w:ascii="Times New Roman" w:eastAsia="Calibri" w:hAnsi="Times New Roman" w:cs="Times New Roman"/>
            <w:i/>
            <w:color w:val="0000FF"/>
            <w:sz w:val="24"/>
            <w:szCs w:val="24"/>
            <w:u w:val="single"/>
            <w:lang w:val="en-US"/>
          </w:rPr>
          <w:t>bg</w:t>
        </w:r>
        <w:proofErr w:type="spellEnd"/>
        <w:r w:rsidRPr="00F0713B">
          <w:rPr>
            <w:rFonts w:ascii="Times New Roman" w:eastAsia="Calibri" w:hAnsi="Times New Roman" w:cs="Times New Roman"/>
            <w:i/>
            <w:color w:val="0000FF"/>
            <w:sz w:val="24"/>
            <w:szCs w:val="24"/>
            <w:u w:val="single"/>
            <w:lang w:val="ru-RU"/>
          </w:rPr>
          <w:t>/</w:t>
        </w:r>
        <w:r w:rsidRPr="00F0713B">
          <w:rPr>
            <w:rFonts w:ascii="Times New Roman" w:eastAsia="Calibri" w:hAnsi="Times New Roman" w:cs="Times New Roman"/>
            <w:i/>
            <w:color w:val="0000FF"/>
            <w:sz w:val="24"/>
            <w:szCs w:val="24"/>
            <w:u w:val="single"/>
            <w:lang w:val="en-US"/>
          </w:rPr>
          <w:t>system</w:t>
        </w:r>
        <w:r w:rsidRPr="00F0713B">
          <w:rPr>
            <w:rFonts w:ascii="Times New Roman" w:eastAsia="Calibri" w:hAnsi="Times New Roman" w:cs="Times New Roman"/>
            <w:i/>
            <w:color w:val="0000FF"/>
            <w:sz w:val="24"/>
            <w:szCs w:val="24"/>
            <w:u w:val="single"/>
            <w:lang w:val="ru-RU"/>
          </w:rPr>
          <w:t>/</w:t>
        </w:r>
        <w:r w:rsidRPr="00F0713B">
          <w:rPr>
            <w:rFonts w:ascii="Times New Roman" w:eastAsia="Calibri" w:hAnsi="Times New Roman" w:cs="Times New Roman"/>
            <w:i/>
            <w:color w:val="0000FF"/>
            <w:sz w:val="24"/>
            <w:szCs w:val="24"/>
            <w:u w:val="single"/>
            <w:lang w:val="en-US"/>
          </w:rPr>
          <w:t>files</w:t>
        </w:r>
        <w:r w:rsidRPr="00F0713B">
          <w:rPr>
            <w:rFonts w:ascii="Times New Roman" w:eastAsia="Calibri" w:hAnsi="Times New Roman" w:cs="Times New Roman"/>
            <w:i/>
            <w:color w:val="0000FF"/>
            <w:sz w:val="24"/>
            <w:szCs w:val="24"/>
            <w:u w:val="single"/>
            <w:lang w:val="ru-RU"/>
          </w:rPr>
          <w:t>/</w:t>
        </w:r>
        <w:r w:rsidRPr="00F0713B">
          <w:rPr>
            <w:rFonts w:ascii="Times New Roman" w:eastAsia="Calibri" w:hAnsi="Times New Roman" w:cs="Times New Roman"/>
            <w:i/>
            <w:color w:val="0000FF"/>
            <w:sz w:val="24"/>
            <w:szCs w:val="24"/>
            <w:u w:val="single"/>
            <w:lang w:val="en-US"/>
          </w:rPr>
          <w:t>views</w:t>
        </w:r>
        <w:r w:rsidRPr="00F0713B">
          <w:rPr>
            <w:rFonts w:ascii="Times New Roman" w:eastAsia="Calibri" w:hAnsi="Times New Roman" w:cs="Times New Roman"/>
            <w:i/>
            <w:color w:val="0000FF"/>
            <w:sz w:val="24"/>
            <w:szCs w:val="24"/>
            <w:u w:val="single"/>
            <w:lang w:val="ru-RU"/>
          </w:rPr>
          <w:t>_031_0.</w:t>
        </w:r>
        <w:r w:rsidRPr="00F0713B">
          <w:rPr>
            <w:rFonts w:ascii="Times New Roman" w:eastAsia="Calibri" w:hAnsi="Times New Roman" w:cs="Times New Roman"/>
            <w:i/>
            <w:color w:val="0000FF"/>
            <w:sz w:val="24"/>
            <w:szCs w:val="24"/>
            <w:u w:val="single"/>
            <w:lang w:val="en-US"/>
          </w:rPr>
          <w:t>pdf</w:t>
        </w:r>
      </w:hyperlink>
    </w:p>
    <w:p w:rsidR="00F0713B" w:rsidRPr="00F0713B" w:rsidRDefault="00F0713B" w:rsidP="00F0713B">
      <w:pPr>
        <w:spacing w:after="0" w:line="360" w:lineRule="auto"/>
        <w:ind w:left="284" w:hanging="284"/>
        <w:rPr>
          <w:rFonts w:ascii="Times New Roman" w:eastAsia="Calibri" w:hAnsi="Times New Roman" w:cs="Times New Roman"/>
          <w:i/>
          <w:sz w:val="24"/>
          <w:szCs w:val="24"/>
          <w:lang w:val="ru-RU"/>
        </w:rPr>
      </w:pPr>
      <w:r w:rsidRPr="00F0713B">
        <w:rPr>
          <w:rFonts w:ascii="Times New Roman" w:eastAsia="Calibri" w:hAnsi="Times New Roman" w:cs="Times New Roman"/>
          <w:i/>
          <w:sz w:val="24"/>
          <w:szCs w:val="24"/>
          <w:lang w:val="ru-RU"/>
        </w:rPr>
        <w:t xml:space="preserve">9. </w:t>
      </w:r>
      <w:proofErr w:type="spellStart"/>
      <w:r w:rsidRPr="00F0713B">
        <w:rPr>
          <w:rFonts w:ascii="Times New Roman" w:eastAsia="Calibri" w:hAnsi="Times New Roman" w:cs="Times New Roman"/>
          <w:i/>
          <w:sz w:val="24"/>
          <w:szCs w:val="24"/>
          <w:lang w:val="ru-RU"/>
        </w:rPr>
        <w:t>Асоциацията</w:t>
      </w:r>
      <w:proofErr w:type="spellEnd"/>
      <w:r w:rsidRPr="00F0713B">
        <w:rPr>
          <w:rFonts w:ascii="Times New Roman" w:eastAsia="Calibri" w:hAnsi="Times New Roman" w:cs="Times New Roman"/>
          <w:i/>
          <w:sz w:val="24"/>
          <w:szCs w:val="24"/>
          <w:lang w:val="ru-RU"/>
        </w:rPr>
        <w:t xml:space="preserve"> на </w:t>
      </w:r>
      <w:proofErr w:type="spellStart"/>
      <w:r w:rsidRPr="00F0713B">
        <w:rPr>
          <w:rFonts w:ascii="Times New Roman" w:eastAsia="Calibri" w:hAnsi="Times New Roman" w:cs="Times New Roman"/>
          <w:i/>
          <w:sz w:val="24"/>
          <w:szCs w:val="24"/>
          <w:lang w:val="ru-RU"/>
        </w:rPr>
        <w:t>комуникационните</w:t>
      </w:r>
      <w:proofErr w:type="spellEnd"/>
      <w:r w:rsidRPr="00F0713B">
        <w:rPr>
          <w:rFonts w:ascii="Times New Roman" w:eastAsia="Calibri" w:hAnsi="Times New Roman" w:cs="Times New Roman"/>
          <w:i/>
          <w:sz w:val="24"/>
          <w:szCs w:val="24"/>
          <w:lang w:val="ru-RU"/>
        </w:rPr>
        <w:t xml:space="preserve"> и </w:t>
      </w:r>
      <w:proofErr w:type="spellStart"/>
      <w:r w:rsidRPr="00F0713B">
        <w:rPr>
          <w:rFonts w:ascii="Times New Roman" w:eastAsia="Calibri" w:hAnsi="Times New Roman" w:cs="Times New Roman"/>
          <w:i/>
          <w:sz w:val="24"/>
          <w:szCs w:val="24"/>
          <w:lang w:val="ru-RU"/>
        </w:rPr>
        <w:t>информационни</w:t>
      </w:r>
      <w:proofErr w:type="spellEnd"/>
      <w:r w:rsidRPr="00F0713B">
        <w:rPr>
          <w:rFonts w:ascii="Times New Roman" w:eastAsia="Calibri" w:hAnsi="Times New Roman" w:cs="Times New Roman"/>
          <w:i/>
          <w:sz w:val="24"/>
          <w:szCs w:val="24"/>
          <w:lang w:val="ru-RU"/>
        </w:rPr>
        <w:t xml:space="preserve"> </w:t>
      </w:r>
      <w:proofErr w:type="spellStart"/>
      <w:r w:rsidRPr="00F0713B">
        <w:rPr>
          <w:rFonts w:ascii="Times New Roman" w:eastAsia="Calibri" w:hAnsi="Times New Roman" w:cs="Times New Roman"/>
          <w:i/>
          <w:sz w:val="24"/>
          <w:szCs w:val="24"/>
          <w:lang w:val="ru-RU"/>
        </w:rPr>
        <w:t>специалисти</w:t>
      </w:r>
      <w:proofErr w:type="spellEnd"/>
      <w:r w:rsidRPr="00F0713B">
        <w:rPr>
          <w:rFonts w:ascii="Times New Roman" w:eastAsia="Calibri" w:hAnsi="Times New Roman" w:cs="Times New Roman"/>
          <w:i/>
          <w:sz w:val="24"/>
          <w:szCs w:val="24"/>
          <w:lang w:val="ru-RU"/>
        </w:rPr>
        <w:t xml:space="preserve">, </w:t>
      </w:r>
      <w:hyperlink r:id="rId14" w:history="1">
        <w:r w:rsidRPr="00F0713B">
          <w:rPr>
            <w:rFonts w:ascii="Times New Roman" w:eastAsia="Calibri" w:hAnsi="Times New Roman" w:cs="Times New Roman"/>
            <w:i/>
            <w:color w:val="0000FF"/>
            <w:sz w:val="24"/>
            <w:szCs w:val="24"/>
            <w:u w:val="single"/>
            <w:lang w:val="en-US"/>
          </w:rPr>
          <w:t>http</w:t>
        </w:r>
        <w:r w:rsidRPr="00F0713B">
          <w:rPr>
            <w:rFonts w:ascii="Times New Roman" w:eastAsia="Calibri" w:hAnsi="Times New Roman" w:cs="Times New Roman"/>
            <w:i/>
            <w:color w:val="0000FF"/>
            <w:sz w:val="24"/>
            <w:szCs w:val="24"/>
            <w:u w:val="single"/>
            <w:lang w:val="ru-RU"/>
          </w:rPr>
          <w:t>://</w:t>
        </w:r>
        <w:proofErr w:type="spellStart"/>
        <w:r w:rsidRPr="00F0713B">
          <w:rPr>
            <w:rFonts w:ascii="Times New Roman" w:eastAsia="Calibri" w:hAnsi="Times New Roman" w:cs="Times New Roman"/>
            <w:i/>
            <w:color w:val="0000FF"/>
            <w:sz w:val="24"/>
            <w:szCs w:val="24"/>
            <w:u w:val="single"/>
            <w:lang w:val="en-US"/>
          </w:rPr>
          <w:t>acis</w:t>
        </w:r>
        <w:proofErr w:type="spellEnd"/>
        <w:r w:rsidRPr="00F0713B">
          <w:rPr>
            <w:rFonts w:ascii="Times New Roman" w:eastAsia="Calibri" w:hAnsi="Times New Roman" w:cs="Times New Roman"/>
            <w:i/>
            <w:color w:val="0000FF"/>
            <w:sz w:val="24"/>
            <w:szCs w:val="24"/>
            <w:u w:val="single"/>
            <w:lang w:val="ru-RU"/>
          </w:rPr>
          <w:t>-</w:t>
        </w:r>
        <w:proofErr w:type="spellStart"/>
        <w:r w:rsidRPr="00F0713B">
          <w:rPr>
            <w:rFonts w:ascii="Times New Roman" w:eastAsia="Calibri" w:hAnsi="Times New Roman" w:cs="Times New Roman"/>
            <w:i/>
            <w:color w:val="0000FF"/>
            <w:sz w:val="24"/>
            <w:szCs w:val="24"/>
            <w:u w:val="single"/>
            <w:lang w:val="en-US"/>
          </w:rPr>
          <w:t>bg</w:t>
        </w:r>
        <w:proofErr w:type="spellEnd"/>
        <w:r w:rsidRPr="00F0713B">
          <w:rPr>
            <w:rFonts w:ascii="Times New Roman" w:eastAsia="Calibri" w:hAnsi="Times New Roman" w:cs="Times New Roman"/>
            <w:i/>
            <w:color w:val="0000FF"/>
            <w:sz w:val="24"/>
            <w:szCs w:val="24"/>
            <w:u w:val="single"/>
            <w:lang w:val="ru-RU"/>
          </w:rPr>
          <w:t>.</w:t>
        </w:r>
        <w:r w:rsidRPr="00F0713B">
          <w:rPr>
            <w:rFonts w:ascii="Times New Roman" w:eastAsia="Calibri" w:hAnsi="Times New Roman" w:cs="Times New Roman"/>
            <w:i/>
            <w:color w:val="0000FF"/>
            <w:sz w:val="24"/>
            <w:szCs w:val="24"/>
            <w:u w:val="single"/>
            <w:lang w:val="en-US"/>
          </w:rPr>
          <w:t>org</w:t>
        </w:r>
        <w:r w:rsidRPr="00F0713B">
          <w:rPr>
            <w:rFonts w:ascii="Times New Roman" w:eastAsia="Calibri" w:hAnsi="Times New Roman" w:cs="Times New Roman"/>
            <w:i/>
            <w:color w:val="0000FF"/>
            <w:sz w:val="24"/>
            <w:szCs w:val="24"/>
            <w:u w:val="single"/>
            <w:lang w:val="ru-RU"/>
          </w:rPr>
          <w:t>/</w:t>
        </w:r>
      </w:hyperlink>
    </w:p>
    <w:p w:rsidR="00F0713B" w:rsidRPr="00F0713B" w:rsidRDefault="00F0713B" w:rsidP="00F0713B">
      <w:pPr>
        <w:spacing w:after="0" w:line="360" w:lineRule="auto"/>
        <w:ind w:left="284" w:hanging="284"/>
        <w:rPr>
          <w:rFonts w:ascii="Times New Roman" w:eastAsia="Calibri" w:hAnsi="Times New Roman" w:cs="Times New Roman"/>
          <w:i/>
          <w:sz w:val="24"/>
          <w:szCs w:val="24"/>
          <w:lang w:val="en-US"/>
        </w:rPr>
      </w:pPr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 xml:space="preserve">10. </w:t>
      </w:r>
      <w:proofErr w:type="spellStart"/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>Minchev</w:t>
      </w:r>
      <w:proofErr w:type="spellEnd"/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 xml:space="preserve">, Z. Methodological Approach for Modelling, Simulation &amp; Assessment of Complex Discrete Systems, In Proceedings of National Informatics Conference Dedicated to the 80th Anniversary of Prof. </w:t>
      </w:r>
      <w:proofErr w:type="spellStart"/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>Barnev</w:t>
      </w:r>
      <w:proofErr w:type="spellEnd"/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>, IMI-BAS, Sofia, November 12-13, 2015, pp. 102-110, 2016.</w:t>
      </w:r>
    </w:p>
    <w:p w:rsidR="00F0713B" w:rsidRPr="00F0713B" w:rsidRDefault="00F0713B" w:rsidP="00F0713B">
      <w:pPr>
        <w:spacing w:after="0" w:line="360" w:lineRule="auto"/>
        <w:ind w:left="284" w:hanging="284"/>
        <w:rPr>
          <w:rFonts w:ascii="Times New Roman" w:eastAsia="Calibri" w:hAnsi="Times New Roman" w:cs="Times New Roman"/>
          <w:i/>
          <w:sz w:val="24"/>
          <w:szCs w:val="24"/>
          <w:lang w:val="en-US"/>
        </w:rPr>
      </w:pPr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>11. Blowers, M. (Editor) Evolution of cyber technologies and operations to 2035, Springer International, Switzerland, 2015.</w:t>
      </w:r>
    </w:p>
    <w:p w:rsidR="00F0713B" w:rsidRPr="00F0713B" w:rsidRDefault="00F0713B" w:rsidP="00F0713B">
      <w:pPr>
        <w:spacing w:after="0" w:line="360" w:lineRule="auto"/>
        <w:ind w:left="284" w:hanging="284"/>
        <w:rPr>
          <w:rFonts w:ascii="Times New Roman" w:eastAsia="Calibri" w:hAnsi="Times New Roman" w:cs="Times New Roman"/>
          <w:i/>
          <w:sz w:val="24"/>
          <w:szCs w:val="24"/>
          <w:lang w:val="en-US"/>
        </w:rPr>
      </w:pPr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 xml:space="preserve">12.  Built Environment 2050 (A Report on Our Digital Future), BIM2050 Team, 2014, </w:t>
      </w:r>
      <w:hyperlink r:id="rId15" w:history="1">
        <w:r w:rsidRPr="00F0713B">
          <w:rPr>
            <w:rFonts w:ascii="Times New Roman" w:eastAsia="Calibri" w:hAnsi="Times New Roman" w:cs="Times New Roman"/>
            <w:i/>
            <w:color w:val="0000FF"/>
            <w:sz w:val="24"/>
            <w:szCs w:val="24"/>
            <w:u w:val="single"/>
            <w:lang w:val="en-US"/>
          </w:rPr>
          <w:t>http://cic.org.uk/download.php?f=be2050-cic-bim2050-2014-1.pdf</w:t>
        </w:r>
      </w:hyperlink>
    </w:p>
    <w:p w:rsidR="00F0713B" w:rsidRPr="00F0713B" w:rsidRDefault="00F0713B" w:rsidP="00F0713B">
      <w:pPr>
        <w:spacing w:after="0" w:line="360" w:lineRule="auto"/>
        <w:ind w:left="284" w:hanging="284"/>
        <w:rPr>
          <w:rFonts w:ascii="Times New Roman" w:eastAsia="Calibri" w:hAnsi="Times New Roman" w:cs="Times New Roman"/>
          <w:i/>
          <w:sz w:val="24"/>
          <w:szCs w:val="24"/>
          <w:lang w:val="en-US"/>
        </w:rPr>
      </w:pPr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 xml:space="preserve">13. </w:t>
      </w:r>
      <w:proofErr w:type="spellStart"/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>Dopfer</w:t>
      </w:r>
      <w:proofErr w:type="spellEnd"/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>, K. The Evolutionary Foundations of Economics, Cambridge University Press, 2005.</w:t>
      </w:r>
    </w:p>
    <w:p w:rsidR="00F0713B" w:rsidRPr="00F0713B" w:rsidRDefault="00F0713B" w:rsidP="00F0713B">
      <w:pPr>
        <w:spacing w:after="0" w:line="360" w:lineRule="auto"/>
        <w:ind w:left="284" w:hanging="284"/>
        <w:rPr>
          <w:rFonts w:ascii="Times New Roman" w:eastAsia="Calibri" w:hAnsi="Times New Roman" w:cs="Times New Roman"/>
          <w:i/>
          <w:sz w:val="24"/>
          <w:szCs w:val="24"/>
          <w:lang w:val="en-US"/>
        </w:rPr>
      </w:pPr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 xml:space="preserve">14. </w:t>
      </w:r>
      <w:proofErr w:type="spellStart"/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>Minchev</w:t>
      </w:r>
      <w:proofErr w:type="spellEnd"/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 xml:space="preserve">, Z. &amp; </w:t>
      </w:r>
      <w:proofErr w:type="spellStart"/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>Shalamanov</w:t>
      </w:r>
      <w:proofErr w:type="spellEnd"/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 xml:space="preserve">, V. Scenario Generation and Assessment Framework Solution in Support of the Comprehensive Approach. In Proceedings of SAS-081 Symposium on Analytical Support to </w:t>
      </w:r>
      <w:proofErr w:type="spellStart"/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>Defence</w:t>
      </w:r>
      <w:proofErr w:type="spellEnd"/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 xml:space="preserve"> Transformation, RTO-MP-SAS-081, Sofia, NATO RTO ST Organization, 22-1-22-16, 2010.</w:t>
      </w:r>
    </w:p>
    <w:p w:rsidR="00F0713B" w:rsidRPr="00F0713B" w:rsidRDefault="00F0713B" w:rsidP="00F0713B">
      <w:pPr>
        <w:spacing w:after="0" w:line="360" w:lineRule="auto"/>
        <w:ind w:left="284" w:hanging="284"/>
        <w:rPr>
          <w:rFonts w:ascii="Times New Roman" w:eastAsia="Calibri" w:hAnsi="Times New Roman" w:cs="Times New Roman"/>
          <w:i/>
          <w:sz w:val="24"/>
          <w:szCs w:val="24"/>
        </w:rPr>
      </w:pPr>
      <w:r w:rsidRPr="00F0713B">
        <w:rPr>
          <w:rFonts w:ascii="Times New Roman" w:eastAsia="Calibri" w:hAnsi="Times New Roman" w:cs="Times New Roman"/>
          <w:i/>
          <w:sz w:val="24"/>
          <w:szCs w:val="24"/>
        </w:rPr>
        <w:t>15. Минчев, З. и к-в, Хибридни предизвикателства в киберпространството и ролята на човешкия фактор, Сборник доклади от Международна научна конференция „Югоизточна Европа: новите заплахи за регионалната сигурност“, Поредица „Наука, образование, сигурност“, том 3, София, НБУ, Планета 3, стр. 354-362, 2-3 юни, 2015, публикувана: февруари, 2016.</w:t>
      </w:r>
    </w:p>
    <w:p w:rsidR="00F0713B" w:rsidRPr="00F0713B" w:rsidRDefault="00F0713B" w:rsidP="00F0713B">
      <w:pPr>
        <w:spacing w:after="0" w:line="360" w:lineRule="auto"/>
        <w:ind w:left="284" w:hanging="284"/>
        <w:rPr>
          <w:rFonts w:ascii="Times New Roman" w:eastAsia="Calibri" w:hAnsi="Times New Roman" w:cs="Times New Roman"/>
          <w:i/>
          <w:sz w:val="24"/>
          <w:szCs w:val="24"/>
          <w:lang w:val="en-US"/>
        </w:rPr>
      </w:pPr>
      <w:r w:rsidRPr="00F0713B">
        <w:rPr>
          <w:rFonts w:ascii="Times New Roman" w:eastAsia="Calibri" w:hAnsi="Times New Roman" w:cs="Times New Roman"/>
          <w:i/>
          <w:sz w:val="24"/>
          <w:szCs w:val="24"/>
        </w:rPr>
        <w:t xml:space="preserve">16. </w:t>
      </w:r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 xml:space="preserve">Kick, J. Cyber Exercise Playbook, The MITRE Corporation, 2014, </w:t>
      </w:r>
      <w:hyperlink r:id="rId16" w:history="1">
        <w:r w:rsidRPr="00F0713B">
          <w:rPr>
            <w:rFonts w:ascii="Times New Roman" w:eastAsia="Calibri" w:hAnsi="Times New Roman" w:cs="Times New Roman"/>
            <w:i/>
            <w:color w:val="0000FF"/>
            <w:sz w:val="24"/>
            <w:szCs w:val="24"/>
            <w:u w:val="single"/>
            <w:lang w:val="en-US"/>
          </w:rPr>
          <w:t>https://goo.gl/SOkkw6</w:t>
        </w:r>
      </w:hyperlink>
    </w:p>
    <w:p w:rsidR="003F2871" w:rsidRPr="00F0713B" w:rsidRDefault="00F0713B" w:rsidP="00F0713B">
      <w:pPr>
        <w:spacing w:after="0" w:line="360" w:lineRule="auto"/>
        <w:ind w:left="284" w:hanging="284"/>
        <w:rPr>
          <w:rFonts w:ascii="Times New Roman" w:eastAsia="Calibri" w:hAnsi="Times New Roman" w:cs="Times New Roman"/>
          <w:i/>
          <w:sz w:val="24"/>
          <w:szCs w:val="24"/>
          <w:lang w:val="en-US"/>
        </w:rPr>
      </w:pPr>
      <w:r w:rsidRPr="00F0713B">
        <w:rPr>
          <w:rFonts w:ascii="Times New Roman" w:eastAsia="Calibri" w:hAnsi="Times New Roman" w:cs="Times New Roman"/>
          <w:i/>
          <w:sz w:val="24"/>
          <w:szCs w:val="24"/>
          <w:lang w:val="en-US"/>
        </w:rPr>
        <w:t xml:space="preserve">17. CYREX 2016 Facebook News Post, February 26, 2016, </w:t>
      </w:r>
      <w:hyperlink r:id="rId17" w:history="1">
        <w:r w:rsidRPr="00F0713B">
          <w:rPr>
            <w:rFonts w:ascii="Times New Roman" w:eastAsia="Calibri" w:hAnsi="Times New Roman" w:cs="Times New Roman"/>
            <w:i/>
            <w:color w:val="0000FF"/>
            <w:sz w:val="24"/>
            <w:szCs w:val="24"/>
            <w:u w:val="single"/>
            <w:lang w:val="en-US"/>
          </w:rPr>
          <w:t>https://goo.gl/Pa8ArN</w:t>
        </w:r>
      </w:hyperlink>
      <w:bookmarkStart w:id="0" w:name="_GoBack"/>
      <w:bookmarkEnd w:id="0"/>
    </w:p>
    <w:sectPr w:rsidR="003F2871" w:rsidRPr="00F0713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440694"/>
    <w:multiLevelType w:val="hybridMultilevel"/>
    <w:tmpl w:val="39A86D02"/>
    <w:lvl w:ilvl="0" w:tplc="5A9CAF48">
      <w:numFmt w:val="bullet"/>
      <w:lvlText w:val="•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13B"/>
    <w:rsid w:val="003F2871"/>
    <w:rsid w:val="00F07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BC33FEF"/>
  <w15:chartTrackingRefBased/>
  <w15:docId w15:val="{15A3B936-CEC2-4AC5-935E-4D13B3292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hyperlink" Target="http://it4sec.org/bg/system/files/views_031_0.pdf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image" Target="media/image8.tiff"/><Relationship Id="rId17" Type="http://schemas.openxmlformats.org/officeDocument/2006/relationships/hyperlink" Target="https://goo.gl/Pa8ArN" TargetMode="External"/><Relationship Id="rId2" Type="http://schemas.openxmlformats.org/officeDocument/2006/relationships/styles" Target="styles.xml"/><Relationship Id="rId16" Type="http://schemas.openxmlformats.org/officeDocument/2006/relationships/hyperlink" Target="https://goo.gl/SOkkw6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tiff"/><Relationship Id="rId5" Type="http://schemas.openxmlformats.org/officeDocument/2006/relationships/image" Target="media/image1.tiff"/><Relationship Id="rId15" Type="http://schemas.openxmlformats.org/officeDocument/2006/relationships/hyperlink" Target="http://cic.org.uk/download.php?f=be2050-cic-bim2050-2014-1.pdf" TargetMode="External"/><Relationship Id="rId10" Type="http://schemas.openxmlformats.org/officeDocument/2006/relationships/image" Target="media/image6.tif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tiff"/><Relationship Id="rId14" Type="http://schemas.openxmlformats.org/officeDocument/2006/relationships/hyperlink" Target="http://acis-bg.org/" TargetMode="Externa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3332</Words>
  <Characters>18998</Characters>
  <Application>Microsoft Office Word</Application>
  <DocSecurity>0</DocSecurity>
  <Lines>158</Lines>
  <Paragraphs>44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Mihael Dimitrov</dc:creator>
  <cp:keywords/>
  <dc:description/>
  <cp:lastModifiedBy>Mihael Dimitrov</cp:lastModifiedBy>
  <cp:revision>1</cp:revision>
  <dcterms:created xsi:type="dcterms:W3CDTF">2016-09-04T09:26:00Z</dcterms:created>
  <dcterms:modified xsi:type="dcterms:W3CDTF">2016-09-04T09:32:00Z</dcterms:modified>
</cp:coreProperties>
</file>