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A5" w:rsidRDefault="00711AC4" w:rsidP="00397BA5">
      <w:pPr>
        <w:spacing w:after="4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динамика на сигурността в междинна европа (2013-2016 </w:t>
      </w:r>
      <w:r w:rsidR="00893C99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caps/>
          <w:sz w:val="24"/>
          <w:szCs w:val="24"/>
        </w:rPr>
        <w:t>)</w:t>
      </w:r>
    </w:p>
    <w:p w:rsidR="00711AC4" w:rsidRDefault="00246258" w:rsidP="00397BA5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Михаел Димитров, докторант към департамент „Национална и международна сигурност“, Нов български университет</w:t>
      </w:r>
    </w:p>
    <w:p w:rsidR="00246258" w:rsidRDefault="00246258" w:rsidP="00397BA5">
      <w:pPr>
        <w:spacing w:after="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6258" w:rsidRDefault="00246258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Резюме</w:t>
      </w:r>
    </w:p>
    <w:p w:rsidR="000F3A3B" w:rsidRDefault="000F3A3B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5A0">
        <w:rPr>
          <w:rFonts w:ascii="Times New Roman" w:hAnsi="Times New Roman" w:cs="Times New Roman"/>
          <w:sz w:val="24"/>
          <w:szCs w:val="24"/>
        </w:rPr>
        <w:t>В този текст са представени основните фактори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9D05A0">
        <w:rPr>
          <w:rFonts w:ascii="Times New Roman" w:hAnsi="Times New Roman" w:cs="Times New Roman"/>
          <w:sz w:val="24"/>
          <w:szCs w:val="24"/>
        </w:rPr>
        <w:t xml:space="preserve"> насочващи динамиката на сигурността в Междинна Европа. Описан</w:t>
      </w:r>
      <w:r w:rsidR="00400E97">
        <w:rPr>
          <w:rFonts w:ascii="Times New Roman" w:hAnsi="Times New Roman" w:cs="Times New Roman"/>
          <w:sz w:val="24"/>
          <w:szCs w:val="24"/>
        </w:rPr>
        <w:t xml:space="preserve"> е</w:t>
      </w:r>
      <w:r w:rsidR="009D05A0">
        <w:rPr>
          <w:rFonts w:ascii="Times New Roman" w:hAnsi="Times New Roman" w:cs="Times New Roman"/>
          <w:sz w:val="24"/>
          <w:szCs w:val="24"/>
        </w:rPr>
        <w:t xml:space="preserve"> начинът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9D05A0">
        <w:rPr>
          <w:rFonts w:ascii="Times New Roman" w:hAnsi="Times New Roman" w:cs="Times New Roman"/>
          <w:sz w:val="24"/>
          <w:szCs w:val="24"/>
        </w:rPr>
        <w:t xml:space="preserve"> по който те си взаимодействат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9D05A0">
        <w:rPr>
          <w:rFonts w:ascii="Times New Roman" w:hAnsi="Times New Roman" w:cs="Times New Roman"/>
          <w:sz w:val="24"/>
          <w:szCs w:val="24"/>
        </w:rPr>
        <w:t xml:space="preserve"> както и крайният резултат пораждан </w:t>
      </w:r>
      <w:r w:rsidR="00400E97">
        <w:rPr>
          <w:rFonts w:ascii="Times New Roman" w:hAnsi="Times New Roman" w:cs="Times New Roman"/>
          <w:sz w:val="24"/>
          <w:szCs w:val="24"/>
        </w:rPr>
        <w:t>от тях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400E97">
        <w:rPr>
          <w:rFonts w:ascii="Times New Roman" w:hAnsi="Times New Roman" w:cs="Times New Roman"/>
          <w:sz w:val="24"/>
          <w:szCs w:val="24"/>
        </w:rPr>
        <w:t xml:space="preserve"> </w:t>
      </w:r>
      <w:r w:rsidR="009D05A0">
        <w:rPr>
          <w:rFonts w:ascii="Times New Roman" w:hAnsi="Times New Roman" w:cs="Times New Roman"/>
          <w:sz w:val="24"/>
          <w:szCs w:val="24"/>
        </w:rPr>
        <w:t xml:space="preserve">спрямо вътрешните участници в региона. </w:t>
      </w:r>
      <w:r w:rsidR="00400E97">
        <w:rPr>
          <w:rFonts w:ascii="Times New Roman" w:hAnsi="Times New Roman" w:cs="Times New Roman"/>
          <w:sz w:val="24"/>
          <w:szCs w:val="24"/>
        </w:rPr>
        <w:t xml:space="preserve">Тези процеси са съпоставени с </w:t>
      </w:r>
      <w:r w:rsidR="00CD6AD3">
        <w:rPr>
          <w:rFonts w:ascii="Times New Roman" w:hAnsi="Times New Roman" w:cs="Times New Roman"/>
          <w:sz w:val="24"/>
          <w:szCs w:val="24"/>
        </w:rPr>
        <w:t>инициативите за създаване на различни субрегионални формати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CD6AD3">
        <w:rPr>
          <w:rFonts w:ascii="Times New Roman" w:hAnsi="Times New Roman" w:cs="Times New Roman"/>
          <w:sz w:val="24"/>
          <w:szCs w:val="24"/>
        </w:rPr>
        <w:t xml:space="preserve"> като се отчитат и причините за възприемане на подход за конфигуриране на пространството в по-малки обеми. </w:t>
      </w:r>
    </w:p>
    <w:p w:rsidR="00CD6AD3" w:rsidRPr="00A47CB6" w:rsidRDefault="00CD6AD3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Ключови думи</w:t>
      </w:r>
      <w:r w:rsidRPr="00A47C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A47CB6">
        <w:rPr>
          <w:rFonts w:ascii="Times New Roman" w:hAnsi="Times New Roman" w:cs="Times New Roman"/>
          <w:sz w:val="24"/>
          <w:szCs w:val="24"/>
        </w:rPr>
        <w:t>геополитика, САЩ, Руска федерация, Междинна Европа</w:t>
      </w:r>
      <w:r w:rsidR="00A47CB6" w:rsidRPr="00A47CB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:rsidR="00246258" w:rsidRPr="00A47CB6" w:rsidRDefault="00246258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46258" w:rsidRDefault="009D4866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Въведение</w:t>
      </w:r>
      <w:r w:rsidR="00BD60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4866" w:rsidRPr="00435268" w:rsidRDefault="00BD6049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Настоящият доклад има за цел представяне на връзките и зависимостите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формиращи се в рамките на геополитически</w:t>
      </w:r>
      <w:r w:rsidR="00487B1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регион Междинна Европа</w:t>
      </w:r>
      <w:r>
        <w:rPr>
          <w:rStyle w:val="a9"/>
          <w:rFonts w:ascii="Times New Roman" w:hAnsi="Times New Roman" w:cs="Times New Roman"/>
          <w:sz w:val="24"/>
          <w:szCs w:val="24"/>
        </w:rPr>
        <w:footnoteReference w:id="1"/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B70">
        <w:rPr>
          <w:rFonts w:ascii="Times New Roman" w:hAnsi="Times New Roman" w:cs="Times New Roman"/>
          <w:sz w:val="24"/>
          <w:szCs w:val="24"/>
        </w:rPr>
        <w:t xml:space="preserve">включително и тези установяващи се между вътрешните участници в него и доминиращите геополитически сили </w:t>
      </w:r>
      <w:r>
        <w:rPr>
          <w:rFonts w:ascii="Times New Roman" w:hAnsi="Times New Roman" w:cs="Times New Roman"/>
          <w:sz w:val="24"/>
          <w:szCs w:val="24"/>
        </w:rPr>
        <w:t xml:space="preserve">от 2013 г. </w:t>
      </w:r>
      <w:r w:rsidR="003C6FD2">
        <w:rPr>
          <w:rFonts w:ascii="Times New Roman" w:hAnsi="Times New Roman" w:cs="Times New Roman"/>
          <w:sz w:val="24"/>
          <w:szCs w:val="24"/>
        </w:rPr>
        <w:t>насам. Това на свой ред налага анализ на събитията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C6FD2">
        <w:rPr>
          <w:rFonts w:ascii="Times New Roman" w:hAnsi="Times New Roman" w:cs="Times New Roman"/>
          <w:sz w:val="24"/>
          <w:szCs w:val="24"/>
        </w:rPr>
        <w:t xml:space="preserve"> свързани най-вече с двете зони на конфликт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C6FD2">
        <w:rPr>
          <w:rFonts w:ascii="Times New Roman" w:hAnsi="Times New Roman" w:cs="Times New Roman"/>
          <w:sz w:val="24"/>
          <w:szCs w:val="24"/>
        </w:rPr>
        <w:t xml:space="preserve"> изразяващи </w:t>
      </w:r>
      <w:r w:rsidR="009A154E">
        <w:rPr>
          <w:rFonts w:ascii="Times New Roman" w:hAnsi="Times New Roman" w:cs="Times New Roman"/>
          <w:sz w:val="24"/>
          <w:szCs w:val="24"/>
        </w:rPr>
        <w:t xml:space="preserve">повишаването на активността в глобалното геополитическо противоборство – кризата в Р Украйна и гражданската война в Сирийската арабска република. </w:t>
      </w:r>
      <w:r w:rsidR="000D33C0">
        <w:rPr>
          <w:rFonts w:ascii="Times New Roman" w:hAnsi="Times New Roman" w:cs="Times New Roman"/>
          <w:sz w:val="24"/>
          <w:szCs w:val="24"/>
        </w:rPr>
        <w:t>Въпреки че втората попада извън пространствения обхват на изследването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0D33C0">
        <w:rPr>
          <w:rFonts w:ascii="Times New Roman" w:hAnsi="Times New Roman" w:cs="Times New Roman"/>
          <w:sz w:val="24"/>
          <w:szCs w:val="24"/>
        </w:rPr>
        <w:t xml:space="preserve"> ефектите от нея засягат пряко интересуващата ни част на европейския континент. </w:t>
      </w:r>
      <w:r w:rsidR="003248C0">
        <w:rPr>
          <w:rFonts w:ascii="Times New Roman" w:hAnsi="Times New Roman" w:cs="Times New Roman"/>
          <w:sz w:val="24"/>
          <w:szCs w:val="24"/>
        </w:rPr>
        <w:t>Този текст няма да представя историческото развитие на горепосочените процеси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3248C0">
        <w:rPr>
          <w:rFonts w:ascii="Times New Roman" w:hAnsi="Times New Roman" w:cs="Times New Roman"/>
          <w:sz w:val="24"/>
          <w:szCs w:val="24"/>
        </w:rPr>
        <w:t xml:space="preserve"> </w:t>
      </w:r>
      <w:r w:rsidR="00435268">
        <w:rPr>
          <w:rFonts w:ascii="Times New Roman" w:hAnsi="Times New Roman" w:cs="Times New Roman"/>
          <w:sz w:val="24"/>
          <w:szCs w:val="24"/>
        </w:rPr>
        <w:t>поради ограниченията относно неговия обем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435268">
        <w:rPr>
          <w:rFonts w:ascii="Times New Roman" w:hAnsi="Times New Roman" w:cs="Times New Roman"/>
          <w:sz w:val="24"/>
          <w:szCs w:val="24"/>
        </w:rPr>
        <w:t xml:space="preserve"> а ще се фокусира </w:t>
      </w:r>
      <w:r w:rsidR="000B1036">
        <w:rPr>
          <w:rFonts w:ascii="Times New Roman" w:hAnsi="Times New Roman" w:cs="Times New Roman"/>
          <w:sz w:val="24"/>
          <w:szCs w:val="24"/>
        </w:rPr>
        <w:t xml:space="preserve">единствено </w:t>
      </w:r>
      <w:r w:rsidR="00435268">
        <w:rPr>
          <w:rFonts w:ascii="Times New Roman" w:hAnsi="Times New Roman" w:cs="Times New Roman"/>
          <w:sz w:val="24"/>
          <w:szCs w:val="24"/>
        </w:rPr>
        <w:t xml:space="preserve">върху техния анализ. </w:t>
      </w:r>
      <w:r w:rsidR="000B1036">
        <w:rPr>
          <w:rFonts w:ascii="Times New Roman" w:hAnsi="Times New Roman" w:cs="Times New Roman"/>
          <w:sz w:val="24"/>
          <w:szCs w:val="24"/>
        </w:rPr>
        <w:t>В това отношение следва да се отбележи</w:t>
      </w:r>
      <w:r w:rsidR="00A93427">
        <w:rPr>
          <w:rFonts w:ascii="Times New Roman" w:hAnsi="Times New Roman" w:cs="Times New Roman"/>
          <w:sz w:val="24"/>
          <w:szCs w:val="24"/>
        </w:rPr>
        <w:t>,</w:t>
      </w:r>
      <w:r w:rsidR="000B1036">
        <w:rPr>
          <w:rFonts w:ascii="Times New Roman" w:hAnsi="Times New Roman" w:cs="Times New Roman"/>
          <w:sz w:val="24"/>
          <w:szCs w:val="24"/>
        </w:rPr>
        <w:t xml:space="preserve"> че </w:t>
      </w:r>
      <w:r w:rsidR="00303C65">
        <w:rPr>
          <w:rFonts w:ascii="Times New Roman" w:hAnsi="Times New Roman" w:cs="Times New Roman"/>
          <w:sz w:val="24"/>
          <w:szCs w:val="24"/>
        </w:rPr>
        <w:t>предлаганите по-долу разсъждения</w:t>
      </w:r>
      <w:r w:rsidR="000B1036">
        <w:rPr>
          <w:rFonts w:ascii="Times New Roman" w:hAnsi="Times New Roman" w:cs="Times New Roman"/>
          <w:sz w:val="24"/>
          <w:szCs w:val="24"/>
        </w:rPr>
        <w:t xml:space="preserve"> се основава</w:t>
      </w:r>
      <w:r w:rsidR="00303C65">
        <w:rPr>
          <w:rFonts w:ascii="Times New Roman" w:hAnsi="Times New Roman" w:cs="Times New Roman"/>
          <w:sz w:val="24"/>
          <w:szCs w:val="24"/>
        </w:rPr>
        <w:t>т</w:t>
      </w:r>
      <w:r w:rsidR="000B1036">
        <w:rPr>
          <w:rFonts w:ascii="Times New Roman" w:hAnsi="Times New Roman" w:cs="Times New Roman"/>
          <w:sz w:val="24"/>
          <w:szCs w:val="24"/>
        </w:rPr>
        <w:t xml:space="preserve"> на проучването на </w:t>
      </w:r>
      <w:r w:rsidR="00303C65">
        <w:rPr>
          <w:rFonts w:ascii="Times New Roman" w:hAnsi="Times New Roman" w:cs="Times New Roman"/>
          <w:sz w:val="24"/>
          <w:szCs w:val="24"/>
        </w:rPr>
        <w:t xml:space="preserve">244 източника. </w:t>
      </w:r>
    </w:p>
    <w:p w:rsidR="009A154E" w:rsidRDefault="009A154E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4866" w:rsidRPr="00083466" w:rsidRDefault="009D4866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083466">
        <w:rPr>
          <w:rFonts w:ascii="Times New Roman" w:hAnsi="Times New Roman" w:cs="Times New Roman"/>
          <w:b/>
          <w:sz w:val="24"/>
          <w:szCs w:val="24"/>
        </w:rPr>
        <w:t xml:space="preserve">Основни фактори за динамиката на сигурността в Междинна Европа (2013-2016 г.) </w:t>
      </w:r>
    </w:p>
    <w:p w:rsidR="009D4866" w:rsidRPr="009D4866" w:rsidRDefault="009A14C0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част на доклада ще се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очертаят четири фактора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от които зависи ситуацията в Междинна Европа понастоящем. На първо място</w:t>
      </w:r>
      <w:r w:rsidR="00AE3DCB">
        <w:rPr>
          <w:rFonts w:ascii="Times New Roman" w:hAnsi="Times New Roman" w:cs="Times New Roman"/>
          <w:sz w:val="24"/>
          <w:szCs w:val="24"/>
        </w:rPr>
        <w:t xml:space="preserve"> следва да се отбележи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AE3DCB">
        <w:rPr>
          <w:rFonts w:ascii="Times New Roman" w:hAnsi="Times New Roman" w:cs="Times New Roman"/>
          <w:sz w:val="24"/>
          <w:szCs w:val="24"/>
        </w:rPr>
        <w:t xml:space="preserve"> че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</w:t>
      </w:r>
      <w:r w:rsidR="009D4866" w:rsidRPr="009D4866">
        <w:rPr>
          <w:rFonts w:ascii="Times New Roman" w:hAnsi="Times New Roman" w:cs="Times New Roman"/>
          <w:sz w:val="24"/>
          <w:szCs w:val="24"/>
        </w:rPr>
        <w:lastRenderedPageBreak/>
        <w:t>Европейския съюз остава неспособен да реагира спрямо намесите в неговата периферия. Амбициозните цели на Европейската политика за съседство и описаните в Европейската стратегия за сигурност от 2003 г. стратегически приоритети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свързани с изграждането на сигурност в съседните на ЕС региони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се провалиха. ЕС отново доказа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загубени след 1991 г.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нито на интересите на САЩ в Близкия изток. „Пръстенът“ от държави с добро управление в непосредственото обкръжение на ЕС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="009D4866" w:rsidRPr="009D4866">
        <w:rPr>
          <w:rFonts w:ascii="Times New Roman" w:hAnsi="Times New Roman" w:cs="Times New Roman"/>
          <w:sz w:val="24"/>
          <w:szCs w:val="24"/>
        </w:rPr>
        <w:t xml:space="preserve"> така и не се появи.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Конфронтацията по линията Вашингтон – Москва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бележеща началото на представяния тук период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превърна държавите-членки на ЕС в зрител на случващото се в източните части на Междинна Европа и в Близкия изток и Северна Африка като цяло. Конфликтите там влияят пряко върху тяхната конкурентоспособност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оттам и върху относителното им тегло. Въпреки това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да са налице институционални механизми (чл. 42 от ДЕС, чл. 46 от ДЕС, чл. 222 от ДФЕС)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Европейския съюз запазва ролята си в най-добрия случай на икономически участник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който всеки съставящ го елемент самостоятелно търси гарантирането на своята сигурност. Подобно поведение обаче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може да представлява контрапункт на действията на САЩ и Руската федерация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което неизбежно европейските държави се превръщат по-скоро в обект на намесите на тези два доминиращи геополитически участника.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Това състояние е далеч по-отчетливо сред държавите-членки на ЕС от Междинна Европа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са принудени да се съобразяват с интересите на външните участници в този геополитически регион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изработването на общ подход спрямо зоните на конфликт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породени от опитите за създаване на ново равновесие в глобалното конкурентно пространство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остава твърде далечна перспектива. Дори участниците с висок потенциал на намеса от Западна и Централна Европа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успяват да установят водещата си позиция в рамките на Междинна Европа. Доколкото това положение е налице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трудно Европейския съюз може да бъде възприеман в качеството на обособен участник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чиито намеси са сходни с тези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осъществявани от САЩ и Руската федерация. Следователно към настоящия момент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ограниченията пред повишаването на единството на ЕС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придобиват ролята на фактор</w:t>
      </w:r>
      <w:r w:rsidR="005A290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насочващ динамиката на сигурността в интересуващата ни част от Стария континент.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На второ място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Руската федерация засилва във все по-голяма степен своето влияние спрямо Междинна Европа. Нейното относително тегло постепенно се повиши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през изминалите 16 години и ѝ позволи да пристъпи към действия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целящи нарушаване на геополитическото равновесие</w:t>
      </w:r>
      <w:r w:rsidR="00727FFD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непосредствено с</w:t>
      </w:r>
      <w:r w:rsidR="00727FFD">
        <w:rPr>
          <w:rFonts w:ascii="Times New Roman" w:hAnsi="Times New Roman" w:cs="Times New Roman"/>
          <w:sz w:val="24"/>
          <w:szCs w:val="24"/>
        </w:rPr>
        <w:t>л</w:t>
      </w:r>
      <w:r w:rsidRPr="009D4866">
        <w:rPr>
          <w:rFonts w:ascii="Times New Roman" w:hAnsi="Times New Roman" w:cs="Times New Roman"/>
          <w:sz w:val="24"/>
          <w:szCs w:val="24"/>
        </w:rPr>
        <w:t>ед края на Студената война. Москва организира намеси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както в Р Украйна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така и в Сирия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демонстрираха нейната готовност да използва своите военни способности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 да насочи хода на събитията в тези две конфликтни зони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русло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отговарящо на националните ѝ интереси. Тези събития се явяват изразител на стремеж за изменение на баланса на силите между доминиращите геополитически сили и разкриват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САЩ от 2013 г. насам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са изправени пред нова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Руската федерация не отбягва предизвикателствата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напротив – повишава техния залог.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Енергийната зависимост на ЕС от руската държава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прави невъзможно втората да бъде изключена от глобалните икономически процеси. Цената на руските енергоносители и най-вече на природния газ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предопределят доколко конкурентни биха били европейските стоки на международния пазар. Поради тази причина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въпреки че Москва е загубила своите сателити в рамките на Междинна Европа отпреди 1989 г.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тя не се намира в по-лоша изходна позиция. В резултат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Руската федерация понастоящем се възползва от свободата на изолирания и отстоява своите геополитически амбиции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без на свой ред да понася щети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биха могли да я дестабилизират в степен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политическото ѝ ръководство да бъде застрашено от подмяна. Безспорно санкциите въведени срещу Русия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отразяват върху нейното икономическо състояние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междувременно и държавите-членки на ЕС се оказват в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по-скоро понасят загуби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отколкото да постигат по-благоприятни условия в непосредственото си обкръжение. При това положение Руската федерация запазва средствата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чрез които да продължи действията 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насочени към промяна на статуквото между доминиращите геополитически участници.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Третият фактор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който зависи динамиката на сигурността в Междинна Европа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произлиза от позицията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която се намират към момента САЩ. Предстоящите на 8 ноември 2016 г. президентски избори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поставят този участник в ситуация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той няма да бъде толкова активен в двете зони на конфликт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които е въвлечен. Вашингтон изчаква осъществяването на предстоящата промяна на политическото му ръководство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преди да пристъпи към увеличаване на интензивността на своите намеси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тяхната насоченост би могла да се промени в една или друга степен в резултат на избора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следва да бъде направен. Едва след встъпването в длъжност на новия президент на САЩ на 20 януари 2017 г. тази държава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безспорно притежаваща най-висок потенциал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на намеса в глобалното конкурентно пространство</w:t>
      </w:r>
      <w:r w:rsidR="00765D3E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се заеме с осигуряването на по-изгодно за нея геополитическо равновесие.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 всички положения настоящото статукво в Р Украйна не е изгодно за САЩ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поради което те с висока степен на вероятност ще насочат своите усилия към динамизиране на ситуацията в тази държава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 оглед ако не връщане на положението отпреди февруари 2014 г.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 поне повишаване на цената която Руската федерация следва да заплати за своите придобивки. Конфликтът в Донбас влиза в ролята на основното препятствие пред откриване на пътя към евентуално интегриране на Р Украйна в ЕС и НАТО. Поради тази причина резултатът от предстоящите избори не следва да бъде възприеман като притежаващ потенциал да измени драстично приоритетите на САЩ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те произлизат от необходимостта тази държава да отстоява своята водеща позиция в глобалното конкурентно пространство.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Следователно Вашингтон ще се опита да се противопостави на стремежите на Руската федерация за „замразяване“ на този конфликт и ще търси варианти за неговото окончателно разрешаване. Към момента хода на събитията в Р Украйна от ноември 2013 г. насам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допринася за повишаване на влиянието на САЩ в тази част на Междинна Европа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нито променя характера на този вътрешен за региона участник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продължава да представлява буферна зона. Всъщност противопоставянето по линията Вашингтон – Москва в рамките на украинската държава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винаги е било насочено към установяване на такова политическо ръководство в Киев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да служи в качеството си на инструмент за прокарване на интересите на съответната доминираща геополитическа сила.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 това положение действията на САЩ свързани с откъсване на Р Украйна от геополитическата орбита на Руската федерация не са успешни и единствено са довели до загуби към настоящия момент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Кремъл да е изправен пред перспективата на засилваща се политическа изолация. Горното разкрива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Вашингтон веднъж оказал се в ситуация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трябва да организира намеси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 да утвърди позициите си в глобалното конкурентно пространство (без значение какъв е нейният произход) и чийто залог е равновесието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след края на Студената война в Междинна Европа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може да си позволи да се оттегли докато все още не е постигнал поне частично своите национални интереси. Всеки друг вариант би бил нелогичен</w:t>
      </w:r>
      <w:r w:rsidR="00220AAF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стига ако кризата в Украйна не се възприеме като можеща да доведе единствено до нови негативни за САЩ последици.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lastRenderedPageBreak/>
        <w:t>В това отношение обаче следва да се отчете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и за Руската федерация евентуален разпад на украинската държава не е изгоден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ще я премахне като буфер и тогава дори Москва да установи контрол върху нейните източни територии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няма да компенсира почти сигурното присъединяване на останалите ѝ части към ЕС и НАТО. Горепосоченото разкрива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Вашингтон може да си позволи повишаване на интензивността на конфликта в Донбас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в рамки при които е малко вероятно Източна Украйна да последва Крим. Безспорно за САЩ подобен ход на събитията не съдържа преки негативни последици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може да се отрази върху стабилността на останалите вътрешни участници в региона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на свой ред би влошило способностите на тази държава да насочва политическите процеси в техните граници. Все пак както вече беше посочено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предстоящите избори зависи каква линия на поведение ще бъде възприета от САЩ и дали тя ще търси компромис с Москва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или напротив – изостряне на противопоставянето и недопускане на това Руската федерация да подобри положението си в геополитическото равновесие.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D4866">
        <w:rPr>
          <w:rFonts w:ascii="Times New Roman" w:hAnsi="Times New Roman" w:cs="Times New Roman"/>
          <w:sz w:val="24"/>
          <w:szCs w:val="24"/>
        </w:rPr>
        <w:t>Съединените щати към момента не демонстрират амбиции за динамизиране на ситуацията в Сирия и най-вероятно особено след събитията от 30 септември 2015 г. не разглеждат като реалистичен варианта за отстраняване на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качеството ѝ на външен участник в Близкия изток. При това положение за Вашингтон кюрдския въпрос се превръща в най-важния залог там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от него зависят отношенията с Р Турция и относителното тегло на последната. Тук отново САЩ са принудени да се съобразяват с действията на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понеже от нея зависи какво развитие ще се търси относно желанията на етническите кюрди в Сирия за получаване на автономен статут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слабо прикриващи крайната им цел за пълна независимост.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случая този въпрос попада извън полето на познавателен интерес на настоящия текст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е достатъчно да се отбележи че неговото разрешаване зависи от това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 какъв начин Вашингтон ще възприеме ценността на Р Турция за отстояването на своите интереси, ролята на Анкара за бъдещето на ЕС, вероятността кюрдска политико-териториална единица да се превърне в съюзник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позволяващ поддържане на желано равновесие в Близкия изток и съответно линията на поведение на Руската федерация спрямо Р</w:t>
      </w:r>
      <w:r w:rsidR="00D60F3A">
        <w:rPr>
          <w:rFonts w:ascii="Times New Roman" w:hAnsi="Times New Roman" w:cs="Times New Roman"/>
          <w:sz w:val="24"/>
          <w:szCs w:val="24"/>
        </w:rPr>
        <w:t xml:space="preserve"> Турция и кюрдските организации</w:t>
      </w:r>
      <w:r w:rsidR="00D60F3A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Pr="009D48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lastRenderedPageBreak/>
        <w:t>Гореизложеното разкрива и предпоставките за това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ролята на четвърти фактор от който зависи динамиката на сигурността в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да влиза турската република. За нея конфликта в Сирия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първоначално да представляваше възможност за постигане на по-добри условия в непосредственото ѝ обкръжение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 влошаването на отношенията с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 далеч по-екзистенциален характер. Поради тази причина Анкара се възползва от миграционния поток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 оглед използването му в качеството на политическо оръжие срещу ЕС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оттам засегна индиректно и интересите на САЩ.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Следователно натискът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Р Турция може да оказва спрямо Брюксел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ѝ позволява да търси реализиране на своите национални интереси и най-вече осигуряване на подкрепа за разрешаване на кюрдския въпрос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 изгоден за нея начин. Този четвърти фактор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макар и да е свързан с държава чието относително тегло е далеч по-ниско от това на САЩ и Руската федерация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притежава по-малко значение за динамиката на сигурността в Междинна Европа</w:t>
      </w:r>
      <w:r w:rsidR="00F96174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води до вторичния риск от навлизане на представители на терористични групировки в ЕС.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Взаимодействието между горепосочените четири фактора се намира в основата на хода на събитията в интересуващата ни част на европейския континент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през разглеждания тук период. Тези външни въздействия пряко произлизат от външнополитическия курс на две доминиращи геополитически сили и един участник с висок потенциал на намеса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докато ЕС все още въобще не може да бъде възприеман като единен център на сила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само по себе си е фактор за динамиката на сигурността в Междинна Европа. Отчитайки представеното по-горе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следва да отбележим че към момента в рамките на интересуващия ни геополитически регион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настъпил момент на временно затишие.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Държавата с най-високо относително тегло в света по вътрешнополитически причини</w:t>
      </w:r>
      <w:r w:rsidR="0097148A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изчаква преди да продължи със своите намеси в Р Украйна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превръщаща се в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зоната на конфликт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която в най-голяма степен зависи с какъв краен резултат ще завърши настоящото геополитическо неравновесно състояние. Това на свой ред отговаря на интересите на Руската федерация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не желае да повишава интензивността на военните действия в Донбас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вече си е осигурила политическите дивиденти от тяхното настъпване. Р Турция от своя страна също не е в състояние да предприеме самостоятелно намеси за гарантиране на своите национални интереси и е в ситуация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която отправя поглед към хода на развитие във Вашингтон и търси възможно най-широка подкрепа за справяне със заплахата от поява на кюрдска политико-териториална единица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включително и посредством контрола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може да упражнява върху натиска оказван от миграционния поток.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Междувременно Руската федерация продължава да заема позиции в Сирия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ѝ позволяват да определя ситуацията в тази държава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враждебността към Анкара извадена на повърхността най-отчетливо след 24 ноември 2015 г. (но не и появила се тогава)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прави малко вероятно сътрудничеството по тази линия. Въпреки това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пълната подредба на така очертаното положение изисква да се изчака увеличаването на активността на САЩ след 20 януари 2017 г.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посоката и интензивността на предприетите действия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предопределят поведението на останалите три фактора.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Гореизложеното разкрива по какъв начин външните участници насочват динамиката на сигурността в Междинна Европа. Те представляват основата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върху която се формира структурата на отношенията в рамките на този геополитически регион. Въпреки това разбирането на установената през разглеждания период подредба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както и вероятните ѝ изменения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изисква да се обърне внимание и на събитията които произлизат от поведението на вътрешните участници. При всички положения те не притежават структуроопределящо значение поне към момента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демонстрират по какъв начин тези държави с нисък потенциал на намеса</w:t>
      </w:r>
      <w:r w:rsidR="00170CA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реагират на неравновесното състояние станало все по-отчетливо след 2013 г.. </w:t>
      </w:r>
    </w:p>
    <w:p w:rsidR="009D4866" w:rsidRDefault="009D4866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866" w:rsidRPr="009D4866" w:rsidRDefault="009D4866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86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26C06">
        <w:rPr>
          <w:rFonts w:ascii="Times New Roman" w:hAnsi="Times New Roman" w:cs="Times New Roman"/>
          <w:b/>
          <w:sz w:val="24"/>
          <w:szCs w:val="24"/>
        </w:rPr>
        <w:t>Вътрешнорегионалната дин</w:t>
      </w:r>
      <w:r w:rsidR="009A14C0">
        <w:rPr>
          <w:rFonts w:ascii="Times New Roman" w:hAnsi="Times New Roman" w:cs="Times New Roman"/>
          <w:b/>
          <w:sz w:val="24"/>
          <w:szCs w:val="24"/>
        </w:rPr>
        <w:t>амика и нейното значение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Междинна Европа постепенно започват процеси на авторефлексия и осъзнаване на геополитическите особености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обединяват страните попадащи в тази зона. Вишеградската група продължава да представлява най-ясно открояващият се изразител на тази тенденция. Успоредно с това обаче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посоченото развитие не надхвърля появата единствено на точкови импулси. Перспективата за създаване на формат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 който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всички вътрешни участници в Междинна Европа биха могли да съгласуват своите политики в сферата на сигурността и отбраната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изглежда прекалено отдалечена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 известна степен и нереалистична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противоречи на интересите на всички доминиращи геополитически сили.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Р Полша остава вътрешният участник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чието относително тегло може да се превърне в основа за изграждане на подобен геополитически проект. Въпреки това крайната антируска позиция на Варшава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не бива споделяна от редица други намиращи се в Междинна Европа държави. Р Унгария от своя страна следва националистическа линия на поведение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не изключва сътрудничество с Руската федерация. В допълнение Будапеща запазва своите амбиции за предоставяне на гражданство на етническите унгарци в Сърбия, Румъния, Словакия и Украйна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което се отразява негативно върху отношенията ѝ с тези страни. Унгарското политическо ръководство възприема ЕС като неспособен да се справи с новите условия</w:t>
      </w:r>
      <w:r w:rsidR="000654EB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установили се по неговата периферия и търси варианти за отстояване на собствените си национални интереси в други формати.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Държавите в Югоизточна Европа на свой ред остават пасивни спрямо промяната на баланса на силите в глобалното геополитическо противоборство и двете изразяващи я в най-голяма степен зони на конфликт. Все пак може да се открои съществено различие спрямо външнополитическия им курс</w:t>
      </w:r>
      <w:r w:rsidR="00E653E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като Сърбия отчетливо заема позиции в интерес на Москва. Всъщност Белград явно демонстрира желание да запази ролята си на един от последните съюзници на Руската федерация в Междинна Европа</w:t>
      </w:r>
      <w:r w:rsidR="00E653E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наред с Беларус. Следователно в рамките на интересуващия ни геополитически регион се наблюдава нехомогенно поведение на вътрешните участници. Различията във възгледите относно мерките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трябва да се вземат с оглед намиране на решение на кризата в Украйна и на гражданската война в Сирийската арабска република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демонстрират доколко държавите там са неспособни да формират общ подход спрямо събитията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породени най-вече от конфронтиращите се геополитически амбиции на САЩ и Руската федерация.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Причините за горепосоченото състояние произлизат от факта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погледнат отвътре регионът не е сглобен. Държавите с нисък потенциал на намеса не успяват да очертаят достатъчно ясно природата на регионалното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което са част. Осъзнаването на това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Междинна Европа представлява подчинено, централно и външно балансирано регионално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предпоставка за предприемането на действия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насочени към ограничаване на външните зависимости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доколкото е възможно.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При всички положения разбирането от страна на вътрешните участници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въобще съществуват условия налагащи очертаването на геополитически регион с подобни граници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необходимо за да се пристъпи към формирането на общ подход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относно неизбежно споделяните предизвикателства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заплахи и рискове.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Към момента обаче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горепосоченото състояние не е налице и в най-добрия случай може да се говори за появата на групови участници в Междинна Европа. Превръщането на регионалното пространство в участник само по себе си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би следвало да представлява най-висшата цел за географски съставящите го държави. Въпреки това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такива процеси не се наблюдават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включително и поради факта че противоречат на интересите на доминиращите геополитически сили. Погледнат отвън регионът е с ясно очертани рамки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като страните с най-голямо относително тегло не само разбират неговата природа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я използват в качеството на средство за постигане на собствените си цели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далеч не се съобразяват с тези на държавите попадащи там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съюзните отношения както сега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така и в миналото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придобиват характер по-скоро на зависимости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взаимовръзки на сътрудничество или враждебност имат смисъл само между участници със сходен потенциал на намеса (доколкото не са налице обединяващи ги формати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постигащи действителен резултат относно изработването на единна политика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най-вече в сферата на сигурността и отбраната).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В допълнение следва да се отчете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геополитически видян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ЕС има претенция за това да представлява регион. За Междинна Европа обвързването с държавите от Западна и Централна Европа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притежаващи висок потенциал на намеса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явява изразител на най-подходящия ход на развитие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единствено той би могъл да промени природата на това регионално пространство. Имайки предвид обаче направеното по-горе уточнение относно сътрудничеството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 за да се реализира описаната подредба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Междинна Европа трябва първо да достигне до състояние на регион-участник. Тогава Европейския съюз ще получи възможност да се установи като обособен център на сила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контролиращ събитията по своята периферия.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Действително към момента ЕС също представлява регион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единствено политически. Междинна Европа на свой ред бива пространство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чието разбиране произлиза изцяло от геополитическите предпоставки. Природата на Западна и Централна Европа от гледна точка на пространствено-властовите способности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крайно различаваща се спрямо тази на Междинна Европа. Следователно залогът на настоящите събития в дългосрочен план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свързан с това дали Междинна Европа ще се разшири като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регион и съответно ще обхване останалите части на Стария континент и ще сложи край на възможностите за възстановяване на относителното му тегло отпреди XX век</w:t>
      </w:r>
      <w:r w:rsidR="00B94B97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или напротив – взаимноизгодното сътрудничество между държавите с нисък потенциал на намеса от Междинна Европа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ще доведе до превръщането им в присъстващ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който от своя страна да продължи интегрирането си със страните от Западна и Централна Европа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позволявайки появата на работещ геополитически проект (дори и той да е само континентален).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Успоредно с това формирането на сравнително по-нови елементи като Вишеградската група и Крайовската група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се превръща както в показател за наличието най-малкото на ограничени амбиции за организиране на региона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също така и в индикатор за неспособността на ЕС да защити интересите на своите членове от Междинна Европа (само една държава от тези два формата не е част от ЕС – Сърбия). В това отношение следва да се има предвид и невъзможността тези държави да постигнат действащ общ подход спрямо повечето външни въздействия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в първия случай поради унгарският национализъм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във втория поради стремежите на Белград да обвърже външнополитическия си курс с този на Руската федерация.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Междувременно като фактор от по-ниско значение за динамиката на сигурността в интересуващият ни геополитически регион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следва да се въведе и Дунавската стратегия на ЕС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от своето първо дефиниране в края на 2010 г. дава рамките на нов интеграционен проект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обхващащ 14 европейски държави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8 от които са държави-членки на Съюза</w:t>
      </w:r>
      <w:r w:rsidR="00553641">
        <w:rPr>
          <w:rStyle w:val="a9"/>
          <w:rFonts w:ascii="Times New Roman" w:hAnsi="Times New Roman" w:cs="Times New Roman"/>
          <w:sz w:val="24"/>
          <w:szCs w:val="24"/>
        </w:rPr>
        <w:footnoteReference w:id="3"/>
      </w:r>
      <w:r w:rsidRPr="009D4866">
        <w:rPr>
          <w:rFonts w:ascii="Times New Roman" w:hAnsi="Times New Roman" w:cs="Times New Roman"/>
          <w:sz w:val="24"/>
          <w:szCs w:val="24"/>
        </w:rPr>
        <w:t>. За разлика от стратегията на ЕС за региона на Балтийско море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Дунавската стратегия притежава в основата си действителни културни предпоставки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могат да повишат нейната ефективност. В известна степен Австрия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която притежава водеща позиция относно приоритетната област за увеличаване на институционалния капацитет и сътрудничеството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получава възможност да засили своето влияние спрямо територии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пряко или непряко са били обвързани в миналото с Хабсбургската монархия. Горното не следва да се преекспонира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но поставя въпроса доколко Виена има амбиции да се превърне отново във фактор за равновесието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установено в Междинна Европа. 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От представеното дотук става ясно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че в Междинна Европа към момента пространството се конфигурира в по-малки обеми. Тези субрегионални формати като Вишеградската група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постигат действителни резултати по отношение на </w:t>
      </w:r>
      <w:r w:rsidRPr="009D4866">
        <w:rPr>
          <w:rFonts w:ascii="Times New Roman" w:hAnsi="Times New Roman" w:cs="Times New Roman"/>
          <w:sz w:val="24"/>
          <w:szCs w:val="24"/>
        </w:rPr>
        <w:lastRenderedPageBreak/>
        <w:t>предизвикателствата, заплахите и рисковете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съпътстващи миграционният натиск идващ от Северна Африка и Близкия изток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докато Брюксел остава неспособен да реагира. Колкото повече се достига до състояние на загуба на равновесие в региона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толкова по-активни стават груповите действия в неговите рамки. Описаното е ясен показател за слабото развитие на ЕС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от гледна точка на изграждането на способности за справяне с кризисните ситуации</w:t>
      </w:r>
      <w:r w:rsidR="009B1865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настъпващи в непосредственото му обкръжение. </w:t>
      </w:r>
    </w:p>
    <w:p w:rsidR="00864D01" w:rsidRDefault="00864D01" w:rsidP="00864D01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D01" w:rsidRPr="00864D01" w:rsidRDefault="00864D01" w:rsidP="00864D01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F2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864D01">
        <w:rPr>
          <w:rFonts w:ascii="Times New Roman" w:hAnsi="Times New Roman" w:cs="Times New Roman"/>
          <w:b/>
          <w:sz w:val="24"/>
          <w:szCs w:val="24"/>
        </w:rPr>
        <w:t>. Заключение</w:t>
      </w:r>
    </w:p>
    <w:p w:rsidR="009D4866" w:rsidRPr="009D4866" w:rsidRDefault="009D4866" w:rsidP="00397BA5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866">
        <w:rPr>
          <w:rFonts w:ascii="Times New Roman" w:hAnsi="Times New Roman" w:cs="Times New Roman"/>
          <w:sz w:val="24"/>
          <w:szCs w:val="24"/>
        </w:rPr>
        <w:t>Скоростта с която се променя средата на сигурност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е много по-висока от тази на еволюционните процеси в Европейския съюз. Междувременно напрежението по неговата периферия се увеличава. Геополитическият регион попадащ в полето на познавателен интерес на настоящия текст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зависи в най-голяма степен от намесите на Брюксел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а понастоящем тяхното отсъствие е значителен негативен фактор за сигурността на държавите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намиращи се там. Трите страни с висок потенциал на намеса от Западна и Централна Европа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реагират много по-бързо спрямо въздействия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които ги засягат пряко. Това обаче остава неадекватен подход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тъй като прекаленото отслабване на Междинна Европа и подчиняването на ситуацията в нейните рамки изцяло на САЩ и Руската федерация</w:t>
      </w:r>
      <w:r w:rsidR="00B347F2">
        <w:rPr>
          <w:rFonts w:ascii="Times New Roman" w:hAnsi="Times New Roman" w:cs="Times New Roman"/>
          <w:sz w:val="24"/>
          <w:szCs w:val="24"/>
        </w:rPr>
        <w:t>,</w:t>
      </w:r>
      <w:r w:rsidRPr="009D4866">
        <w:rPr>
          <w:rFonts w:ascii="Times New Roman" w:hAnsi="Times New Roman" w:cs="Times New Roman"/>
          <w:sz w:val="24"/>
          <w:szCs w:val="24"/>
        </w:rPr>
        <w:t xml:space="preserve"> няма да позволи появата на общоевропейски геополитически проект. </w:t>
      </w:r>
    </w:p>
    <w:p w:rsidR="00194060" w:rsidRDefault="00194060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060" w:rsidRDefault="00194060" w:rsidP="00397BA5">
      <w:pPr>
        <w:spacing w:after="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Използвана литература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194060" w:rsidRDefault="001B6F57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B6F57">
        <w:rPr>
          <w:rFonts w:ascii="Times New Roman" w:hAnsi="Times New Roman" w:cs="Times New Roman"/>
          <w:sz w:val="24"/>
          <w:szCs w:val="24"/>
          <w:lang w:val="en-US"/>
        </w:rPr>
        <w:t xml:space="preserve">Hogeforster, M. Strategy Programme for innovation in regional policies in the Baltic Sea Region. </w:t>
      </w:r>
      <w:r w:rsidRPr="00253B70">
        <w:rPr>
          <w:rFonts w:ascii="Times New Roman" w:hAnsi="Times New Roman" w:cs="Times New Roman"/>
          <w:sz w:val="24"/>
          <w:szCs w:val="24"/>
          <w:lang w:val="fr-FR"/>
        </w:rPr>
        <w:t>Hamburg. Baltic Sea Academy. 2011.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049" w:rsidRPr="005B2B77" w:rsidRDefault="00BD6049" w:rsidP="00397BA5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049">
        <w:rPr>
          <w:rFonts w:ascii="Times New Roman" w:hAnsi="Times New Roman" w:cs="Times New Roman"/>
          <w:sz w:val="24"/>
          <w:szCs w:val="24"/>
          <w:lang w:val="fr-FR"/>
        </w:rPr>
        <w:t>2.</w:t>
      </w:r>
      <w:r w:rsidRPr="00AA4956">
        <w:rPr>
          <w:rFonts w:ascii="Times New Roman" w:hAnsi="Times New Roman" w:cs="Times New Roman"/>
          <w:sz w:val="24"/>
          <w:szCs w:val="24"/>
          <w:lang w:val="fr-FR"/>
        </w:rPr>
        <w:t xml:space="preserve"> Lacoste, Y., B. Giblin. Géohistoire de l'Europe médi</w:t>
      </w:r>
      <w:r w:rsidR="005B2B77">
        <w:rPr>
          <w:rFonts w:ascii="Times New Roman" w:hAnsi="Times New Roman" w:cs="Times New Roman"/>
          <w:sz w:val="24"/>
          <w:szCs w:val="24"/>
          <w:lang w:val="fr-FR"/>
        </w:rPr>
        <w:t>ane. Paris. La Découverte. 1998.</w:t>
      </w:r>
      <w:r w:rsidR="005B2B7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6049" w:rsidRPr="005B2B7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445" w:rsidRDefault="00251445" w:rsidP="00551075">
      <w:pPr>
        <w:spacing w:after="0" w:line="240" w:lineRule="auto"/>
      </w:pPr>
      <w:r>
        <w:separator/>
      </w:r>
    </w:p>
  </w:endnote>
  <w:endnote w:type="continuationSeparator" w:id="0">
    <w:p w:rsidR="00251445" w:rsidRDefault="00251445" w:rsidP="0055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790181"/>
      <w:docPartObj>
        <w:docPartGallery w:val="Page Numbers (Bottom of Page)"/>
        <w:docPartUnique/>
      </w:docPartObj>
    </w:sdtPr>
    <w:sdtEndPr/>
    <w:sdtContent>
      <w:p w:rsidR="00551075" w:rsidRDefault="00551075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1075" w:rsidRDefault="0055107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50B83" w:rsidRPr="00950B83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551075" w:rsidRDefault="0055107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50B83" w:rsidRPr="00950B83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445" w:rsidRDefault="00251445" w:rsidP="00551075">
      <w:pPr>
        <w:spacing w:after="0" w:line="240" w:lineRule="auto"/>
      </w:pPr>
      <w:r>
        <w:separator/>
      </w:r>
    </w:p>
  </w:footnote>
  <w:footnote w:type="continuationSeparator" w:id="0">
    <w:p w:rsidR="00251445" w:rsidRDefault="00251445" w:rsidP="00551075">
      <w:pPr>
        <w:spacing w:after="0" w:line="240" w:lineRule="auto"/>
      </w:pPr>
      <w:r>
        <w:continuationSeparator/>
      </w:r>
    </w:p>
  </w:footnote>
  <w:footnote w:id="1">
    <w:p w:rsidR="00BD6049" w:rsidRPr="00253B70" w:rsidRDefault="00BD6049">
      <w:pPr>
        <w:pStyle w:val="a7"/>
        <w:rPr>
          <w:lang w:val="ru-RU"/>
        </w:rPr>
      </w:pPr>
      <w:r>
        <w:rPr>
          <w:rStyle w:val="a9"/>
        </w:rPr>
        <w:footnoteRef/>
      </w:r>
      <w:r>
        <w:t xml:space="preserve"> По-подробно за това понятие виж </w:t>
      </w:r>
      <w:r w:rsidRPr="00BD6049">
        <w:rPr>
          <w:lang w:val="fr-FR"/>
        </w:rPr>
        <w:t>Lacoste</w:t>
      </w:r>
      <w:r w:rsidRPr="00253B70">
        <w:rPr>
          <w:lang w:val="ru-RU"/>
        </w:rPr>
        <w:t xml:space="preserve">, </w:t>
      </w:r>
      <w:r w:rsidRPr="00BD6049">
        <w:rPr>
          <w:lang w:val="fr-FR"/>
        </w:rPr>
        <w:t>Y</w:t>
      </w:r>
      <w:r w:rsidRPr="00253B70">
        <w:rPr>
          <w:lang w:val="ru-RU"/>
        </w:rPr>
        <w:t xml:space="preserve">., </w:t>
      </w:r>
      <w:r w:rsidRPr="00BD6049">
        <w:rPr>
          <w:lang w:val="fr-FR"/>
        </w:rPr>
        <w:t>B</w:t>
      </w:r>
      <w:r w:rsidRPr="00253B70">
        <w:rPr>
          <w:lang w:val="ru-RU"/>
        </w:rPr>
        <w:t xml:space="preserve">. </w:t>
      </w:r>
      <w:r w:rsidRPr="00BD6049">
        <w:rPr>
          <w:lang w:val="fr-FR"/>
        </w:rPr>
        <w:t>Giblin</w:t>
      </w:r>
      <w:r w:rsidRPr="00253B70">
        <w:rPr>
          <w:lang w:val="ru-RU"/>
        </w:rPr>
        <w:t xml:space="preserve">. </w:t>
      </w:r>
      <w:r w:rsidRPr="00BD6049">
        <w:rPr>
          <w:lang w:val="fr-FR"/>
        </w:rPr>
        <w:t>Géohistoire de l'Europe médiane. Paris. La</w:t>
      </w:r>
      <w:r w:rsidRPr="00253B70">
        <w:rPr>
          <w:lang w:val="ru-RU"/>
        </w:rPr>
        <w:t xml:space="preserve"> </w:t>
      </w:r>
      <w:r w:rsidRPr="00BD6049">
        <w:rPr>
          <w:lang w:val="fr-FR"/>
        </w:rPr>
        <w:t>D</w:t>
      </w:r>
      <w:r w:rsidRPr="00253B70">
        <w:rPr>
          <w:lang w:val="ru-RU"/>
        </w:rPr>
        <w:t>é</w:t>
      </w:r>
      <w:r w:rsidRPr="00BD6049">
        <w:rPr>
          <w:lang w:val="fr-FR"/>
        </w:rPr>
        <w:t>couverte</w:t>
      </w:r>
      <w:r w:rsidRPr="00253B70">
        <w:rPr>
          <w:lang w:val="ru-RU"/>
        </w:rPr>
        <w:t>. 1998.</w:t>
      </w:r>
      <w:r>
        <w:t xml:space="preserve"> с. </w:t>
      </w:r>
      <w:r w:rsidRPr="00253B70">
        <w:rPr>
          <w:lang w:val="ru-RU"/>
        </w:rPr>
        <w:t xml:space="preserve">5-7 </w:t>
      </w:r>
    </w:p>
  </w:footnote>
  <w:footnote w:id="2">
    <w:p w:rsidR="00D60F3A" w:rsidRDefault="00D60F3A">
      <w:pPr>
        <w:pStyle w:val="a7"/>
      </w:pPr>
      <w:r>
        <w:rPr>
          <w:rStyle w:val="a9"/>
        </w:rPr>
        <w:footnoteRef/>
      </w:r>
      <w:r>
        <w:t xml:space="preserve"> </w:t>
      </w:r>
      <w:r w:rsidRPr="00D60F3A">
        <w:t>Безспорно Руската федерация е изправена пред предизвикателството да балансира интересите на кюрдите в Сирия и тези на Башар ал-Асад</w:t>
      </w:r>
      <w:r w:rsidR="00F96174">
        <w:t>,</w:t>
      </w:r>
      <w:r w:rsidRPr="00D60F3A">
        <w:t xml:space="preserve"> но липсата на пространство за маневриране на последния позволява на Москва да насочва хода на събитията по желан от нея начин. </w:t>
      </w:r>
      <w:r w:rsidR="00950B83">
        <w:t>В допълнение</w:t>
      </w:r>
      <w:r w:rsidR="00F96174">
        <w:t>,</w:t>
      </w:r>
      <w:r w:rsidRPr="00D60F3A">
        <w:t xml:space="preserve"> следва да се подчертае</w:t>
      </w:r>
      <w:r w:rsidR="00F96174">
        <w:t>,</w:t>
      </w:r>
      <w:r w:rsidRPr="00D60F3A">
        <w:t xml:space="preserve"> че кюрдския въпрос притежава потенциала да промени политическите граници на четири държави – Сирия, Ирак, Иран и Турция. При това положение евентуална подкрепа за създаване на независим Кюрдистан</w:t>
      </w:r>
      <w:r w:rsidR="00F96174">
        <w:t>,</w:t>
      </w:r>
      <w:r w:rsidRPr="00D60F3A">
        <w:t xml:space="preserve"> може да доведе до появата на участник притежаващ значително относително тегло на регионално равнище</w:t>
      </w:r>
      <w:r w:rsidR="00F96174">
        <w:t>,</w:t>
      </w:r>
      <w:r w:rsidRPr="00D60F3A">
        <w:t xml:space="preserve"> а оттам и разполагащ със способности да играе ролята на средство за постигане на целите</w:t>
      </w:r>
      <w:r w:rsidR="00F96174">
        <w:t>,</w:t>
      </w:r>
      <w:r w:rsidRPr="00D60F3A">
        <w:t xml:space="preserve"> преследвани от доминиращите геополитически сили. Както Руската федерация</w:t>
      </w:r>
      <w:r w:rsidR="00F96174">
        <w:t>,</w:t>
      </w:r>
      <w:r w:rsidRPr="00D60F3A">
        <w:t xml:space="preserve"> така и САЩ</w:t>
      </w:r>
      <w:r w:rsidR="00F96174">
        <w:t>,</w:t>
      </w:r>
      <w:r w:rsidRPr="00D60F3A">
        <w:t xml:space="preserve"> могат да използват кюрдите за да създадат желано от тях равновесие в Близкия изток</w:t>
      </w:r>
      <w:r w:rsidR="00F96174">
        <w:t>,</w:t>
      </w:r>
      <w:r w:rsidRPr="00D60F3A">
        <w:t xml:space="preserve"> а това на свой ред поражда безпокойство в Анкара. Успоредно с това</w:t>
      </w:r>
      <w:r w:rsidR="00F96174">
        <w:t>,</w:t>
      </w:r>
      <w:r w:rsidRPr="00D60F3A">
        <w:t xml:space="preserve"> Израел възприема появата на кюрдска политико-териториална единица като възможност за отслабване на своите регионални конкуренти</w:t>
      </w:r>
      <w:r w:rsidR="00F96174">
        <w:t>,</w:t>
      </w:r>
      <w:r w:rsidRPr="00D60F3A">
        <w:t xml:space="preserve"> а находището на природен газ „Левиатан“</w:t>
      </w:r>
      <w:r w:rsidR="00F96174">
        <w:t>,</w:t>
      </w:r>
      <w:r w:rsidRPr="00D60F3A">
        <w:t xml:space="preserve"> позволява на тази държава да се намеси при формирането на отношенията между Вашингтон</w:t>
      </w:r>
      <w:r w:rsidR="00F96174">
        <w:t>,</w:t>
      </w:r>
      <w:r w:rsidRPr="00D60F3A">
        <w:t xml:space="preserve"> Москва</w:t>
      </w:r>
      <w:r w:rsidR="00F96174">
        <w:t>,</w:t>
      </w:r>
      <w:r w:rsidRPr="00D60F3A">
        <w:t xml:space="preserve"> Анкара и Техеран (б.а.)</w:t>
      </w:r>
      <w:r>
        <w:t xml:space="preserve"> </w:t>
      </w:r>
    </w:p>
  </w:footnote>
  <w:footnote w:id="3">
    <w:p w:rsidR="00553641" w:rsidRPr="00553641" w:rsidRDefault="00553641">
      <w:pPr>
        <w:pStyle w:val="a7"/>
      </w:pPr>
      <w:r>
        <w:rPr>
          <w:rStyle w:val="a9"/>
        </w:rPr>
        <w:footnoteRef/>
      </w:r>
      <w:r>
        <w:t xml:space="preserve"> </w:t>
      </w:r>
      <w:r w:rsidRPr="00553641">
        <w:rPr>
          <w:lang w:val="en-US"/>
        </w:rPr>
        <w:t>Hogeforster, M. Strategy Programme for innovation in regional policies in the Baltic Sea Region. Hamburg. Baltic Sea Academy. 2011.</w:t>
      </w:r>
      <w:r>
        <w:t xml:space="preserve"> с. 49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0B"/>
    <w:rsid w:val="00026C06"/>
    <w:rsid w:val="000654EB"/>
    <w:rsid w:val="00083466"/>
    <w:rsid w:val="00085429"/>
    <w:rsid w:val="0009485D"/>
    <w:rsid w:val="000B1036"/>
    <w:rsid w:val="000B3D77"/>
    <w:rsid w:val="000D202C"/>
    <w:rsid w:val="000D33C0"/>
    <w:rsid w:val="000D3DF4"/>
    <w:rsid w:val="000F3A3B"/>
    <w:rsid w:val="00170CA5"/>
    <w:rsid w:val="00194060"/>
    <w:rsid w:val="001B6F57"/>
    <w:rsid w:val="001C5E66"/>
    <w:rsid w:val="0021493F"/>
    <w:rsid w:val="00220779"/>
    <w:rsid w:val="00220AAF"/>
    <w:rsid w:val="00246258"/>
    <w:rsid w:val="00251445"/>
    <w:rsid w:val="00253B70"/>
    <w:rsid w:val="002B55B2"/>
    <w:rsid w:val="002B7B0F"/>
    <w:rsid w:val="002D49B4"/>
    <w:rsid w:val="00303C65"/>
    <w:rsid w:val="003248C0"/>
    <w:rsid w:val="00325F83"/>
    <w:rsid w:val="00397BA5"/>
    <w:rsid w:val="003C6FD2"/>
    <w:rsid w:val="00400E97"/>
    <w:rsid w:val="004270CC"/>
    <w:rsid w:val="00435268"/>
    <w:rsid w:val="00470D40"/>
    <w:rsid w:val="00487B17"/>
    <w:rsid w:val="004C160F"/>
    <w:rsid w:val="004D098C"/>
    <w:rsid w:val="004E39A7"/>
    <w:rsid w:val="00521E1B"/>
    <w:rsid w:val="00551075"/>
    <w:rsid w:val="00553641"/>
    <w:rsid w:val="005A290B"/>
    <w:rsid w:val="005B2B77"/>
    <w:rsid w:val="006D2E0B"/>
    <w:rsid w:val="00711AC4"/>
    <w:rsid w:val="00727FFD"/>
    <w:rsid w:val="00765D3E"/>
    <w:rsid w:val="007E2760"/>
    <w:rsid w:val="00820829"/>
    <w:rsid w:val="0085056D"/>
    <w:rsid w:val="00864D01"/>
    <w:rsid w:val="00875CB5"/>
    <w:rsid w:val="00893C99"/>
    <w:rsid w:val="008C4FDE"/>
    <w:rsid w:val="009060FD"/>
    <w:rsid w:val="009158F4"/>
    <w:rsid w:val="00941951"/>
    <w:rsid w:val="00950B83"/>
    <w:rsid w:val="0097148A"/>
    <w:rsid w:val="009A0CA5"/>
    <w:rsid w:val="009A14C0"/>
    <w:rsid w:val="009A154E"/>
    <w:rsid w:val="009A4446"/>
    <w:rsid w:val="009B1865"/>
    <w:rsid w:val="009D05A0"/>
    <w:rsid w:val="009D4866"/>
    <w:rsid w:val="009E0FA2"/>
    <w:rsid w:val="00A22DF3"/>
    <w:rsid w:val="00A47CB6"/>
    <w:rsid w:val="00A83553"/>
    <w:rsid w:val="00A93427"/>
    <w:rsid w:val="00AA4956"/>
    <w:rsid w:val="00AC51C0"/>
    <w:rsid w:val="00AE3DCB"/>
    <w:rsid w:val="00B11F85"/>
    <w:rsid w:val="00B347F2"/>
    <w:rsid w:val="00B94B97"/>
    <w:rsid w:val="00BD051B"/>
    <w:rsid w:val="00BD6049"/>
    <w:rsid w:val="00BF17D0"/>
    <w:rsid w:val="00CC28B7"/>
    <w:rsid w:val="00CC65FA"/>
    <w:rsid w:val="00CD6AD3"/>
    <w:rsid w:val="00D0296C"/>
    <w:rsid w:val="00D60F3A"/>
    <w:rsid w:val="00D64784"/>
    <w:rsid w:val="00DF5861"/>
    <w:rsid w:val="00E653E2"/>
    <w:rsid w:val="00F011D7"/>
    <w:rsid w:val="00F96174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D87C10-E7BE-499B-8092-41924D2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51075"/>
  </w:style>
  <w:style w:type="paragraph" w:styleId="a5">
    <w:name w:val="footer"/>
    <w:basedOn w:val="a"/>
    <w:link w:val="a6"/>
    <w:uiPriority w:val="99"/>
    <w:unhideWhenUsed/>
    <w:rsid w:val="00551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51075"/>
  </w:style>
  <w:style w:type="paragraph" w:styleId="a7">
    <w:name w:val="footnote text"/>
    <w:basedOn w:val="a"/>
    <w:link w:val="a8"/>
    <w:uiPriority w:val="99"/>
    <w:semiHidden/>
    <w:unhideWhenUsed/>
    <w:rsid w:val="00D60F3A"/>
    <w:pPr>
      <w:spacing w:after="0" w:line="240" w:lineRule="auto"/>
    </w:pPr>
    <w:rPr>
      <w:sz w:val="20"/>
      <w:szCs w:val="20"/>
    </w:rPr>
  </w:style>
  <w:style w:type="character" w:customStyle="1" w:styleId="a8">
    <w:name w:val="Текст под линия Знак"/>
    <w:basedOn w:val="a0"/>
    <w:link w:val="a7"/>
    <w:uiPriority w:val="99"/>
    <w:semiHidden/>
    <w:rsid w:val="00D60F3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60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3258-611D-4421-A8DA-8F782432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159</cp:revision>
  <dcterms:created xsi:type="dcterms:W3CDTF">2016-04-27T11:26:00Z</dcterms:created>
  <dcterms:modified xsi:type="dcterms:W3CDTF">2016-05-02T07:43:00Z</dcterms:modified>
</cp:coreProperties>
</file>