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87"/>
        <w:gridCol w:w="2378"/>
        <w:gridCol w:w="1750"/>
        <w:gridCol w:w="3347"/>
      </w:tblGrid>
      <w:tr w:rsidR="00B63381" w:rsidRPr="00B63381" w:rsidTr="00B63381">
        <w:trPr>
          <w:jc w:val="center"/>
        </w:trPr>
        <w:tc>
          <w:tcPr>
            <w:tcW w:w="1587" w:type="dxa"/>
            <w:shd w:val="clear" w:color="auto" w:fill="00B0F0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Променлива №</w:t>
            </w:r>
          </w:p>
        </w:tc>
        <w:tc>
          <w:tcPr>
            <w:tcW w:w="2380" w:type="dxa"/>
            <w:shd w:val="clear" w:color="auto" w:fill="00B0F0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Политическо измерение на функциониране на изследваното регионално пространство</w:t>
            </w:r>
          </w:p>
        </w:tc>
        <w:tc>
          <w:tcPr>
            <w:tcW w:w="1745" w:type="dxa"/>
            <w:shd w:val="clear" w:color="auto" w:fill="00B0F0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3350" w:type="dxa"/>
            <w:shd w:val="clear" w:color="auto" w:fill="00B0F0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Хипотези за развитие на променливите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Руска федерация - поведение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RUSB</w:t>
            </w:r>
          </w:p>
        </w:tc>
        <w:tc>
          <w:tcPr>
            <w:tcW w:w="3350" w:type="dxa"/>
          </w:tcPr>
          <w:p w:rsidR="00B63381" w:rsidRDefault="007A1D61" w:rsidP="00B6338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агресивността в отстояването на своите национални интереси</w:t>
            </w:r>
          </w:p>
          <w:p w:rsidR="007A1D61" w:rsidRDefault="007A1D61" w:rsidP="00B6338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Преминаване към дискурс на сътрудничество и оттегляне от настоящите зони на конфликт</w:t>
            </w:r>
          </w:p>
          <w:p w:rsidR="007A1D61" w:rsidRPr="00B63381" w:rsidRDefault="007A1D61" w:rsidP="00B6338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Поддържане на конфликти с ниска интензивност по своята периферия и търсене на сътрудничество с държави от Западна и Централна Европа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САЩ - поведение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USAB</w:t>
            </w:r>
          </w:p>
        </w:tc>
        <w:tc>
          <w:tcPr>
            <w:tcW w:w="3350" w:type="dxa"/>
          </w:tcPr>
          <w:p w:rsidR="00B63381" w:rsidRDefault="007A1D61" w:rsidP="007A1D61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Възприемане на агресивна стратегия с оглед гарантиране на глобалната си доминация</w:t>
            </w:r>
          </w:p>
          <w:p w:rsidR="007A1D61" w:rsidRDefault="003B67AC" w:rsidP="007A1D61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</w:t>
            </w:r>
            <w:r w:rsidR="007A1D61">
              <w:rPr>
                <w:rFonts w:ascii="Times New Roman CYR" w:eastAsia="Calibri" w:hAnsi="Times New Roman CYR" w:cs="Times New Roman CYR"/>
                <w:sz w:val="24"/>
                <w:szCs w:val="24"/>
              </w:rPr>
              <w:t>овишаване на сътрудничеството с Руската федерация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и фрагментиране на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европейското пространство</w:t>
            </w:r>
          </w:p>
          <w:p w:rsidR="007A1D61" w:rsidRPr="007A1D61" w:rsidRDefault="003B67AC" w:rsidP="007A1D61">
            <w:pPr>
              <w:pStyle w:val="a4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Повишаване на сътрудничеството с Китайската народна република и стремеж за </w:t>
            </w:r>
            <w:r w:rsidR="00091641">
              <w:rPr>
                <w:rFonts w:ascii="Times New Roman CYR" w:eastAsia="Calibri" w:hAnsi="Times New Roman CYR" w:cs="Times New Roman CYR"/>
                <w:sz w:val="24"/>
                <w:szCs w:val="24"/>
              </w:rPr>
              <w:t>премахване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на РФ</w:t>
            </w:r>
            <w:r w:rsidR="0009164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от групата на ДГПУ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ЕС (външни участници) - поведение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EUOB</w:t>
            </w:r>
          </w:p>
        </w:tc>
        <w:tc>
          <w:tcPr>
            <w:tcW w:w="3350" w:type="dxa"/>
          </w:tcPr>
          <w:p w:rsidR="00B63381" w:rsidRDefault="00091641" w:rsidP="00091641">
            <w:pPr>
              <w:pStyle w:val="a4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Завръщане на национализма и разрушаване на ЕС</w:t>
            </w:r>
          </w:p>
          <w:p w:rsidR="00091641" w:rsidRDefault="00091641" w:rsidP="00091641">
            <w:pPr>
              <w:pStyle w:val="a4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Превръщане на ЕС в единен политически субект стремящ се към формирането на нов център на сила</w:t>
            </w:r>
          </w:p>
          <w:p w:rsidR="00091641" w:rsidRPr="00091641" w:rsidRDefault="009C571B" w:rsidP="00091641">
            <w:pPr>
              <w:pStyle w:val="a4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Запазване на настоящото равнище на интеграция </w:t>
            </w:r>
            <w:r w:rsidR="003C371F">
              <w:rPr>
                <w:rFonts w:ascii="Times New Roman CYR" w:eastAsia="Calibri" w:hAnsi="Times New Roman CYR" w:cs="Times New Roman CYR"/>
                <w:sz w:val="24"/>
                <w:szCs w:val="24"/>
              </w:rPr>
              <w:t>и неспособност за намеса при формирането на глобалното геополитически равновесие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 Турция - поведение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TURB</w:t>
            </w:r>
          </w:p>
        </w:tc>
        <w:tc>
          <w:tcPr>
            <w:tcW w:w="3350" w:type="dxa"/>
          </w:tcPr>
          <w:p w:rsidR="00B63381" w:rsidRDefault="003C371F" w:rsidP="003C371F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сътрудничеството с РФ и напускане на НАТО. Присъединяване към ШОС.</w:t>
            </w:r>
          </w:p>
          <w:p w:rsidR="003C371F" w:rsidRDefault="003C371F" w:rsidP="003C371F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Запазване на настоящата политика на амбивалентност с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 xml:space="preserve">оглед </w:t>
            </w:r>
            <w:r w:rsidR="00614406">
              <w:rPr>
                <w:rFonts w:ascii="Times New Roman CYR" w:eastAsia="Calibri" w:hAnsi="Times New Roman CYR" w:cs="Times New Roman CYR"/>
                <w:sz w:val="24"/>
                <w:szCs w:val="24"/>
              </w:rPr>
              <w:t>реализиране на собствените национални интереси</w:t>
            </w:r>
          </w:p>
          <w:p w:rsidR="00614406" w:rsidRPr="003C371F" w:rsidRDefault="00614406" w:rsidP="003C371F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враждебността спрямо РФ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 Турция - вътрешно управление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TURI</w:t>
            </w:r>
          </w:p>
        </w:tc>
        <w:tc>
          <w:tcPr>
            <w:tcW w:w="3350" w:type="dxa"/>
          </w:tcPr>
          <w:p w:rsidR="00B63381" w:rsidRDefault="00614406" w:rsidP="00614406">
            <w:pPr>
              <w:pStyle w:val="a4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Преминаване към авторитарен режим на управление</w:t>
            </w:r>
          </w:p>
          <w:p w:rsidR="00614406" w:rsidRDefault="00614406" w:rsidP="00614406">
            <w:pPr>
              <w:pStyle w:val="a4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Придържане към демократичните ценности и запазване на политическата стабилност</w:t>
            </w:r>
          </w:p>
          <w:p w:rsidR="00614406" w:rsidRPr="00614406" w:rsidRDefault="00614406" w:rsidP="00614406">
            <w:pPr>
              <w:pStyle w:val="a4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Неспособност за промяна на политическото ръководство по безконфликтен път. Етнически и политически конфликти ограничават относителното тегло на Р Турция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Равнище на конфликтност в МЕ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EECE</w:t>
            </w:r>
          </w:p>
        </w:tc>
        <w:tc>
          <w:tcPr>
            <w:tcW w:w="3350" w:type="dxa"/>
          </w:tcPr>
          <w:p w:rsidR="00B63381" w:rsidRDefault="0044570C" w:rsidP="0044570C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Държавите от МЕ осъзнават своите общи интереси и не позволяват на външните участници да се възползват от исторически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формиралите се зони на конфликт между тях</w:t>
            </w:r>
          </w:p>
          <w:p w:rsidR="0044570C" w:rsidRDefault="0044570C" w:rsidP="0044570C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При премахване на външните ограничаващи влияния държавите от МЕ се завръщат към опитите си за реализиране на своите „велики“ проекти</w:t>
            </w:r>
          </w:p>
          <w:p w:rsidR="0044570C" w:rsidRPr="0044570C" w:rsidRDefault="00132BA4" w:rsidP="0044570C">
            <w:pPr>
              <w:pStyle w:val="a4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Държавите от МЕ остават неспособни да се противопоставят на външни влияния които диктуват и равнището на конфликтност в региона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Военни бюджети в МЕ (вътрешни участници)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MILBECEIA</w:t>
            </w:r>
          </w:p>
        </w:tc>
        <w:tc>
          <w:tcPr>
            <w:tcW w:w="3350" w:type="dxa"/>
          </w:tcPr>
          <w:p w:rsidR="00B63381" w:rsidRDefault="00751CF5" w:rsidP="00751CF5">
            <w:pPr>
              <w:pStyle w:val="a4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военните бюджети в МЕ</w:t>
            </w:r>
          </w:p>
          <w:p w:rsidR="00751CF5" w:rsidRDefault="00751CF5" w:rsidP="00751CF5">
            <w:pPr>
              <w:pStyle w:val="a4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Понижаване на военните бюджети в МЕ</w:t>
            </w:r>
          </w:p>
          <w:p w:rsidR="00751CF5" w:rsidRPr="00751CF5" w:rsidRDefault="00751CF5" w:rsidP="00751CF5">
            <w:pPr>
              <w:pStyle w:val="a4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Запазване на настоящото равнище </w:t>
            </w:r>
            <w:r w:rsidR="00591443">
              <w:rPr>
                <w:rFonts w:ascii="Times New Roman CYR" w:eastAsia="Calibri" w:hAnsi="Times New Roman CYR" w:cs="Times New Roman CYR"/>
                <w:sz w:val="24"/>
                <w:szCs w:val="24"/>
              </w:rPr>
              <w:t>на военните бюджети в МЕ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Военни бюджети – външни участници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MILBOA</w:t>
            </w:r>
          </w:p>
        </w:tc>
        <w:tc>
          <w:tcPr>
            <w:tcW w:w="3350" w:type="dxa"/>
          </w:tcPr>
          <w:p w:rsidR="0016745B" w:rsidRDefault="0016745B" w:rsidP="0016745B">
            <w:pPr>
              <w:pStyle w:val="a4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военните бюджети на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външни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те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участници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в МЕ</w:t>
            </w:r>
          </w:p>
          <w:p w:rsidR="0016745B" w:rsidRDefault="0016745B" w:rsidP="0016745B">
            <w:pPr>
              <w:pStyle w:val="a4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Понижаване на военните бюджети на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външни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те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участници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в МЕ</w:t>
            </w:r>
          </w:p>
          <w:p w:rsidR="00B63381" w:rsidRPr="0016745B" w:rsidRDefault="0016745B" w:rsidP="0016745B">
            <w:pPr>
              <w:pStyle w:val="a4"/>
              <w:numPr>
                <w:ilvl w:val="0"/>
                <w:numId w:val="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Запазване на настоящото равнище на военните бюджети на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външни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те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участници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в МЕ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Равнище на сътрудничество в МЕ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COOPECE</w:t>
            </w:r>
          </w:p>
        </w:tc>
        <w:tc>
          <w:tcPr>
            <w:tcW w:w="3350" w:type="dxa"/>
          </w:tcPr>
          <w:p w:rsidR="00B63381" w:rsidRDefault="003A4B9D" w:rsidP="003A4B9D">
            <w:pPr>
              <w:pStyle w:val="a4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Създават се </w:t>
            </w:r>
            <w:r w:rsidR="00E17D62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регионални </w:t>
            </w:r>
            <w:r w:rsidR="00680BC4">
              <w:rPr>
                <w:rFonts w:ascii="Times New Roman CYR" w:eastAsia="Calibri" w:hAnsi="Times New Roman CYR" w:cs="Times New Roman CYR"/>
                <w:sz w:val="24"/>
                <w:szCs w:val="24"/>
              </w:rPr>
              <w:t>наддържавни формати регулиращи отношенията в МЕ</w:t>
            </w:r>
          </w:p>
          <w:p w:rsidR="00680BC4" w:rsidRDefault="00680BC4" w:rsidP="003A4B9D">
            <w:pPr>
              <w:pStyle w:val="a4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Сътрудничеството остава на двустранна основа</w:t>
            </w:r>
          </w:p>
          <w:p w:rsidR="00680BC4" w:rsidRPr="003A4B9D" w:rsidRDefault="00E17D62" w:rsidP="003A4B9D">
            <w:pPr>
              <w:pStyle w:val="a4"/>
              <w:numPr>
                <w:ilvl w:val="0"/>
                <w:numId w:val="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Цялостно понижаване на сътрудничеството между вътрешните участници в МЕ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Равнище на сътрудничество на глобално равнище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COOPGLOB</w:t>
            </w:r>
          </w:p>
        </w:tc>
        <w:tc>
          <w:tcPr>
            <w:tcW w:w="3350" w:type="dxa"/>
          </w:tcPr>
          <w:p w:rsidR="00B63381" w:rsidRDefault="00A97994" w:rsidP="00A97994">
            <w:pPr>
              <w:pStyle w:val="a4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Повишаване на сътрудничеството между ДГПУ</w:t>
            </w:r>
          </w:p>
          <w:p w:rsidR="00A97994" w:rsidRDefault="00A97994" w:rsidP="00A97994">
            <w:pPr>
              <w:pStyle w:val="a4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Понижаване на сътрудничеството между ДГПУ</w:t>
            </w:r>
          </w:p>
          <w:p w:rsidR="00A97994" w:rsidRPr="00A97994" w:rsidRDefault="00A97994" w:rsidP="00A97994">
            <w:pPr>
              <w:pStyle w:val="a4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Запазване на настоящото състояние характеризиращо се със сътрудничество в някои области и враждебност </w:t>
            </w:r>
            <w:r w:rsidR="00A64291">
              <w:rPr>
                <w:rFonts w:ascii="Times New Roman CYR" w:eastAsia="Calibri" w:hAnsi="Times New Roman CYR" w:cs="Times New Roman CYR"/>
                <w:sz w:val="24"/>
                <w:szCs w:val="24"/>
              </w:rPr>
              <w:t>в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други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Равновесие между доминиращите геополитически участници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BALDGA</w:t>
            </w:r>
          </w:p>
        </w:tc>
        <w:tc>
          <w:tcPr>
            <w:tcW w:w="3350" w:type="dxa"/>
          </w:tcPr>
          <w:p w:rsidR="00B63381" w:rsidRDefault="00ED28EC" w:rsidP="00A64291">
            <w:pPr>
              <w:pStyle w:val="a4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Стабилност при з</w:t>
            </w:r>
            <w:r w:rsidR="007C2374">
              <w:rPr>
                <w:rFonts w:ascii="Times New Roman CYR" w:eastAsia="Calibri" w:hAnsi="Times New Roman CYR" w:cs="Times New Roman CYR"/>
                <w:sz w:val="24"/>
                <w:szCs w:val="24"/>
              </w:rPr>
              <w:t>апазване на доминацията на САЩ</w:t>
            </w:r>
          </w:p>
          <w:p w:rsidR="007C2374" w:rsidRDefault="00ED28EC" w:rsidP="00A64291">
            <w:pPr>
              <w:pStyle w:val="a4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Допълнителна загуба на равновесие между ДГПУ в резултат на засилващите се амбиции на РФ</w:t>
            </w:r>
          </w:p>
          <w:p w:rsidR="00ED28EC" w:rsidRPr="00ED28EC" w:rsidRDefault="00ED28EC" w:rsidP="00ED28EC">
            <w:pPr>
              <w:pStyle w:val="a4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Допълнителна загуба на равновесие между ДГПУ в резултат на засилващите се амбиции на КНР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Нестабилност произлизаща от поведението на регионални сили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INSTREG</w:t>
            </w:r>
          </w:p>
        </w:tc>
        <w:tc>
          <w:tcPr>
            <w:tcW w:w="3350" w:type="dxa"/>
          </w:tcPr>
          <w:p w:rsidR="00B63381" w:rsidRPr="00FA3B07" w:rsidRDefault="00FA3B07" w:rsidP="00FA248D">
            <w:pPr>
              <w:pStyle w:val="a4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  <w:lang w:val="ru-RU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Регионални сили представляващи външни участници в МЕ повишават своята активност допринасяйки за дестабилизацията на региона</w:t>
            </w:r>
          </w:p>
          <w:p w:rsidR="00FA3B07" w:rsidRDefault="00FA3B07" w:rsidP="00FA248D">
            <w:pPr>
              <w:pStyle w:val="a4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FA3B07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Регионалните сили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представляващи външни участници в МЕ остават подчинени на ДГПУ</w:t>
            </w:r>
          </w:p>
          <w:p w:rsidR="00FA3B07" w:rsidRPr="00FA3B07" w:rsidRDefault="00895AA8" w:rsidP="00FA248D">
            <w:pPr>
              <w:pStyle w:val="a4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Прекаленото отслабване на регионалните сили представляващи външни участници в МЕ води до промяна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на динамиката на сигурността в региона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Миграционен натиск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MIGPRES</w:t>
            </w:r>
          </w:p>
        </w:tc>
        <w:tc>
          <w:tcPr>
            <w:tcW w:w="3350" w:type="dxa"/>
          </w:tcPr>
          <w:p w:rsidR="00B63381" w:rsidRDefault="00DC2A52" w:rsidP="00DC2A52">
            <w:pPr>
              <w:pStyle w:val="a4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Миграционния натиск към Европа се засилва</w:t>
            </w:r>
          </w:p>
          <w:p w:rsidR="00DC2A52" w:rsidRDefault="00DC2A52" w:rsidP="00DC2A52">
            <w:pPr>
              <w:pStyle w:val="a4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Миграционния натиск към Европа намалява</w:t>
            </w:r>
          </w:p>
          <w:p w:rsidR="00DC2A52" w:rsidRPr="00DC2A52" w:rsidRDefault="00DC2A52" w:rsidP="00DC2A52">
            <w:pPr>
              <w:pStyle w:val="a4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Миграционния натиск към Европа запазва настоящото си равнище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Политическа стабилност на Великобритания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UKSTAB</w:t>
            </w:r>
          </w:p>
        </w:tc>
        <w:tc>
          <w:tcPr>
            <w:tcW w:w="3350" w:type="dxa"/>
          </w:tcPr>
          <w:p w:rsidR="00B63381" w:rsidRDefault="00E31714" w:rsidP="00E31714">
            <w:pPr>
              <w:pStyle w:val="a4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Съставните страни във Великобритания </w:t>
            </w:r>
            <w:r w:rsidR="00EF7DE4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формират различаващи се визии относно своето бъдещо развитие. </w:t>
            </w:r>
            <w:r w:rsidR="008D78FD">
              <w:rPr>
                <w:rFonts w:ascii="Times New Roman CYR" w:eastAsia="Calibri" w:hAnsi="Times New Roman CYR" w:cs="Times New Roman CYR"/>
                <w:sz w:val="24"/>
                <w:szCs w:val="24"/>
              </w:rPr>
              <w:t>Обединеното кралство се разпада</w:t>
            </w:r>
            <w:bookmarkStart w:id="0" w:name="_GoBack"/>
            <w:bookmarkEnd w:id="0"/>
          </w:p>
          <w:p w:rsidR="00EF7DE4" w:rsidRDefault="00EF7DE4" w:rsidP="00E31714">
            <w:pPr>
              <w:pStyle w:val="a4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Съставните страни във Великобритания формират различаващи се визии относно своето бъдещо развитие, но Англия налага чрез сила подредба отговаряща на нейните национални интереси</w:t>
            </w:r>
          </w:p>
          <w:p w:rsidR="00EF7DE4" w:rsidRPr="00E31714" w:rsidRDefault="00EF7DE4" w:rsidP="00E31714">
            <w:pPr>
              <w:pStyle w:val="a4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Великобритания запазва своята политическа стабилност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Създаване на суверенна кюрдска </w:t>
            </w: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политико-териториална единица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KURDST</w:t>
            </w:r>
          </w:p>
        </w:tc>
        <w:tc>
          <w:tcPr>
            <w:tcW w:w="3350" w:type="dxa"/>
          </w:tcPr>
          <w:p w:rsidR="00B63381" w:rsidRDefault="004A4571" w:rsidP="004A457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Създава се независима държава на кюрдите</w:t>
            </w:r>
          </w:p>
          <w:p w:rsidR="004A4571" w:rsidRDefault="004A4571" w:rsidP="004A457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Не се създава независима кюрдска държава но се утвърждава автономията им в Ирак и Сирия</w:t>
            </w:r>
          </w:p>
          <w:p w:rsidR="004A4571" w:rsidRPr="004A4571" w:rsidRDefault="004A4571" w:rsidP="004A4571">
            <w:pPr>
              <w:pStyle w:val="a4"/>
              <w:numPr>
                <w:ilvl w:val="0"/>
                <w:numId w:val="1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Не се създава независима кюрдска държава като в допълнение и автономията им в Ирак и Сирия е ограничена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Сигурност на енергийните доставки за МЕ (вътрешни участници)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ENERECE</w:t>
            </w:r>
          </w:p>
        </w:tc>
        <w:tc>
          <w:tcPr>
            <w:tcW w:w="3350" w:type="dxa"/>
          </w:tcPr>
          <w:p w:rsidR="00B63381" w:rsidRDefault="00E53F6E" w:rsidP="004A4571">
            <w:pPr>
              <w:pStyle w:val="a4"/>
              <w:numPr>
                <w:ilvl w:val="0"/>
                <w:numId w:val="1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Вътрешните участници в МЕ диверсифицират успешно доставките си на енергийни ресурси. Ограничав</w:t>
            </w:r>
            <w:r w:rsidR="00784460">
              <w:rPr>
                <w:rFonts w:ascii="Times New Roman CYR" w:eastAsia="Calibri" w:hAnsi="Times New Roman CYR" w:cs="Times New Roman CYR"/>
                <w:sz w:val="24"/>
                <w:szCs w:val="24"/>
              </w:rPr>
              <w:t>а се равнището им на зависимост</w:t>
            </w:r>
          </w:p>
          <w:p w:rsidR="00E53F6E" w:rsidRDefault="00E53F6E" w:rsidP="004A4571">
            <w:pPr>
              <w:pStyle w:val="a4"/>
              <w:numPr>
                <w:ilvl w:val="0"/>
                <w:numId w:val="1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Вътрешните участници в МЕ остават зависими в енергийната сфера от Руската федерация. Доставяните количества обаче са достатъчни и навр</w:t>
            </w:r>
            <w:r w:rsidR="005652BB">
              <w:rPr>
                <w:rFonts w:ascii="Times New Roman CYR" w:eastAsia="Calibri" w:hAnsi="Times New Roman CYR" w:cs="Times New Roman CYR"/>
                <w:sz w:val="24"/>
                <w:szCs w:val="24"/>
              </w:rPr>
              <w:t>еменни</w:t>
            </w:r>
          </w:p>
          <w:p w:rsidR="00E53F6E" w:rsidRPr="004A4571" w:rsidRDefault="00E53F6E" w:rsidP="004A4571">
            <w:pPr>
              <w:pStyle w:val="a4"/>
              <w:numPr>
                <w:ilvl w:val="0"/>
                <w:numId w:val="1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Вътрешните участници в МЕ остават зависими в енергийната сфера от Руската федерация. Политико-военни конфликти водят до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прекъсване н</w:t>
            </w:r>
            <w:r w:rsidR="001722F8">
              <w:rPr>
                <w:rFonts w:ascii="Times New Roman CYR" w:eastAsia="Calibri" w:hAnsi="Times New Roman CYR" w:cs="Times New Roman CYR"/>
                <w:sz w:val="24"/>
                <w:szCs w:val="24"/>
              </w:rPr>
              <w:t>а доставките на енергоносители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Разпространение на ОМП (глобално равнище)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WMDPROFGL</w:t>
            </w:r>
          </w:p>
        </w:tc>
        <w:tc>
          <w:tcPr>
            <w:tcW w:w="3350" w:type="dxa"/>
          </w:tcPr>
          <w:p w:rsidR="00B63381" w:rsidRDefault="005C7824" w:rsidP="000545DC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Все повече държави създават ОМП и необходимите носители</w:t>
            </w:r>
          </w:p>
          <w:p w:rsidR="005C7824" w:rsidRDefault="005C7824" w:rsidP="000545DC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Разпространението на ОМП е ограничено</w:t>
            </w:r>
          </w:p>
          <w:p w:rsidR="005C7824" w:rsidRPr="000545DC" w:rsidRDefault="00CE63C0" w:rsidP="000545DC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Единствено държави с висок потенциал на намеса придобиват ОМП</w:t>
            </w:r>
          </w:p>
        </w:tc>
      </w:tr>
      <w:tr w:rsidR="00B63381" w:rsidRPr="00B63381" w:rsidTr="00B63381">
        <w:trPr>
          <w:jc w:val="center"/>
        </w:trPr>
        <w:tc>
          <w:tcPr>
            <w:tcW w:w="1587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80" w:type="dxa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Поведение на Китайската народна република</w:t>
            </w:r>
          </w:p>
        </w:tc>
        <w:tc>
          <w:tcPr>
            <w:tcW w:w="1745" w:type="dxa"/>
            <w:vAlign w:val="center"/>
          </w:tcPr>
          <w:p w:rsidR="00B63381" w:rsidRPr="00B63381" w:rsidRDefault="00B63381" w:rsidP="00B63381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63381">
              <w:rPr>
                <w:rFonts w:ascii="Times New Roman CYR" w:eastAsia="Calibri" w:hAnsi="Times New Roman CYR" w:cs="Times New Roman CYR"/>
                <w:sz w:val="24"/>
                <w:szCs w:val="24"/>
              </w:rPr>
              <w:t>CHNBEH</w:t>
            </w:r>
          </w:p>
        </w:tc>
        <w:tc>
          <w:tcPr>
            <w:tcW w:w="3350" w:type="dxa"/>
          </w:tcPr>
          <w:p w:rsidR="00B63381" w:rsidRDefault="00E465C0" w:rsidP="00114CEC">
            <w:pPr>
              <w:pStyle w:val="a4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КНР засилва сътрудничеството си с РФ и предприема политически и икономически действия срещу интересите на САЩ в Азиатско-тихоокеанския регион</w:t>
            </w:r>
          </w:p>
          <w:p w:rsidR="00E465C0" w:rsidRDefault="00E465C0" w:rsidP="00114CEC">
            <w:pPr>
              <w:pStyle w:val="a4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КНР възприема подход на сътрудничество със САЩ и насочва своите амбиции за повишаване на относителното си тегла за сметка на РФ и Индия</w:t>
            </w:r>
          </w:p>
          <w:p w:rsidR="00E465C0" w:rsidRPr="00114CEC" w:rsidRDefault="00E465C0" w:rsidP="00114CEC">
            <w:pPr>
              <w:pStyle w:val="a4"/>
              <w:numPr>
                <w:ilvl w:val="0"/>
                <w:numId w:val="1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КНР забавя по-активното си включване в баланса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между ДГПУ с оглед допълнително засилване на своята икономика</w:t>
            </w:r>
          </w:p>
        </w:tc>
      </w:tr>
    </w:tbl>
    <w:p w:rsidR="005F4F3C" w:rsidRDefault="005F4F3C" w:rsidP="001E798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87"/>
        <w:gridCol w:w="2377"/>
        <w:gridCol w:w="1701"/>
        <w:gridCol w:w="3402"/>
      </w:tblGrid>
      <w:tr w:rsidR="00735C2C" w:rsidRPr="00735C2C" w:rsidTr="00735C2C">
        <w:tc>
          <w:tcPr>
            <w:tcW w:w="1587" w:type="dxa"/>
            <w:shd w:val="clear" w:color="auto" w:fill="FF0000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35C2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Променлива №</w:t>
            </w:r>
          </w:p>
        </w:tc>
        <w:tc>
          <w:tcPr>
            <w:tcW w:w="2377" w:type="dxa"/>
            <w:shd w:val="clear" w:color="auto" w:fill="FF0000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735C2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Социално измерение на функциониране на изследваното регионално пространство</w:t>
            </w:r>
          </w:p>
        </w:tc>
        <w:tc>
          <w:tcPr>
            <w:tcW w:w="1701" w:type="dxa"/>
            <w:shd w:val="clear" w:color="auto" w:fill="FF0000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3402" w:type="dxa"/>
            <w:shd w:val="clear" w:color="auto" w:fill="FF0000"/>
          </w:tcPr>
          <w:p w:rsidR="00735C2C" w:rsidRPr="00735C2C" w:rsidRDefault="00DA3DC0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Хипотези за развитие на променливите 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Демографски характеристики на МЕ (вътрешни участници)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DEMIAECE</w:t>
            </w:r>
          </w:p>
        </w:tc>
        <w:tc>
          <w:tcPr>
            <w:tcW w:w="3402" w:type="dxa"/>
          </w:tcPr>
          <w:p w:rsidR="00735C2C" w:rsidRDefault="003664CA" w:rsidP="00F76643">
            <w:pPr>
              <w:pStyle w:val="a4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Броят на н</w:t>
            </w:r>
            <w:r w:rsidR="00F76643">
              <w:rPr>
                <w:rFonts w:ascii="Times New Roman CYR" w:eastAsia="Calibri" w:hAnsi="Times New Roman CYR" w:cs="Times New Roman CYR"/>
                <w:sz w:val="24"/>
                <w:szCs w:val="24"/>
              </w:rPr>
              <w:t>аселението на вътрешните участници в МЕ продължава да намалява, но без да се нарушава баланса помежду им в това отношение</w:t>
            </w:r>
          </w:p>
          <w:p w:rsidR="00F76643" w:rsidRDefault="003664CA" w:rsidP="00F76643">
            <w:pPr>
              <w:pStyle w:val="a4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Броят на н</w:t>
            </w:r>
            <w:r w:rsidR="00F76643">
              <w:rPr>
                <w:rFonts w:ascii="Times New Roman CYR" w:eastAsia="Calibri" w:hAnsi="Times New Roman CYR" w:cs="Times New Roman CYR"/>
                <w:sz w:val="24"/>
                <w:szCs w:val="24"/>
              </w:rPr>
              <w:t>аселението на вътрешните участници в МЕ продължава да намалява. Балансът помежду им обаче в това отношение бива нарушен</w:t>
            </w:r>
          </w:p>
          <w:p w:rsidR="00F76643" w:rsidRPr="00F76643" w:rsidRDefault="003664CA" w:rsidP="00F76643">
            <w:pPr>
              <w:pStyle w:val="a4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Броят на населението на вътрешните участници в МЕ се запазва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Стабилност на екосистемата (глобално равнище)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ECOSTAB</w:t>
            </w:r>
          </w:p>
        </w:tc>
        <w:tc>
          <w:tcPr>
            <w:tcW w:w="3402" w:type="dxa"/>
          </w:tcPr>
          <w:p w:rsidR="00735C2C" w:rsidRDefault="00026A21" w:rsidP="00026A21">
            <w:pPr>
              <w:pStyle w:val="a4"/>
              <w:numPr>
                <w:ilvl w:val="0"/>
                <w:numId w:val="2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Стабилността на екосистемата се запазва</w:t>
            </w:r>
          </w:p>
          <w:p w:rsidR="00026A21" w:rsidRDefault="00026A21" w:rsidP="00026A21">
            <w:pPr>
              <w:pStyle w:val="a4"/>
              <w:numPr>
                <w:ilvl w:val="0"/>
                <w:numId w:val="2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Настъпват изменения в екосистемата които засягат драстично условията </w:t>
            </w:r>
            <w:r w:rsidR="0018084D">
              <w:rPr>
                <w:rFonts w:ascii="Times New Roman CYR" w:eastAsia="Calibri" w:hAnsi="Times New Roman CYR" w:cs="Times New Roman CYR"/>
                <w:sz w:val="24"/>
                <w:szCs w:val="24"/>
              </w:rPr>
              <w:t>з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а живот </w:t>
            </w:r>
          </w:p>
          <w:p w:rsidR="004B2991" w:rsidRPr="0018084D" w:rsidRDefault="0018084D" w:rsidP="0018084D">
            <w:pPr>
              <w:pStyle w:val="a4"/>
              <w:numPr>
                <w:ilvl w:val="0"/>
                <w:numId w:val="2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Настъпват изменения в екосистемата. Последствията не засягат пряко сферата на сигурността и отбраната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Промени в етническият баланс в МЕ (вътрешни участници)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ETHNBALIA</w:t>
            </w:r>
          </w:p>
        </w:tc>
        <w:tc>
          <w:tcPr>
            <w:tcW w:w="3402" w:type="dxa"/>
          </w:tcPr>
          <w:p w:rsidR="00735C2C" w:rsidRDefault="001D5701" w:rsidP="001D5701">
            <w:pPr>
              <w:pStyle w:val="a4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Вътрешните участници в МЕ претърпяват промени в етническия баланс на населението си които допринасят за повишаване на конфликтния потенциал</w:t>
            </w:r>
          </w:p>
          <w:p w:rsidR="001D5701" w:rsidRDefault="001D5701" w:rsidP="001D5701">
            <w:pPr>
              <w:pStyle w:val="a4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Вътрешните участници в МЕ претърпяват промени в етническия баланс на населението си без да настъпват негативни последствия от това</w:t>
            </w:r>
          </w:p>
          <w:p w:rsidR="001D5701" w:rsidRPr="001D5701" w:rsidRDefault="001D5701" w:rsidP="001D5701">
            <w:pPr>
              <w:pStyle w:val="a4"/>
              <w:numPr>
                <w:ilvl w:val="0"/>
                <w:numId w:val="21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Вътрешните участници в МЕ запазват настоящия етнически баланс на населението си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Стабилност на концепцията за нация в МЕ (вътрешни участници)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NATCONCIA</w:t>
            </w:r>
          </w:p>
        </w:tc>
        <w:tc>
          <w:tcPr>
            <w:tcW w:w="3402" w:type="dxa"/>
          </w:tcPr>
          <w:p w:rsidR="00735C2C" w:rsidRDefault="005510A7" w:rsidP="005510A7">
            <w:pPr>
              <w:pStyle w:val="a4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Концепцията за нация (историческия разказ и произлизащия от него вътрешногрупов фаворитизъм и йерархия на идентичности) не претърпява промени</w:t>
            </w:r>
          </w:p>
          <w:p w:rsidR="005510A7" w:rsidRDefault="005510A7" w:rsidP="005510A7">
            <w:pPr>
              <w:pStyle w:val="a4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Концепцията за нация претърпява промени които обаче </w:t>
            </w:r>
            <w:r w:rsidR="00A84397">
              <w:rPr>
                <w:rFonts w:ascii="Times New Roman CYR" w:eastAsia="Calibri" w:hAnsi="Times New Roman CYR" w:cs="Times New Roman CYR"/>
                <w:sz w:val="24"/>
                <w:szCs w:val="24"/>
              </w:rPr>
              <w:t>позволяват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поддържането на съответната политико-териториална единица</w:t>
            </w:r>
          </w:p>
          <w:p w:rsidR="005510A7" w:rsidRPr="005510A7" w:rsidRDefault="005510A7" w:rsidP="005510A7">
            <w:pPr>
              <w:pStyle w:val="a4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Концепцията за нация претърпява промени правещи невъзможно поддържането на съответната политико-териториална единица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Демографски характеристики на външните участници в МЕ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DEMOAECE</w:t>
            </w:r>
          </w:p>
        </w:tc>
        <w:tc>
          <w:tcPr>
            <w:tcW w:w="3402" w:type="dxa"/>
          </w:tcPr>
          <w:p w:rsidR="00A84397" w:rsidRDefault="00A84397" w:rsidP="00A84397">
            <w:pPr>
              <w:pStyle w:val="a4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Броят на населението на външните участници в МЕ се увеличава непропорционално (помежду им)</w:t>
            </w:r>
          </w:p>
          <w:p w:rsidR="00735C2C" w:rsidRDefault="00A84397" w:rsidP="003D5C35">
            <w:pPr>
              <w:pStyle w:val="a4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Броят на населението на външните участници в МЕ се увеличава пропорционално </w:t>
            </w:r>
          </w:p>
          <w:p w:rsidR="003D5C35" w:rsidRPr="003D5C35" w:rsidRDefault="002640E1" w:rsidP="003D5C35">
            <w:pPr>
              <w:pStyle w:val="a4"/>
              <w:numPr>
                <w:ilvl w:val="0"/>
                <w:numId w:val="23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Броят на населението на външните участници в МЕ не се променя</w:t>
            </w:r>
          </w:p>
        </w:tc>
      </w:tr>
      <w:tr w:rsidR="00735C2C" w:rsidRPr="00735C2C" w:rsidTr="00735C2C">
        <w:tc>
          <w:tcPr>
            <w:tcW w:w="158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377" w:type="dxa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Демографски тенденции (глобално равнище)</w:t>
            </w:r>
          </w:p>
        </w:tc>
        <w:tc>
          <w:tcPr>
            <w:tcW w:w="1701" w:type="dxa"/>
            <w:vAlign w:val="center"/>
          </w:tcPr>
          <w:p w:rsidR="00735C2C" w:rsidRPr="00735C2C" w:rsidRDefault="00735C2C" w:rsidP="00735C2C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735C2C">
              <w:rPr>
                <w:rFonts w:ascii="Times New Roman CYR" w:eastAsia="Calibri" w:hAnsi="Times New Roman CYR" w:cs="Times New Roman CYR"/>
                <w:sz w:val="24"/>
                <w:szCs w:val="24"/>
              </w:rPr>
              <w:t>DEMGLOB</w:t>
            </w:r>
          </w:p>
        </w:tc>
        <w:tc>
          <w:tcPr>
            <w:tcW w:w="3402" w:type="dxa"/>
          </w:tcPr>
          <w:p w:rsidR="00735C2C" w:rsidRDefault="00864DCE" w:rsidP="002640E1">
            <w:pPr>
              <w:pStyle w:val="a4"/>
              <w:numPr>
                <w:ilvl w:val="0"/>
                <w:numId w:val="2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Световното население продължава да нараства до степен при която поддържането му става невъзможно. Разликите между богатите и бедните нации водят до пови</w:t>
            </w:r>
            <w:r w:rsidR="00562BE2">
              <w:rPr>
                <w:rFonts w:ascii="Times New Roman CYR" w:eastAsia="Calibri" w:hAnsi="Times New Roman CYR" w:cs="Times New Roman CYR"/>
                <w:sz w:val="24"/>
                <w:szCs w:val="24"/>
              </w:rPr>
              <w:t>шаване на конфликтния потенциал</w:t>
            </w:r>
          </w:p>
          <w:p w:rsidR="00864DCE" w:rsidRDefault="00864DCE" w:rsidP="002640E1">
            <w:pPr>
              <w:pStyle w:val="a4"/>
              <w:numPr>
                <w:ilvl w:val="0"/>
                <w:numId w:val="2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Ръстът на световното население е овладян. Не настъпват последици засягащи сферата на сигурността и отбраната</w:t>
            </w:r>
          </w:p>
          <w:p w:rsidR="00864DCE" w:rsidRPr="002640E1" w:rsidRDefault="00767490" w:rsidP="002640E1">
            <w:pPr>
              <w:pStyle w:val="a4"/>
              <w:numPr>
                <w:ilvl w:val="0"/>
                <w:numId w:val="24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Световното население намалява</w:t>
            </w:r>
          </w:p>
        </w:tc>
      </w:tr>
    </w:tbl>
    <w:p w:rsidR="00E465C0" w:rsidRDefault="00E465C0" w:rsidP="001E798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87"/>
        <w:gridCol w:w="2795"/>
        <w:gridCol w:w="1670"/>
        <w:gridCol w:w="3015"/>
      </w:tblGrid>
      <w:tr w:rsidR="00B90DB3" w:rsidRPr="00B90DB3" w:rsidTr="00B90DB3">
        <w:tc>
          <w:tcPr>
            <w:tcW w:w="1587" w:type="dxa"/>
            <w:shd w:val="clear" w:color="auto" w:fill="00B050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Променлива №</w:t>
            </w:r>
          </w:p>
        </w:tc>
        <w:tc>
          <w:tcPr>
            <w:tcW w:w="2795" w:type="dxa"/>
            <w:shd w:val="clear" w:color="auto" w:fill="00B050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Икономическо измерение на функциониране на изследваното регионално пространство</w:t>
            </w:r>
          </w:p>
        </w:tc>
        <w:tc>
          <w:tcPr>
            <w:tcW w:w="1670" w:type="dxa"/>
            <w:shd w:val="clear" w:color="auto" w:fill="00B050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3015" w:type="dxa"/>
            <w:shd w:val="clear" w:color="auto" w:fill="00B050"/>
          </w:tcPr>
          <w:p w:rsidR="00B90DB3" w:rsidRPr="00B90DB3" w:rsidRDefault="004A0C0F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Хипотези за развитие на променливите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Икономическо състояние на вътрешните участници в МЕ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ECONIAECE</w:t>
            </w:r>
          </w:p>
        </w:tc>
        <w:tc>
          <w:tcPr>
            <w:tcW w:w="3015" w:type="dxa"/>
          </w:tcPr>
          <w:p w:rsidR="00B90DB3" w:rsidRDefault="00534132" w:rsidP="00534132">
            <w:pPr>
              <w:pStyle w:val="a4"/>
              <w:numPr>
                <w:ilvl w:val="0"/>
                <w:numId w:val="2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Икономическото състояние на вътрешните участници в МЕ се подобрява с темп по-висок от средния за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световната икономика</w:t>
            </w:r>
          </w:p>
          <w:p w:rsidR="00534132" w:rsidRDefault="00534132" w:rsidP="00534132">
            <w:pPr>
              <w:pStyle w:val="a4"/>
              <w:numPr>
                <w:ilvl w:val="0"/>
                <w:numId w:val="2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Икономическото състояние на вътрешните участници в МЕ се подобрява с темп по-нисък от средния за световната икономика</w:t>
            </w:r>
          </w:p>
          <w:p w:rsidR="00534132" w:rsidRPr="00534132" w:rsidRDefault="00534132" w:rsidP="00534132">
            <w:pPr>
              <w:pStyle w:val="a4"/>
              <w:numPr>
                <w:ilvl w:val="0"/>
                <w:numId w:val="25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Икономическото състояние на вътрешните участници в МЕ се влошава допълнително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Икономическо състояние на външните участници в МЕ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ECONOAECE</w:t>
            </w:r>
          </w:p>
        </w:tc>
        <w:tc>
          <w:tcPr>
            <w:tcW w:w="3015" w:type="dxa"/>
          </w:tcPr>
          <w:p w:rsidR="00B90DB3" w:rsidRDefault="00534132" w:rsidP="00534132">
            <w:pPr>
              <w:pStyle w:val="a4"/>
              <w:numPr>
                <w:ilvl w:val="0"/>
                <w:numId w:val="2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Икономическото състояние на външните участници се подобрява </w:t>
            </w:r>
            <w:r w:rsidR="00150644">
              <w:rPr>
                <w:rFonts w:ascii="Times New Roman CYR" w:eastAsia="Calibri" w:hAnsi="Times New Roman CYR" w:cs="Times New Roman CYR"/>
                <w:sz w:val="24"/>
                <w:szCs w:val="24"/>
              </w:rPr>
              <w:t>непропорционално (помежду им)</w:t>
            </w:r>
          </w:p>
          <w:p w:rsidR="00150644" w:rsidRDefault="00150644" w:rsidP="00150644">
            <w:pPr>
              <w:pStyle w:val="a4"/>
              <w:numPr>
                <w:ilvl w:val="0"/>
                <w:numId w:val="2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Икономическото състояние на външните участници се подобрява пропорционално</w:t>
            </w:r>
          </w:p>
          <w:p w:rsidR="00150644" w:rsidRPr="00150644" w:rsidRDefault="00150644" w:rsidP="00150644">
            <w:pPr>
              <w:pStyle w:val="a4"/>
              <w:numPr>
                <w:ilvl w:val="0"/>
                <w:numId w:val="26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Икономическото състояние на външните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участници не търпи промяна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Тенденции за развитие на икономиката (глобално равнище)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ECONGLOBT</w:t>
            </w:r>
          </w:p>
        </w:tc>
        <w:tc>
          <w:tcPr>
            <w:tcW w:w="3015" w:type="dxa"/>
          </w:tcPr>
          <w:p w:rsidR="00B90DB3" w:rsidRDefault="002D1F9A" w:rsidP="002D1F9A">
            <w:pPr>
              <w:pStyle w:val="a4"/>
              <w:numPr>
                <w:ilvl w:val="0"/>
                <w:numId w:val="2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Финансовата и икономическа криза остава непреодолима. Световната икономика отбелязва отрицателен ръст</w:t>
            </w:r>
          </w:p>
          <w:p w:rsidR="002D1F9A" w:rsidRDefault="002D1F9A" w:rsidP="002D1F9A">
            <w:pPr>
              <w:pStyle w:val="a4"/>
              <w:numPr>
                <w:ilvl w:val="0"/>
                <w:numId w:val="2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Световния БВП продължава да нараства</w:t>
            </w:r>
          </w:p>
          <w:p w:rsidR="002D1F9A" w:rsidRPr="002D1F9A" w:rsidRDefault="002D1F9A" w:rsidP="002D1F9A">
            <w:pPr>
              <w:pStyle w:val="a4"/>
              <w:numPr>
                <w:ilvl w:val="0"/>
                <w:numId w:val="27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Световната икономика стагнира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Качество/количество на работната сила на вътрешните участници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LABFORIA</w:t>
            </w:r>
          </w:p>
        </w:tc>
        <w:tc>
          <w:tcPr>
            <w:tcW w:w="3015" w:type="dxa"/>
          </w:tcPr>
          <w:p w:rsidR="00B90DB3" w:rsidRDefault="007668D4" w:rsidP="007668D4">
            <w:pPr>
              <w:pStyle w:val="a4"/>
              <w:numPr>
                <w:ilvl w:val="0"/>
                <w:numId w:val="2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Подобрява се качеството и количеството на работната сила на вътрешните участници в МЕ</w:t>
            </w:r>
          </w:p>
          <w:p w:rsidR="007668D4" w:rsidRDefault="007668D4" w:rsidP="007668D4">
            <w:pPr>
              <w:pStyle w:val="a4"/>
              <w:numPr>
                <w:ilvl w:val="0"/>
                <w:numId w:val="2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Влошава се качеството и количеството на работната сила на вътрешните участници в МЕ</w:t>
            </w:r>
          </w:p>
          <w:p w:rsidR="007668D4" w:rsidRPr="007668D4" w:rsidRDefault="007668D4" w:rsidP="007668D4">
            <w:pPr>
              <w:pStyle w:val="a4"/>
              <w:numPr>
                <w:ilvl w:val="0"/>
                <w:numId w:val="28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Качеството и количеството на работната сила на вътрешните участници в МЕ се запазва но изостава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>спрямо останалата част на света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Ефикасност/ефективност на образователните системи в МЕ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EDUECEIA</w:t>
            </w:r>
          </w:p>
        </w:tc>
        <w:tc>
          <w:tcPr>
            <w:tcW w:w="3015" w:type="dxa"/>
          </w:tcPr>
          <w:p w:rsidR="00B90DB3" w:rsidRDefault="007668D4" w:rsidP="007668D4">
            <w:pPr>
              <w:pStyle w:val="a4"/>
              <w:numPr>
                <w:ilvl w:val="0"/>
                <w:numId w:val="2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Образователните системи на вътрешните участници в МЕ се подобряват</w:t>
            </w:r>
          </w:p>
          <w:p w:rsidR="007668D4" w:rsidRDefault="007668D4" w:rsidP="007668D4">
            <w:pPr>
              <w:pStyle w:val="a4"/>
              <w:numPr>
                <w:ilvl w:val="0"/>
                <w:numId w:val="2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Образователните системи на вътрешните участници в МЕ не успяват да се адаптират навременно към промените в конкурентното пространство</w:t>
            </w:r>
          </w:p>
          <w:p w:rsidR="007668D4" w:rsidRPr="007668D4" w:rsidRDefault="007668D4" w:rsidP="007668D4">
            <w:pPr>
              <w:pStyle w:val="a4"/>
              <w:numPr>
                <w:ilvl w:val="0"/>
                <w:numId w:val="29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Образователните системи на вътрешните участници в МЕ достигат до равнище при което функционирането им не допринася за общото благо</w:t>
            </w:r>
          </w:p>
        </w:tc>
      </w:tr>
      <w:tr w:rsidR="00B90DB3" w:rsidRPr="00B90DB3" w:rsidTr="00B90DB3">
        <w:tc>
          <w:tcPr>
            <w:tcW w:w="1587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DB3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5" w:type="dxa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Производителна ефективност в МЕ (вътрешни участници)</w:t>
            </w:r>
          </w:p>
        </w:tc>
        <w:tc>
          <w:tcPr>
            <w:tcW w:w="1670" w:type="dxa"/>
            <w:vAlign w:val="center"/>
          </w:tcPr>
          <w:p w:rsidR="00B90DB3" w:rsidRPr="00B90DB3" w:rsidRDefault="00B90DB3" w:rsidP="00B90DB3">
            <w:p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 w:rsidRPr="00B90DB3">
              <w:rPr>
                <w:rFonts w:ascii="Times New Roman CYR" w:eastAsia="Calibri" w:hAnsi="Times New Roman CYR" w:cs="Times New Roman CYR"/>
                <w:sz w:val="24"/>
                <w:szCs w:val="24"/>
              </w:rPr>
              <w:t>OPEFFIAECE</w:t>
            </w:r>
          </w:p>
        </w:tc>
        <w:tc>
          <w:tcPr>
            <w:tcW w:w="3015" w:type="dxa"/>
          </w:tcPr>
          <w:p w:rsidR="00B90DB3" w:rsidRDefault="007668D4" w:rsidP="007668D4">
            <w:pPr>
              <w:pStyle w:val="a4"/>
              <w:numPr>
                <w:ilvl w:val="0"/>
                <w:numId w:val="3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Вътрешните участници в МЕ не съумяват да натрупат необходимия капитал за обновяване на </w:t>
            </w: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lastRenderedPageBreak/>
              <w:t xml:space="preserve">производителните си мощности. </w:t>
            </w:r>
            <w:r w:rsidR="005311B9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Неефективното производство води до ниски приходи и </w:t>
            </w:r>
            <w:r w:rsidR="002713BF">
              <w:rPr>
                <w:rFonts w:ascii="Times New Roman CYR" w:eastAsia="Calibri" w:hAnsi="Times New Roman CYR" w:cs="Times New Roman CYR"/>
                <w:sz w:val="24"/>
                <w:szCs w:val="24"/>
              </w:rPr>
              <w:t>отново</w:t>
            </w:r>
            <w:r w:rsidR="005311B9">
              <w:rPr>
                <w:rFonts w:ascii="Times New Roman CYR" w:eastAsia="Calibri" w:hAnsi="Times New Roman CYR" w:cs="Times New Roman CYR"/>
                <w:sz w:val="24"/>
                <w:szCs w:val="24"/>
              </w:rPr>
              <w:t xml:space="preserve"> до невъзможност за подобрение</w:t>
            </w:r>
          </w:p>
          <w:p w:rsidR="005311B9" w:rsidRDefault="002713BF" w:rsidP="007668D4">
            <w:pPr>
              <w:pStyle w:val="a4"/>
              <w:numPr>
                <w:ilvl w:val="0"/>
                <w:numId w:val="3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Намеса на външни участници допринася за подобряване на производителната ефективност на вътрешните участници в МЕ</w:t>
            </w:r>
          </w:p>
          <w:p w:rsidR="002713BF" w:rsidRPr="007668D4" w:rsidRDefault="002713BF" w:rsidP="007668D4">
            <w:pPr>
              <w:pStyle w:val="a4"/>
              <w:numPr>
                <w:ilvl w:val="0"/>
                <w:numId w:val="30"/>
              </w:numPr>
              <w:spacing w:line="360" w:lineRule="auto"/>
              <w:jc w:val="center"/>
              <w:rPr>
                <w:rFonts w:ascii="Times New Roman CYR" w:eastAsia="Calibri" w:hAnsi="Times New Roman CYR" w:cs="Times New Roman CYR"/>
                <w:sz w:val="24"/>
                <w:szCs w:val="24"/>
              </w:rPr>
            </w:pPr>
            <w:r>
              <w:rPr>
                <w:rFonts w:ascii="Times New Roman CYR" w:eastAsia="Calibri" w:hAnsi="Times New Roman CYR" w:cs="Times New Roman CYR"/>
                <w:sz w:val="24"/>
                <w:szCs w:val="24"/>
              </w:rPr>
              <w:t>Образователните системи на вътрешните участници в МЕ успяват да допринесат за изграждането на нови активи от знание чрез които се достига и до повишаване на ефективността на производствените им мощности</w:t>
            </w:r>
          </w:p>
        </w:tc>
      </w:tr>
    </w:tbl>
    <w:p w:rsidR="00B90DB3" w:rsidRPr="001E7986" w:rsidRDefault="00B90DB3" w:rsidP="001E798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0DB3" w:rsidRPr="001E7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3E"/>
    <w:multiLevelType w:val="hybridMultilevel"/>
    <w:tmpl w:val="A3987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7A0D"/>
    <w:multiLevelType w:val="hybridMultilevel"/>
    <w:tmpl w:val="442244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2742"/>
    <w:multiLevelType w:val="hybridMultilevel"/>
    <w:tmpl w:val="0FAEE4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179DD"/>
    <w:multiLevelType w:val="hybridMultilevel"/>
    <w:tmpl w:val="0BD2D3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39C6"/>
    <w:multiLevelType w:val="hybridMultilevel"/>
    <w:tmpl w:val="77DA74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1719"/>
    <w:multiLevelType w:val="hybridMultilevel"/>
    <w:tmpl w:val="FA2C30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5561D"/>
    <w:multiLevelType w:val="hybridMultilevel"/>
    <w:tmpl w:val="7DCEA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617"/>
    <w:multiLevelType w:val="hybridMultilevel"/>
    <w:tmpl w:val="7D9074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E0749"/>
    <w:multiLevelType w:val="hybridMultilevel"/>
    <w:tmpl w:val="19BA47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59F5"/>
    <w:multiLevelType w:val="hybridMultilevel"/>
    <w:tmpl w:val="77B01F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93A3A"/>
    <w:multiLevelType w:val="hybridMultilevel"/>
    <w:tmpl w:val="0A1E7B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1744A"/>
    <w:multiLevelType w:val="hybridMultilevel"/>
    <w:tmpl w:val="39E21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636E8"/>
    <w:multiLevelType w:val="hybridMultilevel"/>
    <w:tmpl w:val="DBFA7F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9223E"/>
    <w:multiLevelType w:val="hybridMultilevel"/>
    <w:tmpl w:val="C3F4F4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559A9"/>
    <w:multiLevelType w:val="hybridMultilevel"/>
    <w:tmpl w:val="20024E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619C2"/>
    <w:multiLevelType w:val="hybridMultilevel"/>
    <w:tmpl w:val="7576B7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D6DA3"/>
    <w:multiLevelType w:val="hybridMultilevel"/>
    <w:tmpl w:val="8F58BA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80AE5"/>
    <w:multiLevelType w:val="hybridMultilevel"/>
    <w:tmpl w:val="6E80A5D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64F42"/>
    <w:multiLevelType w:val="hybridMultilevel"/>
    <w:tmpl w:val="B7EA1E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8074E"/>
    <w:multiLevelType w:val="hybridMultilevel"/>
    <w:tmpl w:val="4ADA03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72B75"/>
    <w:multiLevelType w:val="hybridMultilevel"/>
    <w:tmpl w:val="10084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A4303"/>
    <w:multiLevelType w:val="hybridMultilevel"/>
    <w:tmpl w:val="EA9639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52A83"/>
    <w:multiLevelType w:val="hybridMultilevel"/>
    <w:tmpl w:val="BD6EA4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631EE"/>
    <w:multiLevelType w:val="hybridMultilevel"/>
    <w:tmpl w:val="CFCAFF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13D2F"/>
    <w:multiLevelType w:val="hybridMultilevel"/>
    <w:tmpl w:val="5672B7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22E38"/>
    <w:multiLevelType w:val="hybridMultilevel"/>
    <w:tmpl w:val="5D201B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2341D"/>
    <w:multiLevelType w:val="hybridMultilevel"/>
    <w:tmpl w:val="20024E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72C0F"/>
    <w:multiLevelType w:val="hybridMultilevel"/>
    <w:tmpl w:val="3D402C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F7AD5"/>
    <w:multiLevelType w:val="hybridMultilevel"/>
    <w:tmpl w:val="E08048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C39A3"/>
    <w:multiLevelType w:val="hybridMultilevel"/>
    <w:tmpl w:val="7D9074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24"/>
  </w:num>
  <w:num w:numId="5">
    <w:abstractNumId w:val="21"/>
  </w:num>
  <w:num w:numId="6">
    <w:abstractNumId w:val="16"/>
  </w:num>
  <w:num w:numId="7">
    <w:abstractNumId w:val="7"/>
  </w:num>
  <w:num w:numId="8">
    <w:abstractNumId w:val="29"/>
  </w:num>
  <w:num w:numId="9">
    <w:abstractNumId w:val="5"/>
  </w:num>
  <w:num w:numId="10">
    <w:abstractNumId w:val="28"/>
  </w:num>
  <w:num w:numId="11">
    <w:abstractNumId w:val="27"/>
  </w:num>
  <w:num w:numId="12">
    <w:abstractNumId w:val="25"/>
  </w:num>
  <w:num w:numId="13">
    <w:abstractNumId w:val="18"/>
  </w:num>
  <w:num w:numId="14">
    <w:abstractNumId w:val="9"/>
  </w:num>
  <w:num w:numId="15">
    <w:abstractNumId w:val="11"/>
  </w:num>
  <w:num w:numId="16">
    <w:abstractNumId w:val="19"/>
  </w:num>
  <w:num w:numId="17">
    <w:abstractNumId w:val="15"/>
  </w:num>
  <w:num w:numId="18">
    <w:abstractNumId w:val="12"/>
  </w:num>
  <w:num w:numId="19">
    <w:abstractNumId w:val="26"/>
  </w:num>
  <w:num w:numId="20">
    <w:abstractNumId w:val="13"/>
  </w:num>
  <w:num w:numId="21">
    <w:abstractNumId w:val="1"/>
  </w:num>
  <w:num w:numId="22">
    <w:abstractNumId w:val="2"/>
  </w:num>
  <w:num w:numId="23">
    <w:abstractNumId w:val="14"/>
  </w:num>
  <w:num w:numId="24">
    <w:abstractNumId w:val="3"/>
  </w:num>
  <w:num w:numId="25">
    <w:abstractNumId w:val="20"/>
  </w:num>
  <w:num w:numId="26">
    <w:abstractNumId w:val="10"/>
  </w:num>
  <w:num w:numId="27">
    <w:abstractNumId w:val="6"/>
  </w:num>
  <w:num w:numId="28">
    <w:abstractNumId w:val="23"/>
  </w:num>
  <w:num w:numId="29">
    <w:abstractNumId w:val="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86"/>
    <w:rsid w:val="00026A21"/>
    <w:rsid w:val="000545DC"/>
    <w:rsid w:val="00091641"/>
    <w:rsid w:val="00114CEC"/>
    <w:rsid w:val="00132BA4"/>
    <w:rsid w:val="00150644"/>
    <w:rsid w:val="0016745B"/>
    <w:rsid w:val="001722F8"/>
    <w:rsid w:val="0018084D"/>
    <w:rsid w:val="001D5701"/>
    <w:rsid w:val="001E7986"/>
    <w:rsid w:val="002640E1"/>
    <w:rsid w:val="002713BF"/>
    <w:rsid w:val="002D1F9A"/>
    <w:rsid w:val="003664CA"/>
    <w:rsid w:val="00366E09"/>
    <w:rsid w:val="003A4B9D"/>
    <w:rsid w:val="003B67AC"/>
    <w:rsid w:val="003C371F"/>
    <w:rsid w:val="003D5C35"/>
    <w:rsid w:val="0044570C"/>
    <w:rsid w:val="004A0C0F"/>
    <w:rsid w:val="004A4571"/>
    <w:rsid w:val="004B2991"/>
    <w:rsid w:val="005311B9"/>
    <w:rsid w:val="00534132"/>
    <w:rsid w:val="005510A7"/>
    <w:rsid w:val="00562BE2"/>
    <w:rsid w:val="005652BB"/>
    <w:rsid w:val="00591443"/>
    <w:rsid w:val="005C7824"/>
    <w:rsid w:val="005F4F3C"/>
    <w:rsid w:val="00614406"/>
    <w:rsid w:val="00680BC4"/>
    <w:rsid w:val="00735C2C"/>
    <w:rsid w:val="00751CF5"/>
    <w:rsid w:val="007668D4"/>
    <w:rsid w:val="00767490"/>
    <w:rsid w:val="00784460"/>
    <w:rsid w:val="007A1D61"/>
    <w:rsid w:val="007C2374"/>
    <w:rsid w:val="00864DCE"/>
    <w:rsid w:val="00895AA8"/>
    <w:rsid w:val="008D78FD"/>
    <w:rsid w:val="009C571B"/>
    <w:rsid w:val="00A64291"/>
    <w:rsid w:val="00A84397"/>
    <w:rsid w:val="00A97994"/>
    <w:rsid w:val="00B63381"/>
    <w:rsid w:val="00B90DB3"/>
    <w:rsid w:val="00C826C3"/>
    <w:rsid w:val="00CE63C0"/>
    <w:rsid w:val="00DA3DC0"/>
    <w:rsid w:val="00DC2A52"/>
    <w:rsid w:val="00E17D62"/>
    <w:rsid w:val="00E31714"/>
    <w:rsid w:val="00E465C0"/>
    <w:rsid w:val="00E53F6E"/>
    <w:rsid w:val="00ED28EC"/>
    <w:rsid w:val="00EF7DE4"/>
    <w:rsid w:val="00F76643"/>
    <w:rsid w:val="00FA248D"/>
    <w:rsid w:val="00F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34136"/>
  <w15:chartTrackingRefBased/>
  <w15:docId w15:val="{AEC37099-C70D-48C6-AB2C-9EDE7928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режа в таблица1"/>
    <w:basedOn w:val="a1"/>
    <w:next w:val="a3"/>
    <w:uiPriority w:val="39"/>
    <w:rsid w:val="00B6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6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61</cp:revision>
  <dcterms:created xsi:type="dcterms:W3CDTF">2017-01-17T10:02:00Z</dcterms:created>
  <dcterms:modified xsi:type="dcterms:W3CDTF">2017-01-18T11:09:00Z</dcterms:modified>
</cp:coreProperties>
</file>