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9D3" w:rsidRPr="00D119D3" w:rsidRDefault="00D119D3" w:rsidP="00CB0C1F">
      <w:pPr>
        <w:spacing w:after="0"/>
        <w:jc w:val="center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>ДЕМОГРАФСКИ ПРЕДИЗВИКАТЕЛСТВА ПРЕД ЗДРАВНАТА СИСТЕМА</w:t>
      </w:r>
    </w:p>
    <w:p w:rsidR="00D119D3" w:rsidRPr="00D119D3" w:rsidRDefault="00D119D3" w:rsidP="00CB0C1F">
      <w:pPr>
        <w:spacing w:after="0"/>
        <w:jc w:val="center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:rsidR="00D119D3" w:rsidRPr="00CB0C1F" w:rsidRDefault="00CB0C1F" w:rsidP="00CB0C1F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експерт Ани ЗДРАВКОВА</w:t>
      </w:r>
    </w:p>
    <w:p w:rsidR="00D119D3" w:rsidRPr="00CB0C1F" w:rsidRDefault="00D119D3" w:rsidP="00CB0C1F">
      <w:pPr>
        <w:spacing w:after="0"/>
        <w:jc w:val="right"/>
        <w:rPr>
          <w:rFonts w:ascii="Times New Roman" w:hAnsi="Times New Roman" w:cs="Times New Roman"/>
          <w:noProof w:val="0"/>
          <w:sz w:val="24"/>
          <w:szCs w:val="24"/>
        </w:rPr>
      </w:pPr>
      <w:r w:rsidRPr="00CB0C1F">
        <w:rPr>
          <w:rFonts w:ascii="Times New Roman" w:hAnsi="Times New Roman" w:cs="Times New Roman"/>
          <w:noProof w:val="0"/>
          <w:sz w:val="24"/>
          <w:szCs w:val="24"/>
        </w:rPr>
        <w:t>Национален център по обществено здраве и анализи</w:t>
      </w:r>
    </w:p>
    <w:p w:rsidR="00D119D3" w:rsidRPr="00D119D3" w:rsidRDefault="00D119D3" w:rsidP="00CB0C1F">
      <w:p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:rsidR="0048087D" w:rsidRDefault="00D119D3" w:rsidP="00CB0C1F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ab/>
        <w:t>Резюме</w:t>
      </w:r>
      <w:r w:rsidR="00655BFE">
        <w:rPr>
          <w:rFonts w:ascii="Times New Roman" w:hAnsi="Times New Roman" w:cs="Times New Roman"/>
          <w:b/>
          <w:noProof w:val="0"/>
          <w:sz w:val="24"/>
          <w:szCs w:val="24"/>
        </w:rPr>
        <w:t>:</w:t>
      </w:r>
      <w:r w:rsidR="008E287E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="008E287E">
        <w:rPr>
          <w:rFonts w:ascii="Times New Roman" w:hAnsi="Times New Roman" w:cs="Times New Roman"/>
          <w:noProof w:val="0"/>
          <w:sz w:val="24"/>
          <w:szCs w:val="24"/>
        </w:rPr>
        <w:t>Демографс</w:t>
      </w:r>
      <w:r w:rsidR="00B71FBF">
        <w:rPr>
          <w:rFonts w:ascii="Times New Roman" w:hAnsi="Times New Roman" w:cs="Times New Roman"/>
          <w:noProof w:val="0"/>
          <w:sz w:val="24"/>
          <w:szCs w:val="24"/>
        </w:rPr>
        <w:t>ките тенденции и процеси в световен, европейски и национален аспект през последните 5-6 години доведоха до рискови ситуации, които застрашават сигурността</w:t>
      </w:r>
      <w:r w:rsidR="00D525FC">
        <w:rPr>
          <w:rFonts w:ascii="Times New Roman" w:hAnsi="Times New Roman" w:cs="Times New Roman"/>
          <w:noProof w:val="0"/>
          <w:sz w:val="24"/>
          <w:szCs w:val="24"/>
        </w:rPr>
        <w:t xml:space="preserve"> и</w:t>
      </w:r>
      <w:r w:rsidR="00B71FBF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BD04EE">
        <w:rPr>
          <w:rFonts w:ascii="Times New Roman" w:hAnsi="Times New Roman" w:cs="Times New Roman"/>
          <w:noProof w:val="0"/>
          <w:sz w:val="24"/>
          <w:szCs w:val="24"/>
        </w:rPr>
        <w:t>суверенитета</w:t>
      </w:r>
      <w:r w:rsidR="00D525FC">
        <w:rPr>
          <w:rFonts w:ascii="Times New Roman" w:hAnsi="Times New Roman" w:cs="Times New Roman"/>
          <w:noProof w:val="0"/>
          <w:sz w:val="24"/>
          <w:szCs w:val="24"/>
        </w:rPr>
        <w:t xml:space="preserve"> на държавите. Трайното намаляване на раждаемостта и увеличаване на смъртността водят до</w:t>
      </w:r>
      <w:r w:rsidR="00CA1FD0">
        <w:rPr>
          <w:rFonts w:ascii="Times New Roman" w:hAnsi="Times New Roman" w:cs="Times New Roman"/>
          <w:noProof w:val="0"/>
          <w:sz w:val="24"/>
          <w:szCs w:val="24"/>
        </w:rPr>
        <w:t xml:space="preserve"> постоянен отрицателен прираст, което оказва влияние на социално-икономическото развитие.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48087D" w:rsidRPr="00D119D3">
        <w:rPr>
          <w:rFonts w:ascii="Times New Roman" w:hAnsi="Times New Roman" w:cs="Times New Roman"/>
          <w:noProof w:val="0"/>
          <w:sz w:val="24"/>
          <w:szCs w:val="24"/>
        </w:rPr>
        <w:t>Исторически погледнато причините, които обуславят миграционното поведение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48087D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при </w:t>
      </w:r>
      <w:r w:rsidR="0048087D" w:rsidRPr="00D119D3">
        <w:rPr>
          <w:rFonts w:ascii="Times New Roman" w:hAnsi="Times New Roman" w:cs="Times New Roman"/>
          <w:i/>
          <w:noProof w:val="0"/>
          <w:sz w:val="24"/>
          <w:szCs w:val="24"/>
        </w:rPr>
        <w:t>„Великото преселение на народите“,</w:t>
      </w:r>
      <w:r w:rsidR="0048087D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са различни от тези по време и след двете световни войни и процесите, които се наблюдават днес в Европа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>.</w:t>
      </w:r>
      <w:r w:rsidR="0048087D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>Съвременната европейска миграционна политика преминава през политиките за убежище и миграция с Амстердамският договор,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48087D" w:rsidRPr="0048087D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>п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 xml:space="preserve">рограма 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>о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>т Тампере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>,</w:t>
      </w:r>
      <w:r w:rsidR="00392E97" w:rsidRPr="00392E97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 xml:space="preserve">Хагската и Стокхолмската програма 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>до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 xml:space="preserve"> Дъблинския регламент 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>и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 xml:space="preserve"> създаването на новата</w:t>
      </w:r>
      <w:r w:rsidR="00392E97" w:rsidRPr="00392E97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392E97">
        <w:rPr>
          <w:rFonts w:ascii="Times New Roman" w:hAnsi="Times New Roman" w:cs="Times New Roman"/>
          <w:noProof w:val="0"/>
          <w:sz w:val="24"/>
          <w:szCs w:val="24"/>
        </w:rPr>
        <w:t xml:space="preserve">Европейска агенция за гранична и брегова охрана през 2016 г. 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>Около 5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 xml:space="preserve"> % от мигрантите се нуждаят от 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>медицинска помощ поради неадекватни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>те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 xml:space="preserve"> условия на живот и лошата хигиена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>, които са в основата за увеличаване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 xml:space="preserve"> опасността от разпространение на инфекциозни заболявания</w:t>
      </w:r>
      <w:r w:rsidR="00697D8F">
        <w:rPr>
          <w:rFonts w:ascii="Times New Roman" w:hAnsi="Times New Roman" w:cs="Times New Roman"/>
          <w:noProof w:val="0"/>
          <w:sz w:val="24"/>
          <w:szCs w:val="24"/>
        </w:rPr>
        <w:t>.</w:t>
      </w:r>
      <w:r w:rsidR="0048087D">
        <w:rPr>
          <w:rFonts w:ascii="Times New Roman" w:hAnsi="Times New Roman" w:cs="Times New Roman"/>
          <w:noProof w:val="0"/>
          <w:sz w:val="24"/>
          <w:szCs w:val="24"/>
        </w:rPr>
        <w:tab/>
      </w:r>
    </w:p>
    <w:p w:rsidR="00CA1FD0" w:rsidRPr="008E287E" w:rsidRDefault="00CA1FD0" w:rsidP="00CB0C1F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D119D3" w:rsidRPr="00CB0C1F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 xml:space="preserve">Ключови думи: </w:t>
      </w:r>
      <w:r w:rsidRPr="00CB0C1F">
        <w:rPr>
          <w:rFonts w:ascii="Times New Roman" w:hAnsi="Times New Roman" w:cs="Times New Roman"/>
          <w:noProof w:val="0"/>
          <w:sz w:val="24"/>
          <w:szCs w:val="24"/>
        </w:rPr>
        <w:t>демография, миграция, здравеопазване, инфекциозни и                                        заразни болести</w:t>
      </w:r>
      <w:r w:rsidR="00CB0C1F" w:rsidRPr="00CB0C1F">
        <w:rPr>
          <w:rFonts w:ascii="Times New Roman" w:hAnsi="Times New Roman" w:cs="Times New Roman"/>
          <w:noProof w:val="0"/>
          <w:sz w:val="24"/>
          <w:szCs w:val="24"/>
          <w:lang w:val="ru-RU"/>
        </w:rPr>
        <w:t>;</w:t>
      </w:r>
    </w:p>
    <w:p w:rsidR="00D119D3" w:rsidRPr="00D119D3" w:rsidRDefault="00D119D3" w:rsidP="00CB0C1F">
      <w:p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</w:p>
    <w:p w:rsidR="00D119D3" w:rsidRPr="00672485" w:rsidRDefault="00D119D3" w:rsidP="00672485">
      <w:pPr>
        <w:pStyle w:val="a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672485">
        <w:rPr>
          <w:rFonts w:ascii="Times New Roman" w:hAnsi="Times New Roman" w:cs="Times New Roman"/>
          <w:b/>
          <w:noProof w:val="0"/>
          <w:sz w:val="24"/>
          <w:szCs w:val="24"/>
        </w:rPr>
        <w:t>Характеристика на демографските тенденции и процеси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Първите видими сигнали за неблагоприятни процеси в демографското развитие на България се появяват в средата на двадесети век. Трайното намал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>яван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>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на раждаемостта и увеличаване на смъртността доведоха до устойчив отрицателен естествен прираст на на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>селението, кой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>то за 2015г. е -6.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2 на 1000 души население. Тенденцията за намаляване на раждаемостта не е типична само за България, а отличителна характеристика на демографското развитие на стария континент за страни като</w:t>
      </w:r>
      <w:r w:rsidR="00E80C47">
        <w:rPr>
          <w:rFonts w:ascii="Times New Roman" w:hAnsi="Times New Roman" w:cs="Times New Roman"/>
          <w:noProof w:val="0"/>
          <w:sz w:val="24"/>
          <w:szCs w:val="24"/>
        </w:rPr>
        <w:t xml:space="preserve"> Италия, Португалия и Гърция, но най-значителен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спад се отчита в страните от Източна Европа – Унгария, Хърватия, Литва, Латвия, Естония и Румъния. Изключение правят Турция, Албания и Исландия.</w:t>
      </w:r>
    </w:p>
    <w:p w:rsidR="00D119D3" w:rsidRPr="00D119D3" w:rsidRDefault="00E80C47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За първи път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през 2015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>г. ЕС регистрира отрицателен прираст на населението, въ</w:t>
      </w:r>
      <w:r w:rsidR="00FB41DD">
        <w:rPr>
          <w:rFonts w:ascii="Times New Roman" w:hAnsi="Times New Roman" w:cs="Times New Roman"/>
          <w:noProof w:val="0"/>
          <w:sz w:val="24"/>
          <w:szCs w:val="24"/>
        </w:rPr>
        <w:t>преки установяването на близо 1.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>897 милиона мигранти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за същата година.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Етническата принадлежност в България показва осезаемо различие по показателя брой живородени деца. Така например 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 xml:space="preserve">при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жените от ромски произход над 18%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 xml:space="preserve"> имат пет и повече деца, над 16% - четири деца и над 32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% по три деца. При женит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>е с турска принадлежност над 50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% имат по пет и повече деца и над 28% по четири деца. Тези две категории граждани поддържат основния дял на българския естествен прираст на населението.</w:t>
      </w:r>
    </w:p>
    <w:p w:rsid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lastRenderedPageBreak/>
        <w:t>Бавният ръст на продължителността на живота, съчетан с поколенческия ефект, довежда до увеличаване броя на умиранията</w:t>
      </w:r>
      <w:r w:rsidRPr="00D119D3">
        <w:rPr>
          <w:rStyle w:val="a5"/>
          <w:rFonts w:ascii="Times New Roman" w:hAnsi="Times New Roman" w:cs="Times New Roman"/>
          <w:noProof w:val="0"/>
          <w:sz w:val="24"/>
          <w:szCs w:val="24"/>
        </w:rPr>
        <w:footnoteReference w:id="1"/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, като средната продължителност на живота на населението в България стагнира.</w:t>
      </w:r>
    </w:p>
    <w:p w:rsidR="00D119D3" w:rsidRPr="00CA1FD0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312"/>
        <w:gridCol w:w="947"/>
        <w:gridCol w:w="992"/>
        <w:gridCol w:w="1391"/>
        <w:gridCol w:w="1183"/>
      </w:tblGrid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  <w:t>година</w:t>
            </w:r>
          </w:p>
        </w:tc>
        <w:tc>
          <w:tcPr>
            <w:tcW w:w="131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  <w:t>население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  <w:t>мъже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  <w:t>жени</w:t>
            </w:r>
          </w:p>
        </w:tc>
        <w:tc>
          <w:tcPr>
            <w:tcW w:w="1391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  <w:t>в градовете</w:t>
            </w:r>
          </w:p>
        </w:tc>
        <w:tc>
          <w:tcPr>
            <w:tcW w:w="118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b/>
                <w:noProof w:val="0"/>
                <w:sz w:val="20"/>
                <w:szCs w:val="20"/>
              </w:rPr>
              <w:t>в селата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2005</w:t>
            </w:r>
          </w:p>
        </w:tc>
        <w:tc>
          <w:tcPr>
            <w:tcW w:w="1312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7718.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8</w:t>
            </w:r>
          </w:p>
        </w:tc>
        <w:tc>
          <w:tcPr>
            <w:tcW w:w="947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743.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DA5675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3975.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4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DA5675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5416.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2302.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2006          </w:t>
            </w:r>
          </w:p>
        </w:tc>
        <w:tc>
          <w:tcPr>
            <w:tcW w:w="131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7679.3 </w:t>
            </w:r>
          </w:p>
        </w:tc>
        <w:tc>
          <w:tcPr>
            <w:tcW w:w="947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720.9 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958.4</w:t>
            </w:r>
          </w:p>
        </w:tc>
        <w:tc>
          <w:tcPr>
            <w:tcW w:w="1391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DA5675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5425.3</w:t>
            </w:r>
          </w:p>
        </w:tc>
        <w:tc>
          <w:tcPr>
            <w:tcW w:w="118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2254.0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2007         </w:t>
            </w:r>
          </w:p>
        </w:tc>
        <w:tc>
          <w:tcPr>
            <w:tcW w:w="131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7640.2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3699.7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940.5</w:t>
            </w:r>
          </w:p>
        </w:tc>
        <w:tc>
          <w:tcPr>
            <w:tcW w:w="1391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DA5675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5403.2</w:t>
            </w:r>
          </w:p>
        </w:tc>
        <w:tc>
          <w:tcPr>
            <w:tcW w:w="118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2237.0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2008</w:t>
            </w:r>
          </w:p>
        </w:tc>
        <w:tc>
          <w:tcPr>
            <w:tcW w:w="1312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7606.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681.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DA5675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3925.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3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5407.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2199.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2009</w:t>
            </w:r>
          </w:p>
        </w:tc>
        <w:tc>
          <w:tcPr>
            <w:tcW w:w="1312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7563.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659.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904.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4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5401.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2162.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2010</w:t>
            </w:r>
          </w:p>
        </w:tc>
        <w:tc>
          <w:tcPr>
            <w:tcW w:w="131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7504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9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629.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875.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1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5375.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2129.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8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2011</w:t>
            </w:r>
          </w:p>
        </w:tc>
        <w:tc>
          <w:tcPr>
            <w:tcW w:w="1312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7327.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DA5675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3566.8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760.4</w:t>
            </w:r>
          </w:p>
        </w:tc>
        <w:tc>
          <w:tcPr>
            <w:tcW w:w="1391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5324.9</w:t>
            </w:r>
          </w:p>
        </w:tc>
        <w:tc>
          <w:tcPr>
            <w:tcW w:w="118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2002.3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2012</w:t>
            </w:r>
          </w:p>
        </w:tc>
        <w:tc>
          <w:tcPr>
            <w:tcW w:w="1312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7282.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0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543.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738.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4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5306.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1975.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8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2013</w:t>
            </w:r>
          </w:p>
        </w:tc>
        <w:tc>
          <w:tcPr>
            <w:tcW w:w="1312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7245.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524.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720.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5291.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1954.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0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2014</w:t>
            </w:r>
          </w:p>
        </w:tc>
        <w:tc>
          <w:tcPr>
            <w:tcW w:w="1312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7202.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502.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0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700.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5267.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1934.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</w:t>
            </w:r>
          </w:p>
        </w:tc>
      </w:tr>
      <w:tr w:rsidR="00D119D3" w:rsidRPr="00CA1FD0" w:rsidTr="00795CE1">
        <w:trPr>
          <w:jc w:val="center"/>
        </w:trPr>
        <w:tc>
          <w:tcPr>
            <w:tcW w:w="963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2015</w:t>
            </w:r>
          </w:p>
        </w:tc>
        <w:tc>
          <w:tcPr>
            <w:tcW w:w="1312" w:type="dxa"/>
          </w:tcPr>
          <w:p w:rsidR="00D119D3" w:rsidRPr="00CA1FD0" w:rsidRDefault="00DA5675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7153.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8</w:t>
            </w:r>
          </w:p>
        </w:tc>
        <w:tc>
          <w:tcPr>
            <w:tcW w:w="947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477.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D119D3" w:rsidRPr="00CA1FD0" w:rsidRDefault="00D119D3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</w:t>
            </w:r>
            <w:r w:rsidR="00204992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676.</w:t>
            </w: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</w:t>
            </w:r>
          </w:p>
        </w:tc>
        <w:tc>
          <w:tcPr>
            <w:tcW w:w="1391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 5267.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5</w:t>
            </w:r>
          </w:p>
        </w:tc>
        <w:tc>
          <w:tcPr>
            <w:tcW w:w="1183" w:type="dxa"/>
          </w:tcPr>
          <w:p w:rsidR="00D119D3" w:rsidRPr="00CA1FD0" w:rsidRDefault="00204992" w:rsidP="00CB0C1F">
            <w:pPr>
              <w:spacing w:line="276" w:lineRule="auto"/>
              <w:jc w:val="both"/>
              <w:rPr>
                <w:rFonts w:ascii="Times New Roman" w:hAnsi="Times New Roman" w:cs="Times New Roman"/>
                <w:noProof w:val="0"/>
                <w:sz w:val="20"/>
                <w:szCs w:val="20"/>
              </w:rPr>
            </w:pPr>
            <w:r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 xml:space="preserve">   1926.</w:t>
            </w:r>
            <w:r w:rsidR="00D119D3" w:rsidRPr="00CA1FD0">
              <w:rPr>
                <w:rFonts w:ascii="Times New Roman" w:hAnsi="Times New Roman" w:cs="Times New Roman"/>
                <w:noProof w:val="0"/>
                <w:sz w:val="20"/>
                <w:szCs w:val="20"/>
              </w:rPr>
              <w:t>6</w:t>
            </w:r>
          </w:p>
        </w:tc>
      </w:tr>
    </w:tbl>
    <w:p w:rsidR="00D119D3" w:rsidRPr="00CA1FD0" w:rsidRDefault="00D119D3" w:rsidP="00CB0C1F">
      <w:pPr>
        <w:spacing w:after="0"/>
        <w:jc w:val="both"/>
        <w:rPr>
          <w:rFonts w:ascii="Times New Roman" w:hAnsi="Times New Roman" w:cs="Times New Roman"/>
          <w:b/>
          <w:noProof w:val="0"/>
          <w:color w:val="FF0000"/>
          <w:sz w:val="20"/>
          <w:szCs w:val="20"/>
        </w:rPr>
      </w:pPr>
      <w:r w:rsidRPr="00CA1FD0">
        <w:rPr>
          <w:rFonts w:ascii="Times New Roman" w:hAnsi="Times New Roman" w:cs="Times New Roman"/>
          <w:b/>
          <w:noProof w:val="0"/>
          <w:color w:val="FF0000"/>
          <w:sz w:val="20"/>
          <w:szCs w:val="20"/>
        </w:rPr>
        <w:t xml:space="preserve">    </w:t>
      </w:r>
    </w:p>
    <w:p w:rsidR="00D119D3" w:rsidRPr="00795CE1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795CE1">
        <w:rPr>
          <w:rFonts w:ascii="Times New Roman" w:hAnsi="Times New Roman" w:cs="Times New Roman"/>
          <w:b/>
          <w:noProof w:val="0"/>
          <w:sz w:val="20"/>
          <w:szCs w:val="20"/>
        </w:rPr>
        <w:t xml:space="preserve">            Таблица</w:t>
      </w:r>
      <w:r w:rsidR="00795CE1">
        <w:rPr>
          <w:rFonts w:ascii="Times New Roman" w:hAnsi="Times New Roman" w:cs="Times New Roman"/>
          <w:b/>
          <w:noProof w:val="0"/>
          <w:sz w:val="20"/>
          <w:szCs w:val="20"/>
        </w:rPr>
        <w:t xml:space="preserve"> </w:t>
      </w:r>
      <w:r w:rsidRPr="00795CE1">
        <w:rPr>
          <w:rFonts w:ascii="Times New Roman" w:hAnsi="Times New Roman" w:cs="Times New Roman"/>
          <w:b/>
          <w:noProof w:val="0"/>
          <w:sz w:val="20"/>
          <w:szCs w:val="20"/>
        </w:rPr>
        <w:t>№</w:t>
      </w:r>
      <w:r w:rsidR="00795CE1">
        <w:rPr>
          <w:rFonts w:ascii="Times New Roman" w:hAnsi="Times New Roman" w:cs="Times New Roman"/>
          <w:b/>
          <w:noProof w:val="0"/>
          <w:sz w:val="20"/>
          <w:szCs w:val="20"/>
        </w:rPr>
        <w:t xml:space="preserve"> </w:t>
      </w:r>
      <w:r w:rsidR="00DE00B6">
        <w:rPr>
          <w:rFonts w:ascii="Times New Roman" w:hAnsi="Times New Roman" w:cs="Times New Roman"/>
          <w:b/>
          <w:noProof w:val="0"/>
          <w:sz w:val="20"/>
          <w:szCs w:val="20"/>
        </w:rPr>
        <w:t>1. Общ брои население на България</w:t>
      </w:r>
      <w:r w:rsidRPr="00795CE1">
        <w:rPr>
          <w:rFonts w:ascii="Times New Roman" w:hAnsi="Times New Roman" w:cs="Times New Roman"/>
          <w:b/>
          <w:noProof w:val="0"/>
          <w:sz w:val="20"/>
          <w:szCs w:val="20"/>
        </w:rPr>
        <w:t xml:space="preserve"> по години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</w:p>
    <w:p w:rsidR="00D119D3" w:rsidRPr="00D119D3" w:rsidRDefault="00795CE1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Тази тенденция оказва з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>начител</w:t>
      </w:r>
      <w:r>
        <w:rPr>
          <w:rFonts w:ascii="Times New Roman" w:hAnsi="Times New Roman" w:cs="Times New Roman"/>
          <w:noProof w:val="0"/>
          <w:sz w:val="24"/>
          <w:szCs w:val="24"/>
        </w:rPr>
        <w:t>но влияние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върху социално-икономическото развитие на прехода и интензивното напускане на страната, както от млади хора търсещи своето реализиране, така и на големи групи безработни граждани останали без надеждата за възможност да намерят своята трудова реализация в родината. Така на практика година след година селата </w:t>
      </w:r>
      <w:r w:rsidR="00C14DB8">
        <w:rPr>
          <w:rFonts w:ascii="Times New Roman" w:hAnsi="Times New Roman" w:cs="Times New Roman"/>
          <w:noProof w:val="0"/>
          <w:sz w:val="24"/>
          <w:szCs w:val="24"/>
        </w:rPr>
        <w:t xml:space="preserve">и малките градове 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се обезлюдяват, а училища и здравни заведения се закриват. 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За да настъпи обрат в качествените характеристики на населението са необходими значителни количествени изменения в един продължителен период от време използвайки социалните и демографски</w:t>
      </w:r>
      <w:r w:rsidR="00BF179E">
        <w:rPr>
          <w:rFonts w:ascii="Times New Roman" w:hAnsi="Times New Roman" w:cs="Times New Roman"/>
          <w:noProof w:val="0"/>
          <w:sz w:val="24"/>
          <w:szCs w:val="24"/>
        </w:rPr>
        <w:t xml:space="preserve"> програми и политики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макар, че техният ефект се проявява с известен лаг във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 xml:space="preserve"> времето и предназначението им з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а огранича</w:t>
      </w:r>
      <w:r w:rsidR="00BF179E">
        <w:rPr>
          <w:rFonts w:ascii="Times New Roman" w:hAnsi="Times New Roman" w:cs="Times New Roman"/>
          <w:noProof w:val="0"/>
          <w:sz w:val="24"/>
          <w:szCs w:val="24"/>
        </w:rPr>
        <w:t>ва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>не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последиците от неблагоприятното демографско отражение.</w:t>
      </w:r>
    </w:p>
    <w:p w:rsid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Следващият демографски проблем е увеличаващата се тенденция на застаряващото население и нараства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>щ</w:t>
      </w:r>
      <w:r w:rsidR="00FE3F01">
        <w:rPr>
          <w:rFonts w:ascii="Times New Roman" w:hAnsi="Times New Roman" w:cs="Times New Roman"/>
          <w:noProof w:val="0"/>
          <w:sz w:val="24"/>
          <w:szCs w:val="24"/>
        </w:rPr>
        <w:t>ия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броя на хората извън трудоспособна възраст, което оказва влияние върху социално-демографските структури и развитието на националния човешки капитал, включващ здравната характеристика и образователната структура на населението. </w:t>
      </w:r>
      <w:r w:rsidR="00BF179E">
        <w:rPr>
          <w:rFonts w:ascii="Times New Roman" w:hAnsi="Times New Roman" w:cs="Times New Roman"/>
          <w:noProof w:val="0"/>
          <w:sz w:val="24"/>
          <w:szCs w:val="24"/>
        </w:rPr>
        <w:t>Разходите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свързани със здравеопазване и социално подпомагане за </w:t>
      </w:r>
      <w:r w:rsidR="00BF179E">
        <w:rPr>
          <w:rFonts w:ascii="Times New Roman" w:hAnsi="Times New Roman" w:cs="Times New Roman"/>
          <w:noProof w:val="0"/>
          <w:sz w:val="24"/>
          <w:szCs w:val="24"/>
        </w:rPr>
        <w:t>тази група от хора се увеличава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, а тяхното осигуряване се превръща в сериозно предизвикателство за</w:t>
      </w:r>
      <w:r w:rsidR="00BF179E">
        <w:rPr>
          <w:rFonts w:ascii="Times New Roman" w:hAnsi="Times New Roman" w:cs="Times New Roman"/>
          <w:noProof w:val="0"/>
          <w:sz w:val="24"/>
          <w:szCs w:val="24"/>
        </w:rPr>
        <w:t xml:space="preserve"> държавния бюджет.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Нищо не показва, че тази тенденция ще се промени.</w:t>
      </w:r>
      <w:r w:rsidR="00BF179E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DE00B6">
        <w:rPr>
          <w:rFonts w:ascii="Times New Roman" w:hAnsi="Times New Roman" w:cs="Times New Roman"/>
          <w:noProof w:val="0"/>
          <w:sz w:val="24"/>
          <w:szCs w:val="24"/>
        </w:rPr>
        <w:t>С увеличаване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броя на старите хора нараства и нуждата от здравни грижи. В бъдеще възрастното население ще има</w:t>
      </w:r>
      <w:r w:rsidR="00F661B7">
        <w:rPr>
          <w:rFonts w:ascii="Times New Roman" w:hAnsi="Times New Roman" w:cs="Times New Roman"/>
          <w:noProof w:val="0"/>
          <w:sz w:val="24"/>
          <w:szCs w:val="24"/>
        </w:rPr>
        <w:t xml:space="preserve"> все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по</w:t>
      </w:r>
      <w:r w:rsidR="00F661B7">
        <w:rPr>
          <w:rFonts w:ascii="Times New Roman" w:hAnsi="Times New Roman" w:cs="Times New Roman"/>
          <w:noProof w:val="0"/>
          <w:sz w:val="24"/>
          <w:szCs w:val="24"/>
        </w:rPr>
        <w:t>-</w:t>
      </w:r>
      <w:r w:rsidR="00AD1273">
        <w:rPr>
          <w:rFonts w:ascii="Times New Roman" w:hAnsi="Times New Roman" w:cs="Times New Roman"/>
          <w:noProof w:val="0"/>
          <w:sz w:val="24"/>
          <w:szCs w:val="24"/>
        </w:rPr>
        <w:t>високи очаквания за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качеството на </w:t>
      </w:r>
      <w:r w:rsidR="00AD1273">
        <w:rPr>
          <w:rFonts w:ascii="Times New Roman" w:hAnsi="Times New Roman" w:cs="Times New Roman"/>
          <w:noProof w:val="0"/>
          <w:sz w:val="24"/>
          <w:szCs w:val="24"/>
        </w:rPr>
        <w:t>своя живот, на кой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то биха искали да се радват, </w:t>
      </w:r>
      <w:r w:rsidR="00AD1273">
        <w:rPr>
          <w:rFonts w:ascii="Times New Roman" w:hAnsi="Times New Roman" w:cs="Times New Roman"/>
          <w:noProof w:val="0"/>
          <w:sz w:val="24"/>
          <w:szCs w:val="24"/>
        </w:rPr>
        <w:t>чрез</w:t>
      </w:r>
      <w:r w:rsidR="00FE3F01">
        <w:rPr>
          <w:rFonts w:ascii="Times New Roman" w:hAnsi="Times New Roman" w:cs="Times New Roman"/>
          <w:noProof w:val="0"/>
          <w:sz w:val="24"/>
          <w:szCs w:val="24"/>
        </w:rPr>
        <w:t xml:space="preserve"> стандартите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и обема на здравните услуги, които считат че им се полагат.</w:t>
      </w:r>
    </w:p>
    <w:p w:rsidR="00C25167" w:rsidRPr="00C25167" w:rsidRDefault="00C25167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993"/>
        <w:gridCol w:w="1287"/>
        <w:gridCol w:w="1134"/>
        <w:gridCol w:w="1313"/>
      </w:tblGrid>
      <w:tr w:rsidR="00C25167" w:rsidRPr="00C25167" w:rsidTr="00C25167">
        <w:trPr>
          <w:jc w:val="center"/>
        </w:trPr>
        <w:tc>
          <w:tcPr>
            <w:tcW w:w="1134" w:type="dxa"/>
            <w:vMerge w:val="restart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Години</w:t>
            </w:r>
          </w:p>
        </w:tc>
        <w:tc>
          <w:tcPr>
            <w:tcW w:w="993" w:type="dxa"/>
            <w:vMerge w:val="restart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Общо %</w:t>
            </w:r>
          </w:p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34" w:type="dxa"/>
            <w:gridSpan w:val="3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Възрастови групи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  <w:vMerge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0 – 17</w:t>
            </w:r>
            <w:r w:rsidR="003930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г.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18 – 64</w:t>
            </w:r>
            <w:r w:rsidR="003930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г.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  <w:r w:rsidRPr="00C2516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+</w:t>
            </w:r>
            <w:r w:rsidRPr="00C251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г.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lastRenderedPageBreak/>
              <w:t>2010</w:t>
            </w:r>
          </w:p>
        </w:tc>
        <w:tc>
          <w:tcPr>
            <w:tcW w:w="99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16.7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65.6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17.7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2011</w:t>
            </w:r>
          </w:p>
        </w:tc>
        <w:tc>
          <w:tcPr>
            <w:tcW w:w="99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16.1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65.0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18.9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2012</w:t>
            </w:r>
          </w:p>
        </w:tc>
        <w:tc>
          <w:tcPr>
            <w:tcW w:w="99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16.2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64.7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19.1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2013</w:t>
            </w:r>
          </w:p>
        </w:tc>
        <w:tc>
          <w:tcPr>
            <w:tcW w:w="99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16.3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64.2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19.5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2014</w:t>
            </w:r>
          </w:p>
        </w:tc>
        <w:tc>
          <w:tcPr>
            <w:tcW w:w="99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16.4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63.6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20.0</w:t>
            </w:r>
          </w:p>
        </w:tc>
      </w:tr>
      <w:tr w:rsidR="00C25167" w:rsidRPr="00C25167" w:rsidTr="00C25167">
        <w:trPr>
          <w:jc w:val="center"/>
        </w:trPr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2015</w:t>
            </w:r>
          </w:p>
        </w:tc>
        <w:tc>
          <w:tcPr>
            <w:tcW w:w="99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287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16.6</w:t>
            </w:r>
          </w:p>
        </w:tc>
        <w:tc>
          <w:tcPr>
            <w:tcW w:w="1134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63.0</w:t>
            </w:r>
          </w:p>
        </w:tc>
        <w:tc>
          <w:tcPr>
            <w:tcW w:w="1313" w:type="dxa"/>
          </w:tcPr>
          <w:p w:rsidR="00C25167" w:rsidRPr="00C25167" w:rsidRDefault="00C25167" w:rsidP="00CB0C1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5167">
              <w:rPr>
                <w:rFonts w:ascii="Times New Roman" w:hAnsi="Times New Roman" w:cs="Times New Roman"/>
                <w:lang w:val="en-US"/>
              </w:rPr>
              <w:t>20.4</w:t>
            </w:r>
          </w:p>
        </w:tc>
      </w:tr>
    </w:tbl>
    <w:p w:rsidR="00C25167" w:rsidRDefault="00C25167" w:rsidP="00CB0C1F">
      <w:pPr>
        <w:spacing w:after="0"/>
        <w:jc w:val="both"/>
        <w:rPr>
          <w:rFonts w:ascii="Times New Roman" w:hAnsi="Times New Roman" w:cs="Times New Roman"/>
          <w:b/>
          <w:noProof w:val="0"/>
          <w:color w:val="FF0000"/>
          <w:sz w:val="20"/>
          <w:szCs w:val="20"/>
        </w:rPr>
      </w:pPr>
    </w:p>
    <w:p w:rsidR="00D119D3" w:rsidRPr="003930BD" w:rsidRDefault="00D119D3" w:rsidP="00CB0C1F">
      <w:pPr>
        <w:spacing w:after="0"/>
        <w:jc w:val="both"/>
        <w:rPr>
          <w:rFonts w:ascii="Times New Roman" w:hAnsi="Times New Roman" w:cs="Times New Roman"/>
          <w:b/>
          <w:noProof w:val="0"/>
          <w:sz w:val="20"/>
          <w:szCs w:val="20"/>
        </w:rPr>
      </w:pPr>
      <w:r w:rsidRPr="00D119D3">
        <w:rPr>
          <w:rFonts w:ascii="Times New Roman" w:hAnsi="Times New Roman" w:cs="Times New Roman"/>
          <w:b/>
          <w:noProof w:val="0"/>
          <w:color w:val="FF0000"/>
          <w:sz w:val="24"/>
          <w:szCs w:val="24"/>
        </w:rPr>
        <w:t xml:space="preserve">    </w:t>
      </w:r>
      <w:r w:rsidR="00C25167">
        <w:rPr>
          <w:rFonts w:ascii="Times New Roman" w:hAnsi="Times New Roman" w:cs="Times New Roman"/>
          <w:b/>
          <w:noProof w:val="0"/>
          <w:color w:val="FF0000"/>
          <w:sz w:val="24"/>
          <w:szCs w:val="24"/>
        </w:rPr>
        <w:t xml:space="preserve">                      </w:t>
      </w:r>
      <w:r w:rsidR="00BD531C" w:rsidRPr="003930BD">
        <w:rPr>
          <w:rFonts w:ascii="Times New Roman" w:hAnsi="Times New Roman" w:cs="Times New Roman"/>
          <w:b/>
          <w:noProof w:val="0"/>
          <w:sz w:val="20"/>
          <w:szCs w:val="20"/>
        </w:rPr>
        <w:t>Таблица</w:t>
      </w:r>
      <w:r w:rsidRPr="003930BD">
        <w:rPr>
          <w:rFonts w:ascii="Times New Roman" w:hAnsi="Times New Roman" w:cs="Times New Roman"/>
          <w:b/>
          <w:noProof w:val="0"/>
          <w:sz w:val="20"/>
          <w:szCs w:val="20"/>
        </w:rPr>
        <w:t xml:space="preserve"> № 2. Възрастова структура на населението</w:t>
      </w:r>
      <w:r w:rsidR="00CA1FD0">
        <w:rPr>
          <w:rFonts w:ascii="Times New Roman" w:hAnsi="Times New Roman" w:cs="Times New Roman"/>
          <w:b/>
          <w:noProof w:val="0"/>
          <w:sz w:val="20"/>
          <w:szCs w:val="20"/>
        </w:rPr>
        <w:t xml:space="preserve"> в България</w:t>
      </w:r>
    </w:p>
    <w:p w:rsidR="00D119D3" w:rsidRPr="00D119D3" w:rsidRDefault="00D119D3" w:rsidP="00CB0C1F">
      <w:pPr>
        <w:spacing w:after="0"/>
        <w:jc w:val="both"/>
        <w:rPr>
          <w:rFonts w:ascii="Times New Roman" w:hAnsi="Times New Roman" w:cs="Times New Roman"/>
          <w:b/>
          <w:noProof w:val="0"/>
          <w:color w:val="FF0000"/>
          <w:sz w:val="24"/>
          <w:szCs w:val="24"/>
        </w:rPr>
      </w:pPr>
    </w:p>
    <w:p w:rsidR="00FE3F01" w:rsidRDefault="00D119D3" w:rsidP="00CB0C1F">
      <w:pPr>
        <w:spacing w:after="0"/>
        <w:ind w:firstLine="708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Тези основни демографски факти през последните години се</w:t>
      </w:r>
      <w:r w:rsidR="00BD531C">
        <w:rPr>
          <w:rFonts w:ascii="Times New Roman" w:hAnsi="Times New Roman" w:cs="Times New Roman"/>
          <w:noProof w:val="0"/>
          <w:sz w:val="24"/>
          <w:szCs w:val="24"/>
        </w:rPr>
        <w:t xml:space="preserve"> допълват от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миграционните потоци, които залива</w:t>
      </w:r>
      <w:r w:rsidR="00BD531C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>т</w:t>
      </w:r>
      <w:r w:rsidRPr="00D119D3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Еропейския съюз и остро противопоставят политиките на държавите-членки за своята национална сигурност. </w:t>
      </w:r>
      <w:r w:rsidRPr="00D119D3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>Голяма част от мигрантите, пристигнали в Европа през гръцките острови, тръгвайки от</w:t>
      </w:r>
      <w:r w:rsidR="00BB3251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турските брегове, са предимно</w:t>
      </w:r>
      <w:r w:rsidRPr="00D119D3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сирийци, иракчани и афганистанци. През 2015 г. са подадени 1.2 милиона молби за убежище в ЕС, което е два пъти повече, отколкото през предходната година.</w:t>
      </w:r>
      <w:r w:rsidR="00BB3251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</w:t>
      </w:r>
      <w:r w:rsidRPr="00D119D3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Бързото нарастване на хората в дадени райони обикновено не позволява добър жизнен стандарт, тъй като държавите и управлението не са подготвени да се грижат за новите жители затова мнозина тънат в нищета. Наложително е </w:t>
      </w:r>
      <w:r w:rsidR="00307108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>българската политика да преразгледа</w:t>
      </w:r>
      <w:r w:rsidR="00DE00B6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приоритетите си</w:t>
      </w:r>
      <w:r w:rsidRPr="00D119D3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по отношение на демографските п</w:t>
      </w:r>
      <w:r w:rsidR="002833DA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роблеми, </w:t>
      </w:r>
      <w:r w:rsidR="00307108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на фона на мигрантските проблеми, </w:t>
      </w:r>
      <w:r w:rsidR="002833DA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>които с всяка</w:t>
      </w:r>
      <w:r w:rsidR="00307108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</w:t>
      </w:r>
      <w:r w:rsidR="002833DA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>изминала година се влошават и предизвикват</w:t>
      </w:r>
      <w:r w:rsidR="00307108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t xml:space="preserve"> сериозни опасности за националната сигурност от терористични актове.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Лип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>сата на ефективна и съгласува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на работеща миграционна политика на Евросъюза, предизвиква затварянето на н</w:t>
      </w:r>
      <w:r w:rsidR="00DA5675">
        <w:rPr>
          <w:rFonts w:ascii="Times New Roman" w:hAnsi="Times New Roman" w:cs="Times New Roman"/>
          <w:noProof w:val="0"/>
          <w:sz w:val="24"/>
          <w:szCs w:val="24"/>
        </w:rPr>
        <w:t>ационални граници, строителство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на стени и прегради, про</w:t>
      </w:r>
      <w:r w:rsidR="001C2017">
        <w:rPr>
          <w:rFonts w:ascii="Times New Roman" w:hAnsi="Times New Roman" w:cs="Times New Roman"/>
          <w:noProof w:val="0"/>
          <w:sz w:val="24"/>
          <w:szCs w:val="24"/>
        </w:rPr>
        <w:t>тивопоставяне на разселването 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стратегията за интегриране. 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D119D3" w:rsidRPr="0049650C" w:rsidRDefault="00B554E5" w:rsidP="0049650C">
      <w:pPr>
        <w:pStyle w:val="a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49650C">
        <w:rPr>
          <w:rFonts w:ascii="Times New Roman" w:hAnsi="Times New Roman" w:cs="Times New Roman"/>
          <w:b/>
          <w:noProof w:val="0"/>
          <w:sz w:val="24"/>
          <w:szCs w:val="24"/>
        </w:rPr>
        <w:t>Същност</w:t>
      </w:r>
      <w:r w:rsidR="00EE0C93" w:rsidRPr="0049650C">
        <w:rPr>
          <w:rFonts w:ascii="Times New Roman" w:hAnsi="Times New Roman" w:cs="Times New Roman"/>
          <w:b/>
          <w:noProof w:val="0"/>
          <w:sz w:val="24"/>
          <w:szCs w:val="24"/>
        </w:rPr>
        <w:t>,</w:t>
      </w:r>
      <w:r w:rsidR="00D119D3"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 мотиваци</w:t>
      </w:r>
      <w:r w:rsidR="00EE0C93" w:rsidRPr="0049650C">
        <w:rPr>
          <w:rFonts w:ascii="Times New Roman" w:hAnsi="Times New Roman" w:cs="Times New Roman"/>
          <w:b/>
          <w:noProof w:val="0"/>
          <w:sz w:val="24"/>
          <w:szCs w:val="24"/>
        </w:rPr>
        <w:t>ята и</w:t>
      </w:r>
      <w:r w:rsidR="00D119D3"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 поведение за миграция.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Когато се изследва желанието за движението на хора от родните места към други континенти и държави, непременно трябва да се обърнем с лице към историята в близък и по-далечен изследователски хоризонт.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През 1983 г., Г. М. Федоров посочва, че: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 xml:space="preserve"> „Географията на населението е най-развитият отрасъл на обществената география, който се занимава с изследването на взаимодействието между структурите и процесите в населението и въздействащите им социално-икономически фактори“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D119D3" w:rsidRPr="00D119D3" w:rsidRDefault="00D119D3" w:rsidP="00CB0C1F">
      <w:pPr>
        <w:spacing w:after="0"/>
        <w:ind w:firstLine="720"/>
        <w:jc w:val="both"/>
        <w:rPr>
          <w:rFonts w:ascii="Times New Roman" w:hAnsi="Times New Roman" w:cs="Times New Roman"/>
          <w:i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Динамиката и тенденциите в развитието на миграцията в значителна степен се отнасят до глобализацията като процес. Някои учени определят съвремието като</w:t>
      </w:r>
      <w:r w:rsidR="001C2017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„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времето на миграцията”</w:t>
      </w:r>
      <w:r w:rsidRPr="00D119D3">
        <w:rPr>
          <w:rStyle w:val="a5"/>
          <w:rFonts w:ascii="Times New Roman" w:hAnsi="Times New Roman" w:cs="Times New Roman"/>
          <w:i/>
          <w:noProof w:val="0"/>
          <w:sz w:val="24"/>
          <w:szCs w:val="24"/>
        </w:rPr>
        <w:footnoteReference w:id="2"/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или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„времето на прехода”.</w:t>
      </w:r>
      <w:r w:rsidRPr="00D119D3">
        <w:rPr>
          <w:rStyle w:val="a5"/>
          <w:rFonts w:ascii="Times New Roman" w:hAnsi="Times New Roman" w:cs="Times New Roman"/>
          <w:i/>
          <w:noProof w:val="0"/>
          <w:sz w:val="24"/>
          <w:szCs w:val="24"/>
        </w:rPr>
        <w:footnoteReference w:id="3"/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Сред съвременните учени, които се занимават с изследването</w:t>
      </w:r>
      <w:r w:rsidR="001C2017">
        <w:rPr>
          <w:rFonts w:ascii="Times New Roman" w:hAnsi="Times New Roman" w:cs="Times New Roman"/>
          <w:noProof w:val="0"/>
          <w:sz w:val="24"/>
          <w:szCs w:val="24"/>
        </w:rPr>
        <w:t xml:space="preserve"> на миграционната проблематика,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са Милър, Касълс, Портес, Мейси, Борхас, Пиоре и др., които засягат темата за миграцията в различни  теоретични аспекти, „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за да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 xml:space="preserve">разберем по-добре сегашната икономическа и социална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lastRenderedPageBreak/>
        <w:t>динамика на миграцията, нейното влияние и още повече – нейното потенциално бъдещо влияние върху обществото, икономиката и държавата”.</w:t>
      </w:r>
      <w:r w:rsidRPr="00D119D3">
        <w:rPr>
          <w:rStyle w:val="a5"/>
          <w:rFonts w:ascii="Times New Roman" w:hAnsi="Times New Roman" w:cs="Times New Roman"/>
          <w:i/>
          <w:noProof w:val="0"/>
          <w:sz w:val="24"/>
          <w:szCs w:val="24"/>
        </w:rPr>
        <w:footnoteReference w:id="4"/>
      </w:r>
    </w:p>
    <w:p w:rsidR="00D119D3" w:rsidRPr="00D119D3" w:rsidRDefault="00D119D3" w:rsidP="00CB0C1F">
      <w:pPr>
        <w:spacing w:after="0"/>
        <w:ind w:firstLine="72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Употребявайки понятието „мигрант” се налага да се изясни неговата определителна същност.</w:t>
      </w:r>
    </w:p>
    <w:p w:rsidR="00D119D3" w:rsidRPr="00D119D3" w:rsidRDefault="00D119D3" w:rsidP="00CB0C1F">
      <w:pPr>
        <w:spacing w:after="0"/>
        <w:ind w:firstLine="72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Понятието </w:t>
      </w: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>„мигрант”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е обща съвкупна характеристика, без да се фиксира неговата детайлизация за емигрант или имигрант. Това се дължи обикновено на фактът, че нелегалните чужденци </w:t>
      </w:r>
      <w:r w:rsidR="00EE779B">
        <w:rPr>
          <w:rFonts w:ascii="Times New Roman" w:hAnsi="Times New Roman" w:cs="Times New Roman"/>
          <w:noProof w:val="0"/>
          <w:sz w:val="24"/>
          <w:szCs w:val="24"/>
        </w:rPr>
        <w:t>пристигат без лични документи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, прикриват страната си на произход и най-често нямат намерения да останат в първата приемаща държава, а само транзитно да преминат през нея. Намеренията са да бъде получена закрила от желаната страна, за да се изключат възможни последствия да бъдат върнати в първата приемаща страна, съгласно Дъблинския регламент. По тези съображения се използват термините „</w:t>
      </w: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>мигрант”,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>„нелегален мигрант”,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 xml:space="preserve">„икономически мигрант“, „миграция”,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които са възприети и се ползват като понятия във вътрешноведомствените документи на Държавната агенция за бежанците при Министерски съвет на България. </w:t>
      </w:r>
      <w:r w:rsidRPr="00D119D3">
        <w:rPr>
          <w:rFonts w:ascii="Times New Roman" w:hAnsi="Times New Roman" w:cs="Times New Roman"/>
          <w:b/>
          <w:i/>
          <w:noProof w:val="0"/>
          <w:sz w:val="24"/>
          <w:szCs w:val="24"/>
        </w:rPr>
        <w:t>Икономическият мигрант</w:t>
      </w:r>
      <w:r w:rsidRPr="00D119D3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(economic migrant), наричан още и като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трудов мигрант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(labor migrant) или само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 xml:space="preserve">мигрант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(migrant) е лице, което е напуснало страната си на произход в търсене на заетост чрез законни или незаконни средства. Обикновено икономическите мигранти се представят за търсещи убежище, без да отговарят на</w:t>
      </w:r>
      <w:r w:rsidR="001C2017">
        <w:rPr>
          <w:rFonts w:ascii="Times New Roman" w:hAnsi="Times New Roman" w:cs="Times New Roman"/>
          <w:noProof w:val="0"/>
          <w:sz w:val="24"/>
          <w:szCs w:val="24"/>
        </w:rPr>
        <w:t xml:space="preserve"> законоустановените изисквания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. Икономически мигранти могат да бъдат и граждани на Европейския съюз, търсещи трудова заетост или образователно развитие</w:t>
      </w:r>
      <w:r w:rsidRPr="00D119D3">
        <w:rPr>
          <w:rStyle w:val="a5"/>
          <w:rFonts w:ascii="Times New Roman" w:hAnsi="Times New Roman" w:cs="Times New Roman"/>
          <w:noProof w:val="0"/>
          <w:sz w:val="24"/>
          <w:szCs w:val="24"/>
        </w:rPr>
        <w:footnoteReference w:id="5"/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D119D3" w:rsidRPr="00D119D3" w:rsidRDefault="00D119D3" w:rsidP="00CB0C1F">
      <w:pPr>
        <w:spacing w:after="0"/>
        <w:ind w:firstLine="72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Исторически погледнато причините, които обуславят миграционното поведение, обикновено са били особено различни</w:t>
      </w:r>
      <w:r w:rsidR="00EE779B">
        <w:rPr>
          <w:rFonts w:ascii="Times New Roman" w:hAnsi="Times New Roman" w:cs="Times New Roman"/>
          <w:noProof w:val="0"/>
          <w:sz w:val="24"/>
          <w:szCs w:val="24"/>
        </w:rPr>
        <w:t>, което определя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същностн</w:t>
      </w:r>
      <w:r w:rsidR="00EE779B">
        <w:rPr>
          <w:rFonts w:ascii="Times New Roman" w:hAnsi="Times New Roman" w:cs="Times New Roman"/>
          <w:noProof w:val="0"/>
          <w:sz w:val="24"/>
          <w:szCs w:val="24"/>
        </w:rPr>
        <w:t>ата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характеристики на феномена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„миграционно поведение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“. Така например: миграционните процеси при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„Великото преселение на народите“,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са различни от тези по време и след двете световни войни и процесите, които се наблюдават днес в Европа след 2011 година и продължат с още по-голяма сила и през 2016 година. </w:t>
      </w:r>
    </w:p>
    <w:p w:rsidR="00D119D3" w:rsidRPr="00D119D3" w:rsidRDefault="00D119D3" w:rsidP="00CB0C1F">
      <w:pPr>
        <w:spacing w:after="0"/>
        <w:ind w:firstLine="72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От друга страна миграцията има негативно отражение върху приемащата страна. Тя влияе върху социални</w:t>
      </w:r>
      <w:r w:rsidR="001C2017">
        <w:rPr>
          <w:rFonts w:ascii="Times New Roman" w:hAnsi="Times New Roman" w:cs="Times New Roman"/>
          <w:noProof w:val="0"/>
          <w:sz w:val="24"/>
          <w:szCs w:val="24"/>
        </w:rPr>
        <w:t>те, икономически и политически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системи, особено когато има коренни различия в област</w:t>
      </w:r>
      <w:r w:rsidR="005B0E13">
        <w:rPr>
          <w:rFonts w:ascii="Times New Roman" w:hAnsi="Times New Roman" w:cs="Times New Roman"/>
          <w:noProof w:val="0"/>
          <w:sz w:val="24"/>
          <w:szCs w:val="24"/>
        </w:rPr>
        <w:t>та на изповядваната религия. По-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същественият проблем е неконтролираното нахлуване на мигранти извън законоустановените места на суверенни държави, което е сериозна предпоставка за влизане на терористи и самоубийци готови да дадат своя живот вярващи, че </w:t>
      </w:r>
      <w:r w:rsidR="00AD54C4">
        <w:rPr>
          <w:rFonts w:ascii="Times New Roman" w:hAnsi="Times New Roman" w:cs="Times New Roman"/>
          <w:noProof w:val="0"/>
          <w:sz w:val="24"/>
          <w:szCs w:val="24"/>
        </w:rPr>
        <w:t>„</w:t>
      </w:r>
      <w:r w:rsidR="00AD54C4" w:rsidRPr="00AD54C4">
        <w:rPr>
          <w:rFonts w:ascii="Times New Roman" w:hAnsi="Times New Roman" w:cs="Times New Roman"/>
          <w:i/>
          <w:noProof w:val="0"/>
          <w:sz w:val="24"/>
          <w:szCs w:val="24"/>
        </w:rPr>
        <w:t>д</w:t>
      </w:r>
      <w:r w:rsidRPr="00AD54C4">
        <w:rPr>
          <w:rFonts w:ascii="Times New Roman" w:hAnsi="Times New Roman" w:cs="Times New Roman"/>
          <w:i/>
          <w:noProof w:val="0"/>
          <w:sz w:val="24"/>
          <w:szCs w:val="24"/>
        </w:rPr>
        <w:t>ушата им ще остане в рая</w:t>
      </w:r>
      <w:r w:rsidR="00AD54C4">
        <w:rPr>
          <w:rFonts w:ascii="Times New Roman" w:hAnsi="Times New Roman" w:cs="Times New Roman"/>
          <w:i/>
          <w:noProof w:val="0"/>
          <w:sz w:val="24"/>
          <w:szCs w:val="24"/>
        </w:rPr>
        <w:t>“</w:t>
      </w:r>
      <w:r w:rsidR="00AD54C4">
        <w:rPr>
          <w:rFonts w:ascii="Times New Roman" w:hAnsi="Times New Roman" w:cs="Times New Roman"/>
          <w:noProof w:val="0"/>
          <w:sz w:val="24"/>
          <w:szCs w:val="24"/>
        </w:rPr>
        <w:t>. Идеологията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увлича в</w:t>
      </w:r>
      <w:r w:rsidR="00AD54C4">
        <w:rPr>
          <w:rFonts w:ascii="Times New Roman" w:hAnsi="Times New Roman" w:cs="Times New Roman"/>
          <w:noProof w:val="0"/>
          <w:sz w:val="24"/>
          <w:szCs w:val="24"/>
        </w:rPr>
        <w:t>се повече и повече вярващи в тази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философска пропаганда, която през последните год</w:t>
      </w:r>
      <w:r w:rsidR="005B0E13">
        <w:rPr>
          <w:rFonts w:ascii="Times New Roman" w:hAnsi="Times New Roman" w:cs="Times New Roman"/>
          <w:noProof w:val="0"/>
          <w:sz w:val="24"/>
          <w:szCs w:val="24"/>
        </w:rPr>
        <w:t>ини взе стотици невинни жертви в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Европа.</w:t>
      </w:r>
    </w:p>
    <w:p w:rsidR="00D119D3" w:rsidRDefault="00D119D3" w:rsidP="00CB0C1F">
      <w:pPr>
        <w:spacing w:after="0"/>
        <w:ind w:firstLine="72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Според данни на администрацията на Върховният комисар на ООН за бежанците (ВКБООН) през последните три десетилетия темповете на миграция и преселение на големи групи от хора са се увеличили многократно, като в по-голямата си част те са причинени от военни конфликти за природни ресурси. Предизвикателството пред Европейският съюз е да намери и вземе дългосрочни и ефективни решения на множество наболели и сложни проблеми, което налага цялостно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lastRenderedPageBreak/>
        <w:t>преосмисляне на приоритетите и съпътстващите ги реформи за овладяване на първопричините и регулиране на последствията от тях.</w:t>
      </w:r>
    </w:p>
    <w:p w:rsidR="00D119D3" w:rsidRPr="00D119D3" w:rsidRDefault="003278DD" w:rsidP="00CB0C1F">
      <w:pPr>
        <w:spacing w:after="0"/>
        <w:ind w:firstLine="72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</w:p>
    <w:p w:rsidR="00D119D3" w:rsidRPr="0049650C" w:rsidRDefault="0021219B" w:rsidP="0049650C">
      <w:pPr>
        <w:pStyle w:val="a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Европейска миграционна политика </w:t>
      </w:r>
    </w:p>
    <w:p w:rsidR="0021219B" w:rsidRDefault="00450C78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Началото на с</w:t>
      </w:r>
      <w:r w:rsidR="001229A8" w:rsidRPr="001229A8">
        <w:rPr>
          <w:rFonts w:ascii="Times New Roman" w:hAnsi="Times New Roman" w:cs="Times New Roman"/>
          <w:noProof w:val="0"/>
          <w:sz w:val="24"/>
          <w:szCs w:val="24"/>
        </w:rPr>
        <w:t>ъвременната европейска</w:t>
      </w:r>
      <w:r w:rsidR="001229A8">
        <w:rPr>
          <w:rFonts w:ascii="Times New Roman" w:hAnsi="Times New Roman" w:cs="Times New Roman"/>
          <w:noProof w:val="0"/>
          <w:sz w:val="24"/>
          <w:szCs w:val="24"/>
        </w:rPr>
        <w:t xml:space="preserve"> миграционна политика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 xml:space="preserve"> може да се определи</w:t>
      </w:r>
      <w:r w:rsidR="001229A8">
        <w:rPr>
          <w:rFonts w:ascii="Times New Roman" w:hAnsi="Times New Roman" w:cs="Times New Roman"/>
          <w:noProof w:val="0"/>
          <w:sz w:val="24"/>
          <w:szCs w:val="24"/>
        </w:rPr>
        <w:t xml:space="preserve"> от 1999 г. с Амстердамският договор по отношение</w:t>
      </w:r>
      <w:r w:rsidR="00200BA8">
        <w:rPr>
          <w:rFonts w:ascii="Times New Roman" w:hAnsi="Times New Roman" w:cs="Times New Roman"/>
          <w:noProof w:val="0"/>
          <w:sz w:val="24"/>
          <w:szCs w:val="24"/>
        </w:rPr>
        <w:t xml:space="preserve"> на политиките за убежище и миграция. Те са развити за приложение в Програма от Тампере (1999-2004</w:t>
      </w:r>
      <w:r w:rsidR="001F5B8F">
        <w:rPr>
          <w:rFonts w:ascii="Times New Roman" w:hAnsi="Times New Roman" w:cs="Times New Roman"/>
          <w:noProof w:val="0"/>
          <w:sz w:val="24"/>
          <w:szCs w:val="24"/>
        </w:rPr>
        <w:t xml:space="preserve"> г.</w:t>
      </w:r>
      <w:r w:rsidR="00200BA8">
        <w:rPr>
          <w:rFonts w:ascii="Times New Roman" w:hAnsi="Times New Roman" w:cs="Times New Roman"/>
          <w:noProof w:val="0"/>
          <w:sz w:val="24"/>
          <w:szCs w:val="24"/>
        </w:rPr>
        <w:t>)</w:t>
      </w:r>
      <w:r w:rsidR="006F0194">
        <w:rPr>
          <w:rStyle w:val="a5"/>
          <w:rFonts w:ascii="Times New Roman" w:hAnsi="Times New Roman" w:cs="Times New Roman"/>
          <w:noProof w:val="0"/>
          <w:sz w:val="24"/>
          <w:szCs w:val="24"/>
        </w:rPr>
        <w:footnoteReference w:id="6"/>
      </w:r>
      <w:r w:rsidR="00B07B75">
        <w:rPr>
          <w:rFonts w:ascii="Times New Roman" w:hAnsi="Times New Roman" w:cs="Times New Roman"/>
          <w:noProof w:val="0"/>
          <w:sz w:val="24"/>
          <w:szCs w:val="24"/>
        </w:rPr>
        <w:t>,</w:t>
      </w:r>
      <w:r w:rsidR="00200BA8">
        <w:rPr>
          <w:rFonts w:ascii="Times New Roman" w:hAnsi="Times New Roman" w:cs="Times New Roman"/>
          <w:noProof w:val="0"/>
          <w:sz w:val="24"/>
          <w:szCs w:val="24"/>
        </w:rPr>
        <w:t xml:space="preserve">  Хагската програма (2004-2009</w:t>
      </w:r>
      <w:r w:rsidR="001F5B8F">
        <w:rPr>
          <w:rFonts w:ascii="Times New Roman" w:hAnsi="Times New Roman" w:cs="Times New Roman"/>
          <w:noProof w:val="0"/>
          <w:sz w:val="24"/>
          <w:szCs w:val="24"/>
        </w:rPr>
        <w:t xml:space="preserve"> г.</w:t>
      </w:r>
      <w:r w:rsidR="00200BA8">
        <w:rPr>
          <w:rFonts w:ascii="Times New Roman" w:hAnsi="Times New Roman" w:cs="Times New Roman"/>
          <w:noProof w:val="0"/>
          <w:sz w:val="24"/>
          <w:szCs w:val="24"/>
        </w:rPr>
        <w:t>)</w:t>
      </w:r>
      <w:r w:rsidR="00B07B75">
        <w:rPr>
          <w:rStyle w:val="a5"/>
          <w:rFonts w:ascii="Times New Roman" w:hAnsi="Times New Roman" w:cs="Times New Roman"/>
          <w:noProof w:val="0"/>
          <w:sz w:val="24"/>
          <w:szCs w:val="24"/>
        </w:rPr>
        <w:footnoteReference w:id="7"/>
      </w:r>
      <w:r w:rsidR="00200BA8">
        <w:rPr>
          <w:rFonts w:ascii="Times New Roman" w:hAnsi="Times New Roman" w:cs="Times New Roman"/>
          <w:noProof w:val="0"/>
          <w:sz w:val="24"/>
          <w:szCs w:val="24"/>
        </w:rPr>
        <w:t>.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 xml:space="preserve"> Генезисът</w:t>
      </w:r>
      <w:r w:rsidR="00B6023D">
        <w:rPr>
          <w:rFonts w:ascii="Times New Roman" w:hAnsi="Times New Roman" w:cs="Times New Roman"/>
          <w:noProof w:val="0"/>
          <w:sz w:val="24"/>
          <w:szCs w:val="24"/>
        </w:rPr>
        <w:t xml:space="preserve"> на европейската политика се свързва с процеса от не</w:t>
      </w:r>
      <w:r w:rsidR="006F0194">
        <w:rPr>
          <w:rFonts w:ascii="Times New Roman" w:hAnsi="Times New Roman" w:cs="Times New Roman"/>
          <w:noProof w:val="0"/>
          <w:sz w:val="24"/>
          <w:szCs w:val="24"/>
        </w:rPr>
        <w:t>ф</w:t>
      </w:r>
      <w:r w:rsidR="00B6023D">
        <w:rPr>
          <w:rFonts w:ascii="Times New Roman" w:hAnsi="Times New Roman" w:cs="Times New Roman"/>
          <w:noProof w:val="0"/>
          <w:sz w:val="24"/>
          <w:szCs w:val="24"/>
        </w:rPr>
        <w:t>ормално към формализирано сътрудничество</w:t>
      </w:r>
      <w:r w:rsidR="006F0194">
        <w:rPr>
          <w:rFonts w:ascii="Times New Roman" w:hAnsi="Times New Roman" w:cs="Times New Roman"/>
          <w:noProof w:val="0"/>
          <w:sz w:val="24"/>
          <w:szCs w:val="24"/>
        </w:rPr>
        <w:t>, на всички етапи от Римския договор до днес.</w:t>
      </w:r>
      <w:r w:rsidR="001F5B8F">
        <w:rPr>
          <w:rFonts w:ascii="Times New Roman" w:hAnsi="Times New Roman" w:cs="Times New Roman"/>
          <w:noProof w:val="0"/>
          <w:sz w:val="24"/>
          <w:szCs w:val="24"/>
        </w:rPr>
        <w:t xml:space="preserve"> Най-спорната политика е действието на Дъбл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>инският регламент (2003 г.), кой</w:t>
      </w:r>
      <w:r w:rsidR="001F5B8F">
        <w:rPr>
          <w:rFonts w:ascii="Times New Roman" w:hAnsi="Times New Roman" w:cs="Times New Roman"/>
          <w:noProof w:val="0"/>
          <w:sz w:val="24"/>
          <w:szCs w:val="24"/>
        </w:rPr>
        <w:t>то конкретизира критериите</w:t>
      </w:r>
      <w:r w:rsidR="00AE4E32">
        <w:rPr>
          <w:rFonts w:ascii="Times New Roman" w:hAnsi="Times New Roman" w:cs="Times New Roman"/>
          <w:noProof w:val="0"/>
          <w:sz w:val="24"/>
          <w:szCs w:val="24"/>
        </w:rPr>
        <w:t xml:space="preserve"> при определяне на държавата, отговорна за разглеждане на молбите за убежище.</w:t>
      </w:r>
    </w:p>
    <w:p w:rsidR="00AE4E32" w:rsidRDefault="00AE4E32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Действието на новият петгодишен план (2004-2010 г.) полага десет приоритета изпълними за пет години. Най-същественият е създаването на европейска полиция за охрана на външните</w:t>
      </w:r>
      <w:r w:rsidR="00876017">
        <w:rPr>
          <w:rFonts w:ascii="Times New Roman" w:hAnsi="Times New Roman" w:cs="Times New Roman"/>
          <w:noProof w:val="0"/>
          <w:sz w:val="24"/>
          <w:szCs w:val="24"/>
        </w:rPr>
        <w:t xml:space="preserve"> граници на ЕС (Фронтекс-2005 г.)</w:t>
      </w:r>
      <w:r w:rsidR="00F53966">
        <w:rPr>
          <w:rFonts w:ascii="Times New Roman" w:hAnsi="Times New Roman" w:cs="Times New Roman"/>
          <w:noProof w:val="0"/>
          <w:sz w:val="24"/>
          <w:szCs w:val="24"/>
        </w:rPr>
        <w:t>.</w:t>
      </w:r>
      <w:r w:rsidR="00876017">
        <w:rPr>
          <w:rFonts w:ascii="Times New Roman" w:hAnsi="Times New Roman" w:cs="Times New Roman"/>
          <w:noProof w:val="0"/>
          <w:sz w:val="24"/>
          <w:szCs w:val="24"/>
        </w:rPr>
        <w:t xml:space="preserve"> Десет години по-късно</w:t>
      </w:r>
      <w:r w:rsidR="00512BE6">
        <w:rPr>
          <w:rFonts w:ascii="Times New Roman" w:hAnsi="Times New Roman" w:cs="Times New Roman"/>
          <w:noProof w:val="0"/>
          <w:sz w:val="24"/>
          <w:szCs w:val="24"/>
        </w:rPr>
        <w:t xml:space="preserve"> се отчита, че Фронтекс не може да отговори на съвременните миграционни проблеми и става Европейска агенция за гранична и брегова охрана (2016 г.) с голяма надежда, че ще отговори на изискванията за международно сътрудничество.</w:t>
      </w:r>
      <w:r w:rsidR="00847D66">
        <w:rPr>
          <w:rFonts w:ascii="Times New Roman" w:hAnsi="Times New Roman" w:cs="Times New Roman"/>
          <w:noProof w:val="0"/>
          <w:sz w:val="24"/>
          <w:szCs w:val="24"/>
        </w:rPr>
        <w:t xml:space="preserve"> Една от най-важните мисии е пълноправното управлени</w:t>
      </w:r>
      <w:r w:rsidR="00F53966">
        <w:rPr>
          <w:rFonts w:ascii="Times New Roman" w:hAnsi="Times New Roman" w:cs="Times New Roman"/>
          <w:noProof w:val="0"/>
          <w:sz w:val="24"/>
          <w:szCs w:val="24"/>
        </w:rPr>
        <w:t>е на границата, мониторинг и</w:t>
      </w:r>
      <w:r w:rsidR="00AD54C4">
        <w:rPr>
          <w:rFonts w:ascii="Times New Roman" w:hAnsi="Times New Roman" w:cs="Times New Roman"/>
          <w:noProof w:val="0"/>
          <w:sz w:val="24"/>
          <w:szCs w:val="24"/>
        </w:rPr>
        <w:t xml:space="preserve"> развититие на</w:t>
      </w:r>
      <w:r w:rsidR="00847D66">
        <w:rPr>
          <w:rFonts w:ascii="Times New Roman" w:hAnsi="Times New Roman" w:cs="Times New Roman"/>
          <w:noProof w:val="0"/>
          <w:sz w:val="24"/>
          <w:szCs w:val="24"/>
        </w:rPr>
        <w:t xml:space="preserve"> оперативни решения, които да засягат най-уязвимите</w:t>
      </w:r>
      <w:r w:rsidR="00F32678">
        <w:rPr>
          <w:rFonts w:ascii="Times New Roman" w:hAnsi="Times New Roman" w:cs="Times New Roman"/>
          <w:noProof w:val="0"/>
          <w:sz w:val="24"/>
          <w:szCs w:val="24"/>
        </w:rPr>
        <w:t xml:space="preserve"> държави-членки и морски граници.</w:t>
      </w:r>
    </w:p>
    <w:p w:rsidR="00F32678" w:rsidRDefault="00F32678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 xml:space="preserve">Стокхолмската програма (2010-2014 г.) се определя като глобален подход, основан на партньорство с трети страни. Реална система за споделяне на отговорността за </w:t>
      </w:r>
      <w:r w:rsidR="00C26804">
        <w:rPr>
          <w:rFonts w:ascii="Times New Roman" w:hAnsi="Times New Roman" w:cs="Times New Roman"/>
          <w:noProof w:val="0"/>
          <w:sz w:val="24"/>
          <w:szCs w:val="24"/>
        </w:rPr>
        <w:t>мигрантите в ЕС</w:t>
      </w:r>
      <w:r w:rsidR="00B45EE2">
        <w:rPr>
          <w:rFonts w:ascii="Times New Roman" w:hAnsi="Times New Roman" w:cs="Times New Roman"/>
          <w:noProof w:val="0"/>
          <w:sz w:val="24"/>
          <w:szCs w:val="24"/>
        </w:rPr>
        <w:t>,</w:t>
      </w:r>
      <w:r w:rsidR="00C26804">
        <w:rPr>
          <w:rFonts w:ascii="Times New Roman" w:hAnsi="Times New Roman" w:cs="Times New Roman"/>
          <w:noProof w:val="0"/>
          <w:sz w:val="24"/>
          <w:szCs w:val="24"/>
        </w:rPr>
        <w:t xml:space="preserve"> униформизиране на международния статут на защита</w:t>
      </w:r>
      <w:r w:rsidR="00B45EE2">
        <w:rPr>
          <w:rFonts w:ascii="Times New Roman" w:hAnsi="Times New Roman" w:cs="Times New Roman"/>
          <w:noProof w:val="0"/>
          <w:sz w:val="24"/>
          <w:szCs w:val="24"/>
        </w:rPr>
        <w:t>,</w:t>
      </w:r>
      <w:r w:rsidR="00A54962">
        <w:rPr>
          <w:rFonts w:ascii="Times New Roman" w:hAnsi="Times New Roman" w:cs="Times New Roman"/>
          <w:noProof w:val="0"/>
          <w:sz w:val="24"/>
          <w:szCs w:val="24"/>
        </w:rPr>
        <w:t xml:space="preserve"> специфични мерки за непридружените малолетни и спазване на фундаменталните права.</w:t>
      </w:r>
    </w:p>
    <w:p w:rsidR="00B45EE2" w:rsidRDefault="00B44570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През ноември 2015 г. в Рим под егидата на Световната здравна организация (СЗО) се прове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>жда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среща посветена на здравето на бежанците и мигрантите, за подобряване на медицинското обслужване</w:t>
      </w:r>
      <w:r w:rsidRPr="00B44570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  <w:r w:rsidRPr="00B44570">
        <w:rPr>
          <w:rFonts w:ascii="Times New Roman" w:hAnsi="Times New Roman" w:cs="Times New Roman"/>
          <w:noProof w:val="0"/>
          <w:sz w:val="24"/>
          <w:szCs w:val="24"/>
        </w:rPr>
        <w:t>и разширяване обхвата на здравните услуги</w:t>
      </w:r>
      <w:r w:rsidR="00924D94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BB7483">
        <w:rPr>
          <w:rFonts w:ascii="Times New Roman" w:hAnsi="Times New Roman" w:cs="Times New Roman"/>
          <w:noProof w:val="0"/>
          <w:sz w:val="24"/>
          <w:szCs w:val="24"/>
        </w:rPr>
        <w:t>с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цел овладяване на здравните рискове</w:t>
      </w:r>
      <w:r w:rsidR="00BB7483">
        <w:rPr>
          <w:rFonts w:ascii="Times New Roman" w:hAnsi="Times New Roman" w:cs="Times New Roman"/>
          <w:noProof w:val="0"/>
          <w:sz w:val="24"/>
          <w:szCs w:val="24"/>
        </w:rPr>
        <w:t xml:space="preserve">. Около 5 % от мигрантите се нуждаят от  медицинска помощ поради травми, хипотермия, </w:t>
      </w:r>
      <w:r w:rsidR="00B36550">
        <w:rPr>
          <w:rFonts w:ascii="Times New Roman" w:hAnsi="Times New Roman" w:cs="Times New Roman"/>
          <w:noProof w:val="0"/>
          <w:sz w:val="24"/>
          <w:szCs w:val="24"/>
        </w:rPr>
        <w:t>изгаряния</w:t>
      </w:r>
      <w:r w:rsidR="00BB7483">
        <w:rPr>
          <w:rFonts w:ascii="Times New Roman" w:hAnsi="Times New Roman" w:cs="Times New Roman"/>
          <w:noProof w:val="0"/>
          <w:sz w:val="24"/>
          <w:szCs w:val="24"/>
        </w:rPr>
        <w:t xml:space="preserve">, сърдечно-съдови заболявания, усложнения на бременността и раждането, диабет, хипертония. Фактори 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>дължащи се на</w:t>
      </w:r>
      <w:r w:rsidR="00BB7483">
        <w:rPr>
          <w:rFonts w:ascii="Times New Roman" w:hAnsi="Times New Roman" w:cs="Times New Roman"/>
          <w:noProof w:val="0"/>
          <w:sz w:val="24"/>
          <w:szCs w:val="24"/>
        </w:rPr>
        <w:t xml:space="preserve"> масово</w:t>
      </w:r>
      <w:r w:rsidR="00A15001">
        <w:rPr>
          <w:rFonts w:ascii="Times New Roman" w:hAnsi="Times New Roman" w:cs="Times New Roman"/>
          <w:noProof w:val="0"/>
          <w:sz w:val="24"/>
          <w:szCs w:val="24"/>
        </w:rPr>
        <w:t xml:space="preserve"> продължително при</w:t>
      </w:r>
      <w:r w:rsidR="00B36550">
        <w:rPr>
          <w:rFonts w:ascii="Times New Roman" w:hAnsi="Times New Roman" w:cs="Times New Roman"/>
          <w:noProof w:val="0"/>
          <w:sz w:val="24"/>
          <w:szCs w:val="24"/>
        </w:rPr>
        <w:t>движване, неадекватни условия на живот и лошата хигиена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>, които</w:t>
      </w:r>
      <w:r w:rsidR="00B36550">
        <w:rPr>
          <w:rFonts w:ascii="Times New Roman" w:hAnsi="Times New Roman" w:cs="Times New Roman"/>
          <w:noProof w:val="0"/>
          <w:sz w:val="24"/>
          <w:szCs w:val="24"/>
        </w:rPr>
        <w:t xml:space="preserve"> увеличават опасността от разпространение на инфекциозни заболявания сред това компактно множество от хора. Поради по</w:t>
      </w:r>
      <w:r w:rsidR="0055223B">
        <w:rPr>
          <w:rFonts w:ascii="Times New Roman" w:hAnsi="Times New Roman" w:cs="Times New Roman"/>
          <w:noProof w:val="0"/>
          <w:sz w:val="24"/>
          <w:szCs w:val="24"/>
        </w:rPr>
        <w:t>вишеният риск</w:t>
      </w:r>
      <w:r w:rsidR="00B36550">
        <w:rPr>
          <w:rFonts w:ascii="Times New Roman" w:hAnsi="Times New Roman" w:cs="Times New Roman"/>
          <w:noProof w:val="0"/>
          <w:sz w:val="24"/>
          <w:szCs w:val="24"/>
        </w:rPr>
        <w:t xml:space="preserve"> от разпространение</w:t>
      </w:r>
      <w:r w:rsidR="0055223B">
        <w:rPr>
          <w:rFonts w:ascii="Times New Roman" w:hAnsi="Times New Roman" w:cs="Times New Roman"/>
          <w:noProof w:val="0"/>
          <w:sz w:val="24"/>
          <w:szCs w:val="24"/>
        </w:rPr>
        <w:t xml:space="preserve">  на инфекциозни заболявания, на преден план излиза необходимостта от ваксинация на мигрантите, което препоръчва и ВК</w:t>
      </w:r>
      <w:r w:rsidR="00033D12">
        <w:rPr>
          <w:rFonts w:ascii="Times New Roman" w:hAnsi="Times New Roman" w:cs="Times New Roman"/>
          <w:noProof w:val="0"/>
          <w:sz w:val="24"/>
          <w:szCs w:val="24"/>
        </w:rPr>
        <w:t>Б</w:t>
      </w:r>
      <w:r w:rsidR="0055223B">
        <w:rPr>
          <w:rFonts w:ascii="Times New Roman" w:hAnsi="Times New Roman" w:cs="Times New Roman"/>
          <w:noProof w:val="0"/>
          <w:sz w:val="24"/>
          <w:szCs w:val="24"/>
        </w:rPr>
        <w:t>ООН за бежанците срещу морбили, паротит и рубеола (ММ</w:t>
      </w:r>
      <w:r w:rsidR="0055223B">
        <w:rPr>
          <w:rFonts w:ascii="Times New Roman" w:hAnsi="Times New Roman" w:cs="Times New Roman"/>
          <w:noProof w:val="0"/>
          <w:sz w:val="24"/>
          <w:szCs w:val="24"/>
          <w:lang w:val="en-US"/>
        </w:rPr>
        <w:t>R</w:t>
      </w:r>
      <w:r w:rsidR="0055223B">
        <w:rPr>
          <w:rFonts w:ascii="Times New Roman" w:hAnsi="Times New Roman" w:cs="Times New Roman"/>
          <w:noProof w:val="0"/>
          <w:sz w:val="24"/>
          <w:szCs w:val="24"/>
        </w:rPr>
        <w:t xml:space="preserve">) и полиомиелит, като за целта държавите </w:t>
      </w:r>
      <w:r w:rsidR="0037062B">
        <w:rPr>
          <w:rFonts w:ascii="Times New Roman" w:hAnsi="Times New Roman" w:cs="Times New Roman"/>
          <w:noProof w:val="0"/>
          <w:sz w:val="24"/>
          <w:szCs w:val="24"/>
        </w:rPr>
        <w:t xml:space="preserve">следва да </w:t>
      </w:r>
      <w:r w:rsidR="0055223B">
        <w:rPr>
          <w:rFonts w:ascii="Times New Roman" w:hAnsi="Times New Roman" w:cs="Times New Roman"/>
          <w:noProof w:val="0"/>
          <w:sz w:val="24"/>
          <w:szCs w:val="24"/>
        </w:rPr>
        <w:t>въведат</w:t>
      </w:r>
      <w:r w:rsidR="00B554E5">
        <w:rPr>
          <w:rFonts w:ascii="Times New Roman" w:hAnsi="Times New Roman" w:cs="Times New Roman"/>
          <w:noProof w:val="0"/>
          <w:sz w:val="24"/>
          <w:szCs w:val="24"/>
        </w:rPr>
        <w:t xml:space="preserve"> имунизационни свидетелства. Осигуряването на медицинска помощ на мигрантите </w:t>
      </w:r>
      <w:r w:rsidR="00883A28">
        <w:rPr>
          <w:rFonts w:ascii="Times New Roman" w:hAnsi="Times New Roman" w:cs="Times New Roman"/>
          <w:noProof w:val="0"/>
          <w:sz w:val="24"/>
          <w:szCs w:val="24"/>
        </w:rPr>
        <w:t>на фона на проблемите в</w:t>
      </w:r>
      <w:r w:rsidR="00B554E5">
        <w:rPr>
          <w:rFonts w:ascii="Times New Roman" w:hAnsi="Times New Roman" w:cs="Times New Roman"/>
          <w:noProof w:val="0"/>
          <w:sz w:val="24"/>
          <w:szCs w:val="24"/>
        </w:rPr>
        <w:t xml:space="preserve"> общественото здраве</w:t>
      </w:r>
      <w:r w:rsidR="00883A28">
        <w:rPr>
          <w:rFonts w:ascii="Times New Roman" w:hAnsi="Times New Roman" w:cs="Times New Roman"/>
          <w:noProof w:val="0"/>
          <w:sz w:val="24"/>
          <w:szCs w:val="24"/>
        </w:rPr>
        <w:t>опазване</w:t>
      </w:r>
      <w:r w:rsidR="00B554E5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883A28">
        <w:rPr>
          <w:rFonts w:ascii="Times New Roman" w:hAnsi="Times New Roman" w:cs="Times New Roman"/>
          <w:noProof w:val="0"/>
          <w:sz w:val="24"/>
          <w:szCs w:val="24"/>
        </w:rPr>
        <w:t xml:space="preserve">неминуемо оказва </w:t>
      </w:r>
      <w:r w:rsidR="00883A28">
        <w:rPr>
          <w:rFonts w:ascii="Times New Roman" w:hAnsi="Times New Roman" w:cs="Times New Roman"/>
          <w:noProof w:val="0"/>
          <w:sz w:val="24"/>
          <w:szCs w:val="24"/>
        </w:rPr>
        <w:lastRenderedPageBreak/>
        <w:t>влияние върху</w:t>
      </w:r>
      <w:r w:rsidR="00B554E5">
        <w:rPr>
          <w:rFonts w:ascii="Times New Roman" w:hAnsi="Times New Roman" w:cs="Times New Roman"/>
          <w:noProof w:val="0"/>
          <w:sz w:val="24"/>
          <w:szCs w:val="24"/>
        </w:rPr>
        <w:t xml:space="preserve"> политиките</w:t>
      </w:r>
      <w:r w:rsidR="00AD54C4">
        <w:rPr>
          <w:rFonts w:ascii="Times New Roman" w:hAnsi="Times New Roman" w:cs="Times New Roman"/>
          <w:noProof w:val="0"/>
          <w:sz w:val="24"/>
          <w:szCs w:val="24"/>
        </w:rPr>
        <w:t xml:space="preserve"> на</w:t>
      </w:r>
      <w:r w:rsidR="00883A28">
        <w:rPr>
          <w:rFonts w:ascii="Times New Roman" w:hAnsi="Times New Roman" w:cs="Times New Roman"/>
          <w:noProof w:val="0"/>
          <w:sz w:val="24"/>
          <w:szCs w:val="24"/>
        </w:rPr>
        <w:t xml:space="preserve"> Европейската рамка в помощ на действията на институциите и обществото</w:t>
      </w:r>
      <w:r w:rsidR="00B554E5">
        <w:rPr>
          <w:rFonts w:ascii="Times New Roman" w:hAnsi="Times New Roman" w:cs="Times New Roman"/>
          <w:noProof w:val="0"/>
          <w:sz w:val="24"/>
          <w:szCs w:val="24"/>
        </w:rPr>
        <w:t xml:space="preserve"> „Здраве 2020”.</w:t>
      </w:r>
    </w:p>
    <w:p w:rsidR="00B36550" w:rsidRDefault="00B36550" w:rsidP="00CB0C1F">
      <w:pPr>
        <w:spacing w:after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ab/>
      </w:r>
    </w:p>
    <w:p w:rsidR="00D119D3" w:rsidRPr="0049650C" w:rsidRDefault="00D119D3" w:rsidP="0049650C">
      <w:pPr>
        <w:pStyle w:val="a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49650C">
        <w:rPr>
          <w:rFonts w:ascii="Times New Roman" w:hAnsi="Times New Roman" w:cs="Times New Roman"/>
          <w:b/>
          <w:noProof w:val="0"/>
          <w:sz w:val="24"/>
          <w:szCs w:val="24"/>
        </w:rPr>
        <w:t>Полит</w:t>
      </w:r>
      <w:r w:rsidR="0021219B" w:rsidRPr="0049650C">
        <w:rPr>
          <w:rFonts w:ascii="Times New Roman" w:hAnsi="Times New Roman" w:cs="Times New Roman"/>
          <w:b/>
          <w:noProof w:val="0"/>
          <w:sz w:val="24"/>
          <w:szCs w:val="24"/>
        </w:rPr>
        <w:t>ика на</w:t>
      </w:r>
      <w:r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 европейските здравни системи</w:t>
      </w:r>
      <w:r w:rsidR="00B44570"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 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Според Европейската рамка за политики „Здраве 2020“ на Световната здравна организация, основните цели са насочени към значително подобряване здравето и благосъстоянието на населението, намаляване здравното неравенство, укрепване на общественото здраве и осигуряване на здравна система, която е всеобхватна, справедлива, устойчива и с високо качество. Доброто здраве на населението облагодетелства всички сектори и цялото общество, с което се превръща в ценен ресурс.</w:t>
      </w:r>
    </w:p>
    <w:p w:rsidR="00D119D3" w:rsidRPr="00D119D3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Европейската рамка за политики в помощ на действията на институциите и обществото за здраве и благосъстояние е основна политика за икономическа и социална стабилност и национална сигурност. Предизвикателствата</w:t>
      </w:r>
      <w:r w:rsidR="000B581A">
        <w:rPr>
          <w:rFonts w:ascii="Times New Roman" w:hAnsi="Times New Roman" w:cs="Times New Roman"/>
          <w:noProof w:val="0"/>
          <w:sz w:val="24"/>
          <w:szCs w:val="24"/>
        </w:rPr>
        <w:t>,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пред които е изправен ЕС са здравното неравенство в рамките на отделните държави и помежду им отразява разделение в обществото.</w:t>
      </w:r>
      <w:r w:rsidR="000B581A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Националните здравни системи в Европейския съюз се различават една от друга. Дейността и организацията им е грижа и отговорност на държавите-членки на ЕС. Това е предвидено в Хартата на ЕС за </w:t>
      </w:r>
      <w:r w:rsidR="0099132E">
        <w:rPr>
          <w:rFonts w:ascii="Times New Roman" w:hAnsi="Times New Roman" w:cs="Times New Roman"/>
          <w:noProof w:val="0"/>
          <w:sz w:val="24"/>
          <w:szCs w:val="24"/>
        </w:rPr>
        <w:t>основните права /приета в Ница/. Член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35 от нея сочи</w:t>
      </w:r>
      <w:r w:rsidR="0099132E">
        <w:rPr>
          <w:rFonts w:ascii="Times New Roman" w:hAnsi="Times New Roman" w:cs="Times New Roman"/>
          <w:noProof w:val="0"/>
          <w:sz w:val="24"/>
          <w:szCs w:val="24"/>
        </w:rPr>
        <w:t>,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че </w:t>
      </w:r>
      <w:r w:rsidRPr="008E287E">
        <w:rPr>
          <w:rFonts w:ascii="Times New Roman" w:hAnsi="Times New Roman" w:cs="Times New Roman"/>
          <w:i/>
          <w:noProof w:val="0"/>
          <w:sz w:val="24"/>
          <w:szCs w:val="24"/>
        </w:rPr>
        <w:t>„всеки има право на достъп до превантивни зд</w:t>
      </w:r>
      <w:r w:rsidR="00B07B75" w:rsidRPr="008E287E">
        <w:rPr>
          <w:rFonts w:ascii="Times New Roman" w:hAnsi="Times New Roman" w:cs="Times New Roman"/>
          <w:i/>
          <w:noProof w:val="0"/>
          <w:sz w:val="24"/>
          <w:szCs w:val="24"/>
        </w:rPr>
        <w:t>р</w:t>
      </w:r>
      <w:r w:rsidRPr="008E287E">
        <w:rPr>
          <w:rFonts w:ascii="Times New Roman" w:hAnsi="Times New Roman" w:cs="Times New Roman"/>
          <w:i/>
          <w:noProof w:val="0"/>
          <w:sz w:val="24"/>
          <w:szCs w:val="24"/>
        </w:rPr>
        <w:t>авни грижи, право да ползва здравно лечение при условията, установени от националното законодателство и практика“</w:t>
      </w:r>
      <w:r w:rsidR="008E287E">
        <w:rPr>
          <w:rFonts w:ascii="Times New Roman" w:hAnsi="Times New Roman" w:cs="Times New Roman"/>
          <w:i/>
          <w:noProof w:val="0"/>
          <w:sz w:val="24"/>
          <w:szCs w:val="24"/>
        </w:rPr>
        <w:t>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Въпреки различията всички здравни системи имат някои общи проблеми свързани </w:t>
      </w:r>
      <w:r w:rsidR="0099132E">
        <w:rPr>
          <w:rFonts w:ascii="Times New Roman" w:hAnsi="Times New Roman" w:cs="Times New Roman"/>
          <w:noProof w:val="0"/>
          <w:sz w:val="24"/>
          <w:szCs w:val="24"/>
        </w:rPr>
        <w:t>с контрола на разходите и начините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за удовлетворяване изискванията на обществеността за достъп до качествено здравно обслужване. Реалните здравни разходи продължават да изпреварват инфлацията и икономическия растеж. Очакваните повишени разход</w:t>
      </w:r>
      <w:r w:rsidR="00A90D19">
        <w:rPr>
          <w:rFonts w:ascii="Times New Roman" w:hAnsi="Times New Roman" w:cs="Times New Roman"/>
          <w:noProof w:val="0"/>
          <w:sz w:val="24"/>
          <w:szCs w:val="24"/>
        </w:rPr>
        <w:t>и биха се превърнали в заплаха з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а макроикономическата стабилност и развитието на икономиката в Съюза. Наложително е търсене на нови политики за прилагане на по-ефективни и по-ефикасни подходи за превенция и лечение на заболяванията и инвалидизиране на населението.</w:t>
      </w:r>
      <w:r w:rsidR="00467CF1">
        <w:rPr>
          <w:rFonts w:ascii="Times New Roman" w:hAnsi="Times New Roman" w:cs="Times New Roman"/>
          <w:noProof w:val="0"/>
          <w:sz w:val="24"/>
          <w:szCs w:val="24"/>
        </w:rPr>
        <w:t xml:space="preserve"> Навлизането на все по-съвършен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и, но и по-скъпи превантивни, диагностични, лечебни и рехабилитационни технологии в масовата медицинска практика и демографските промени на населението водят до непредотвратимо нарастване на разходите в здравеопазването. Здравните услуги са обременени от още един фактор, през последните шест години, от нарастващите миграционни вълни към Европа и по-специално към държавите с мощна социална политика, тъй като са в сила и правилата за свободно движение на стоки, услуги, капитали и хора в пределите на ЕС. 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</w:p>
    <w:p w:rsidR="00D119D3" w:rsidRPr="0049650C" w:rsidRDefault="00D119D3" w:rsidP="0049650C">
      <w:pPr>
        <w:pStyle w:val="a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noProof w:val="0"/>
          <w:sz w:val="24"/>
          <w:szCs w:val="24"/>
        </w:rPr>
      </w:pPr>
      <w:r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Исторически преглед </w:t>
      </w:r>
      <w:r w:rsidR="003930BD" w:rsidRPr="0049650C">
        <w:rPr>
          <w:rFonts w:ascii="Times New Roman" w:hAnsi="Times New Roman" w:cs="Times New Roman"/>
          <w:b/>
          <w:noProof w:val="0"/>
          <w:sz w:val="24"/>
          <w:szCs w:val="24"/>
        </w:rPr>
        <w:t xml:space="preserve">на зависимости между заразните </w:t>
      </w:r>
      <w:r w:rsidRPr="0049650C">
        <w:rPr>
          <w:rFonts w:ascii="Times New Roman" w:hAnsi="Times New Roman" w:cs="Times New Roman"/>
          <w:b/>
          <w:noProof w:val="0"/>
          <w:sz w:val="24"/>
          <w:szCs w:val="24"/>
        </w:rPr>
        <w:t>заболявания и миграцията.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Преминаването на мигрантите през редица държав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и води до засилване на риска от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епидемични ситуации на инфекциозни и паразитни заболявания, които са описани дори в Библията (петото и шестото наказание на Египет при напускането на евреите от страната).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lastRenderedPageBreak/>
        <w:t>Още от дълбока древност, разпространението на инфекциозните заболявания се свързва с различни процеси, като един от най-значимите е миграцията. През първобитната епоха при появата и развитието на заразни болести е действал естествения отбор за оцеляване.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Пре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з робовладелския строй по време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на множеството водени войни се формират съвкупности на голем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и групи от хора, където липсват добри хигиенни условия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. Най-разпространени са дизентерия, вариола, проказа, петнист тиф.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През феодализма от пети до десети век е налице застой на заразните болести, поради ограничение на феодалните отношения.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През 11-14 век по време на кръстоносните походи протичат чумните и вариолни пандемии в резултат на миграционните процеси свързани с търговията с Китай и Кримските войни. Натрупването на фактори като увеличаване плътността на заселване, разширяване контактите между държавите и индустриализа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цията, създават предпоставки за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множество епидемии и пандемии.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В днешните съвременни условия миграцията е </w:t>
      </w:r>
      <w:proofErr w:type="spellStart"/>
      <w:r w:rsidRPr="00D119D3">
        <w:rPr>
          <w:rFonts w:ascii="Times New Roman" w:hAnsi="Times New Roman" w:cs="Times New Roman"/>
          <w:noProof w:val="0"/>
          <w:sz w:val="24"/>
          <w:szCs w:val="24"/>
        </w:rPr>
        <w:t>мно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го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факторен</w:t>
      </w:r>
      <w:proofErr w:type="spellEnd"/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процес, породен от множеството непрекъснато зараждащи се во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енни конфликти. По данни на ООН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над 140 000 000 души живеят в страни, разл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ични от тези, в които са родени.</w:t>
      </w:r>
    </w:p>
    <w:p w:rsidR="00D119D3" w:rsidRPr="00D119D3" w:rsidRDefault="00071FF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Миграцията между отд</w:t>
      </w:r>
      <w:r w:rsidR="00E568E4">
        <w:rPr>
          <w:rFonts w:ascii="Times New Roman" w:hAnsi="Times New Roman" w:cs="Times New Roman"/>
          <w:noProof w:val="0"/>
          <w:sz w:val="24"/>
          <w:szCs w:val="24"/>
        </w:rPr>
        <w:t>елните общности на фона на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ниска здравна култура, лоша битова хигиена, безработица и ниски</w:t>
      </w:r>
      <w:r w:rsidR="00D119D3"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доходи водят до </w:t>
      </w:r>
      <w:r>
        <w:rPr>
          <w:rFonts w:ascii="Times New Roman" w:hAnsi="Times New Roman" w:cs="Times New Roman"/>
          <w:noProof w:val="0"/>
          <w:sz w:val="24"/>
          <w:szCs w:val="24"/>
        </w:rPr>
        <w:t>реална заплаха от разрастване на епидемии в дадените територии.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i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През 2013 г. е установено, че мигрантите от Афганистан, Нигерия и Пакистан са потенциални носители на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„някои от екзотичните и тежко прот</w:t>
      </w:r>
      <w:r w:rsidR="007D66F9">
        <w:rPr>
          <w:rFonts w:ascii="Times New Roman" w:hAnsi="Times New Roman" w:cs="Times New Roman"/>
          <w:i/>
          <w:noProof w:val="0"/>
          <w:sz w:val="24"/>
          <w:szCs w:val="24"/>
        </w:rPr>
        <w:t xml:space="preserve">ичащи инфекции (ХТ Ласа, жълта </w:t>
      </w:r>
      <w:r w:rsidRPr="00D119D3">
        <w:rPr>
          <w:rFonts w:ascii="Times New Roman" w:hAnsi="Times New Roman" w:cs="Times New Roman"/>
          <w:i/>
          <w:noProof w:val="0"/>
          <w:sz w:val="24"/>
          <w:szCs w:val="24"/>
        </w:rPr>
        <w:t>треска, ХТ Денга)“.</w:t>
      </w:r>
      <w:r w:rsidRPr="00D119D3">
        <w:rPr>
          <w:rStyle w:val="a5"/>
          <w:rFonts w:ascii="Times New Roman" w:hAnsi="Times New Roman" w:cs="Times New Roman"/>
          <w:i/>
          <w:noProof w:val="0"/>
          <w:sz w:val="24"/>
          <w:szCs w:val="24"/>
        </w:rPr>
        <w:footnoteReference w:id="8"/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Миграционните потоци към Европа както в началото от 2011 г., така и през настоящата 2016 г. са постоянен фактор на предизвикателства пред здравеопазването. Особен интерес представля</w:t>
      </w:r>
      <w:r w:rsidR="00071FF3">
        <w:rPr>
          <w:rFonts w:ascii="Times New Roman" w:hAnsi="Times New Roman" w:cs="Times New Roman"/>
          <w:noProof w:val="0"/>
          <w:sz w:val="24"/>
          <w:szCs w:val="24"/>
        </w:rPr>
        <w:t>ват новооткритите и активирали се стари познати</w:t>
      </w:r>
      <w:r w:rsidR="006F6ECF">
        <w:rPr>
          <w:rFonts w:ascii="Times New Roman" w:hAnsi="Times New Roman" w:cs="Times New Roman"/>
          <w:noProof w:val="0"/>
          <w:sz w:val="24"/>
          <w:szCs w:val="24"/>
        </w:rPr>
        <w:t xml:space="preserve"> инфекциозни заболявания, които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се разпространяват бързо вследствие</w:t>
      </w:r>
      <w:r w:rsidR="00071FF3">
        <w:rPr>
          <w:rFonts w:ascii="Times New Roman" w:hAnsi="Times New Roman" w:cs="Times New Roman"/>
          <w:noProof w:val="0"/>
          <w:sz w:val="24"/>
          <w:szCs w:val="24"/>
        </w:rPr>
        <w:t xml:space="preserve"> интензивния международен </w:t>
      </w:r>
      <w:r w:rsidR="0004345C">
        <w:rPr>
          <w:rFonts w:ascii="Times New Roman" w:hAnsi="Times New Roman" w:cs="Times New Roman"/>
          <w:noProof w:val="0"/>
          <w:sz w:val="24"/>
          <w:szCs w:val="24"/>
        </w:rPr>
        <w:t>трафик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>. По тези причини днес е трудно да се п</w:t>
      </w:r>
      <w:r w:rsidR="007E1673">
        <w:rPr>
          <w:rFonts w:ascii="Times New Roman" w:hAnsi="Times New Roman" w:cs="Times New Roman"/>
          <w:noProof w:val="0"/>
          <w:sz w:val="24"/>
          <w:szCs w:val="24"/>
        </w:rPr>
        <w:t>осочи инфекциозна болест, която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да няма възможност да бъде пренесена в някоя точка на света.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D119D3">
        <w:rPr>
          <w:rFonts w:ascii="Times New Roman" w:hAnsi="Times New Roman" w:cs="Times New Roman"/>
          <w:noProof w:val="0"/>
          <w:sz w:val="24"/>
          <w:szCs w:val="24"/>
        </w:rPr>
        <w:t>Оценката на здравното състояние на мигрантите установява сериозни заболя</w:t>
      </w:r>
      <w:r w:rsidR="007E1673">
        <w:rPr>
          <w:rFonts w:ascii="Times New Roman" w:hAnsi="Times New Roman" w:cs="Times New Roman"/>
          <w:noProof w:val="0"/>
          <w:sz w:val="24"/>
          <w:szCs w:val="24"/>
        </w:rPr>
        <w:t>вания, което налага вземането на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не</w:t>
      </w:r>
      <w:r w:rsidR="006F6ECF">
        <w:rPr>
          <w:rFonts w:ascii="Times New Roman" w:hAnsi="Times New Roman" w:cs="Times New Roman"/>
          <w:noProof w:val="0"/>
          <w:sz w:val="24"/>
          <w:szCs w:val="24"/>
        </w:rPr>
        <w:t>обходимите мерки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да не се допусн</w:t>
      </w:r>
      <w:r w:rsidR="00F45651">
        <w:rPr>
          <w:rFonts w:ascii="Times New Roman" w:hAnsi="Times New Roman" w:cs="Times New Roman"/>
          <w:noProof w:val="0"/>
          <w:sz w:val="24"/>
          <w:szCs w:val="24"/>
        </w:rPr>
        <w:t>е привнасяне на нетипични тежки</w:t>
      </w:r>
      <w:r w:rsidRPr="00D119D3">
        <w:rPr>
          <w:rFonts w:ascii="Times New Roman" w:hAnsi="Times New Roman" w:cs="Times New Roman"/>
          <w:noProof w:val="0"/>
          <w:sz w:val="24"/>
          <w:szCs w:val="24"/>
        </w:rPr>
        <w:t xml:space="preserve"> заразни и инфекциозни заболявания и разпространението им в пределите на страната. </w:t>
      </w:r>
      <w:r w:rsidR="00F45651">
        <w:rPr>
          <w:rFonts w:ascii="Times New Roman" w:hAnsi="Times New Roman" w:cs="Times New Roman"/>
          <w:noProof w:val="0"/>
          <w:sz w:val="24"/>
          <w:szCs w:val="24"/>
        </w:rPr>
        <w:t>В резултат на всички те</w:t>
      </w:r>
      <w:r w:rsidR="007E1673">
        <w:rPr>
          <w:rFonts w:ascii="Times New Roman" w:hAnsi="Times New Roman" w:cs="Times New Roman"/>
          <w:noProof w:val="0"/>
          <w:sz w:val="24"/>
          <w:szCs w:val="24"/>
        </w:rPr>
        <w:t>зи настъпващи опасности, все по-</w:t>
      </w:r>
      <w:r w:rsidR="00F45651">
        <w:rPr>
          <w:rFonts w:ascii="Times New Roman" w:hAnsi="Times New Roman" w:cs="Times New Roman"/>
          <w:noProof w:val="0"/>
          <w:sz w:val="24"/>
          <w:szCs w:val="24"/>
        </w:rPr>
        <w:t>ясно и неотложно стои въпросът за изработването на нова здравна миграционна политика на Европейския съюз и в частност на България, като потенциална държава застрашена от неконтролируем миграционен натиск от южната ни съседка.</w:t>
      </w:r>
    </w:p>
    <w:p w:rsidR="00D119D3" w:rsidRPr="00D119D3" w:rsidRDefault="00D119D3" w:rsidP="00CB0C1F">
      <w:pPr>
        <w:spacing w:after="0"/>
        <w:ind w:firstLine="708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bookmarkStart w:id="0" w:name="_GoBack"/>
      <w:bookmarkEnd w:id="0"/>
    </w:p>
    <w:p w:rsidR="00D119D3" w:rsidRPr="0049650C" w:rsidRDefault="00D119D3" w:rsidP="00CB0C1F">
      <w:pPr>
        <w:spacing w:after="0"/>
        <w:ind w:firstLine="709"/>
        <w:jc w:val="both"/>
        <w:rPr>
          <w:rFonts w:ascii="Times New Roman" w:hAnsi="Times New Roman" w:cs="Times New Roman"/>
          <w:b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b/>
          <w:i/>
          <w:noProof w:val="0"/>
          <w:sz w:val="20"/>
          <w:szCs w:val="20"/>
        </w:rPr>
        <w:t>И</w:t>
      </w:r>
      <w:r w:rsidR="0049650C" w:rsidRPr="0049650C">
        <w:rPr>
          <w:rFonts w:ascii="Times New Roman" w:hAnsi="Times New Roman" w:cs="Times New Roman"/>
          <w:b/>
          <w:i/>
          <w:noProof w:val="0"/>
          <w:sz w:val="20"/>
          <w:szCs w:val="20"/>
        </w:rPr>
        <w:t>зползвана</w:t>
      </w:r>
      <w:r w:rsidRPr="0049650C">
        <w:rPr>
          <w:rFonts w:ascii="Times New Roman" w:hAnsi="Times New Roman" w:cs="Times New Roman"/>
          <w:b/>
          <w:i/>
          <w:noProof w:val="0"/>
          <w:sz w:val="20"/>
          <w:szCs w:val="20"/>
        </w:rPr>
        <w:t xml:space="preserve"> </w:t>
      </w:r>
      <w:r w:rsidR="0049650C" w:rsidRPr="0049650C">
        <w:rPr>
          <w:rFonts w:ascii="Times New Roman" w:hAnsi="Times New Roman" w:cs="Times New Roman"/>
          <w:b/>
          <w:i/>
          <w:noProof w:val="0"/>
          <w:sz w:val="20"/>
          <w:szCs w:val="20"/>
        </w:rPr>
        <w:t>литература</w:t>
      </w:r>
      <w:r w:rsidR="0049650C" w:rsidRPr="0049650C">
        <w:rPr>
          <w:rFonts w:ascii="Times New Roman" w:hAnsi="Times New Roman" w:cs="Times New Roman"/>
          <w:b/>
          <w:i/>
          <w:noProof w:val="0"/>
          <w:sz w:val="20"/>
          <w:szCs w:val="20"/>
          <w:lang w:val="en-US"/>
        </w:rPr>
        <w:t>:</w:t>
      </w:r>
    </w:p>
    <w:p w:rsidR="00E90ED5" w:rsidRPr="0049650C" w:rsidRDefault="007A7FDA" w:rsidP="00CB0C1F">
      <w:pPr>
        <w:pStyle w:val="a3"/>
        <w:spacing w:line="276" w:lineRule="auto"/>
        <w:ind w:firstLine="708"/>
        <w:rPr>
          <w:rFonts w:ascii="Times New Roman" w:hAnsi="Times New Roman" w:cs="Times New Roman"/>
          <w:i/>
        </w:rPr>
      </w:pPr>
      <w:r w:rsidRPr="0049650C">
        <w:rPr>
          <w:rFonts w:ascii="Times New Roman" w:hAnsi="Times New Roman" w:cs="Times New Roman"/>
          <w:i/>
        </w:rPr>
        <w:t>1.</w:t>
      </w:r>
      <w:r w:rsidR="00E90ED5" w:rsidRPr="0049650C">
        <w:rPr>
          <w:rFonts w:ascii="Times New Roman" w:hAnsi="Times New Roman" w:cs="Times New Roman"/>
          <w:i/>
        </w:rPr>
        <w:t>Балев, И., Цветарски, С., Демографски процеси и бъдещи тенденции в развитието на населението на България, Сборник „Демографски развите на  Република България”, С., 2005</w:t>
      </w:r>
    </w:p>
    <w:p w:rsidR="00D119D3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2.</w:t>
      </w:r>
      <w:r w:rsidR="00D119D3" w:rsidRPr="0049650C">
        <w:rPr>
          <w:rFonts w:ascii="Times New Roman" w:hAnsi="Times New Roman" w:cs="Times New Roman"/>
          <w:i/>
          <w:noProof w:val="0"/>
          <w:sz w:val="20"/>
          <w:szCs w:val="20"/>
        </w:rPr>
        <w:t>Белчева, М.., Състояние, тенденции и проблеми на раждаемостта във Република България, НСИ, С., 2003</w:t>
      </w:r>
    </w:p>
    <w:p w:rsidR="00E93D35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lastRenderedPageBreak/>
        <w:t>3.</w:t>
      </w:r>
      <w:r w:rsidR="00E93D35" w:rsidRPr="0049650C">
        <w:rPr>
          <w:rFonts w:ascii="Times New Roman" w:hAnsi="Times New Roman" w:cs="Times New Roman"/>
          <w:i/>
          <w:noProof w:val="0"/>
          <w:sz w:val="20"/>
          <w:szCs w:val="20"/>
        </w:rPr>
        <w:t>Жекова, В.,</w:t>
      </w:r>
      <w:r w:rsidR="00E93D35" w:rsidRPr="0049650C">
        <w:rPr>
          <w:rFonts w:ascii="Times New Roman" w:hAnsi="Times New Roman" w:cs="Times New Roman"/>
          <w:b/>
          <w:i/>
          <w:noProof w:val="0"/>
          <w:color w:val="FF0000"/>
          <w:sz w:val="20"/>
          <w:szCs w:val="20"/>
        </w:rPr>
        <w:t xml:space="preserve"> </w:t>
      </w:r>
      <w:r w:rsidR="00E93D35" w:rsidRPr="0049650C">
        <w:rPr>
          <w:rFonts w:ascii="Times New Roman" w:hAnsi="Times New Roman" w:cs="Times New Roman"/>
          <w:i/>
          <w:noProof w:val="0"/>
          <w:sz w:val="20"/>
          <w:szCs w:val="20"/>
        </w:rPr>
        <w:t>Социални норми и традиции в репродуктивното поведение на българите през втората половина на ХХ век, Акад. Изд. „Проф. Марин Дринов”, С., 2002</w:t>
      </w:r>
    </w:p>
    <w:p w:rsidR="00F45651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4.</w:t>
      </w:r>
      <w:r w:rsidR="00F45651" w:rsidRPr="0049650C">
        <w:rPr>
          <w:rFonts w:ascii="Times New Roman" w:hAnsi="Times New Roman" w:cs="Times New Roman"/>
          <w:i/>
          <w:noProof w:val="0"/>
          <w:sz w:val="20"/>
          <w:szCs w:val="20"/>
        </w:rPr>
        <w:t>Кръстева, А.,  Чужденецът-гражданин на глобалния свят? Блог за политика, е-гражданственост и миграция ( август, 21,  2010) &lt;http/://annak</w:t>
      </w:r>
    </w:p>
    <w:p w:rsidR="00F45651" w:rsidRPr="0049650C" w:rsidRDefault="00F45651" w:rsidP="00CB0C1F">
      <w:pPr>
        <w:spacing w:after="0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rasteva.wordpress.com/2010/08/21/etranger-citoyen-du-monde-globalise/&gt; 26.1.2014 г.</w:t>
      </w:r>
    </w:p>
    <w:p w:rsidR="00F45651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sz w:val="20"/>
          <w:szCs w:val="20"/>
        </w:rPr>
        <w:t>5.</w:t>
      </w:r>
      <w:r w:rsidR="00D40095" w:rsidRPr="0049650C">
        <w:rPr>
          <w:rFonts w:ascii="Times New Roman" w:hAnsi="Times New Roman" w:cs="Times New Roman"/>
          <w:i/>
          <w:sz w:val="20"/>
          <w:szCs w:val="20"/>
        </w:rPr>
        <w:t>Маркова, К., Миграционната политика на България и Малта във фокуса на съвременните предизвикателства” – дисертация, С., 2016</w:t>
      </w:r>
    </w:p>
    <w:p w:rsidR="00D119D3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6.</w:t>
      </w:r>
      <w:r w:rsidR="00D119D3" w:rsidRPr="0049650C">
        <w:rPr>
          <w:rFonts w:ascii="Times New Roman" w:hAnsi="Times New Roman" w:cs="Times New Roman"/>
          <w:i/>
          <w:noProof w:val="0"/>
          <w:sz w:val="20"/>
          <w:szCs w:val="20"/>
        </w:rPr>
        <w:t>Христов, Е., Оценяване на структурни и неструктурни ефекти в икономиката, сп. Икономика, С., 1987, кн.8</w:t>
      </w:r>
    </w:p>
    <w:p w:rsidR="00D119D3" w:rsidRPr="0049650C" w:rsidRDefault="007A7FDA" w:rsidP="00CB0C1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/>
          <w:noProof w:val="0"/>
        </w:rPr>
      </w:pPr>
      <w:r w:rsidRPr="0049650C">
        <w:rPr>
          <w:rFonts w:ascii="Times New Roman" w:hAnsi="Times New Roman" w:cs="Times New Roman"/>
          <w:i/>
          <w:noProof w:val="0"/>
        </w:rPr>
        <w:t>7.</w:t>
      </w:r>
      <w:r w:rsidR="00D119D3" w:rsidRPr="0049650C">
        <w:rPr>
          <w:rFonts w:ascii="Times New Roman" w:hAnsi="Times New Roman" w:cs="Times New Roman"/>
          <w:i/>
          <w:noProof w:val="0"/>
        </w:rPr>
        <w:t>Castles, Stephen, Miller, Mark.The Age of Migration. International Population Movements in the Modern World.Third edition. TheGuilford Press. New York, London, 2003.</w:t>
      </w:r>
    </w:p>
    <w:p w:rsidR="00E93D35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8.</w:t>
      </w:r>
      <w:r w:rsidR="00E93D35" w:rsidRPr="0049650C">
        <w:rPr>
          <w:rFonts w:ascii="Times New Roman" w:hAnsi="Times New Roman" w:cs="Times New Roman"/>
          <w:i/>
          <w:noProof w:val="0"/>
          <w:sz w:val="20"/>
          <w:szCs w:val="20"/>
        </w:rPr>
        <w:t xml:space="preserve">Migration in Europe: Social,Economic and Policy Dynamics.  NORFACE Transnational Programme. P. 2 </w:t>
      </w:r>
      <w:hyperlink r:id="rId7" w:history="1">
        <w:r w:rsidR="00E93D35" w:rsidRPr="0049650C">
          <w:rPr>
            <w:rStyle w:val="a7"/>
            <w:rFonts w:ascii="Times New Roman" w:hAnsi="Times New Roman" w:cs="Times New Roman"/>
            <w:i/>
            <w:noProof w:val="0"/>
            <w:sz w:val="20"/>
            <w:szCs w:val="20"/>
          </w:rPr>
          <w:t>http://www.norface.org/files/ NORFACE-spec.pdf</w:t>
        </w:r>
      </w:hyperlink>
      <w:r w:rsidR="00E93D35" w:rsidRPr="0049650C">
        <w:rPr>
          <w:rFonts w:ascii="Times New Roman" w:hAnsi="Times New Roman" w:cs="Times New Roman"/>
          <w:i/>
          <w:noProof w:val="0"/>
          <w:sz w:val="20"/>
          <w:szCs w:val="20"/>
        </w:rPr>
        <w:t xml:space="preserve"> (accessed January, 7. 2014).</w:t>
      </w:r>
    </w:p>
    <w:p w:rsidR="00D119D3" w:rsidRPr="0049650C" w:rsidRDefault="007A7FDA" w:rsidP="00CB0C1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i/>
          <w:noProof w:val="0"/>
        </w:rPr>
      </w:pPr>
      <w:r w:rsidRPr="0049650C">
        <w:rPr>
          <w:rFonts w:ascii="Times New Roman" w:hAnsi="Times New Roman" w:cs="Times New Roman"/>
          <w:i/>
          <w:noProof w:val="0"/>
        </w:rPr>
        <w:t>9.</w:t>
      </w:r>
      <w:r w:rsidR="00D119D3" w:rsidRPr="0049650C">
        <w:rPr>
          <w:rFonts w:ascii="Times New Roman" w:hAnsi="Times New Roman" w:cs="Times New Roman"/>
          <w:i/>
          <w:noProof w:val="0"/>
        </w:rPr>
        <w:t>Wallerstein, Immanuel, Globalization or the Age of Transition? A Long-Term View of the Trajectory of TheWorid System. Binghamton University. June, 2000.</w:t>
      </w:r>
    </w:p>
    <w:p w:rsidR="00F45651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10.</w:t>
      </w:r>
      <w:r w:rsidR="00F45651" w:rsidRPr="0049650C">
        <w:rPr>
          <w:rFonts w:ascii="Times New Roman" w:hAnsi="Times New Roman" w:cs="Times New Roman"/>
          <w:i/>
          <w:noProof w:val="0"/>
          <w:sz w:val="20"/>
          <w:szCs w:val="20"/>
        </w:rPr>
        <w:t>Кратък статистически справочник „Здавеопазване“, НЦОЗА</w:t>
      </w:r>
    </w:p>
    <w:p w:rsidR="00E93D35" w:rsidRPr="0049650C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i/>
          <w:noProof w:val="0"/>
          <w:sz w:val="20"/>
          <w:szCs w:val="20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11.</w:t>
      </w:r>
      <w:r w:rsidR="00E93D35" w:rsidRPr="0049650C">
        <w:rPr>
          <w:rFonts w:ascii="Times New Roman" w:hAnsi="Times New Roman" w:cs="Times New Roman"/>
          <w:i/>
          <w:noProof w:val="0"/>
          <w:sz w:val="20"/>
          <w:szCs w:val="20"/>
        </w:rPr>
        <w:t>Статистически годишник на Българското царство, 1926 г.</w:t>
      </w:r>
    </w:p>
    <w:p w:rsidR="00D119D3" w:rsidRPr="00D119D3" w:rsidRDefault="007A7FDA" w:rsidP="00CB0C1F">
      <w:pPr>
        <w:spacing w:after="0"/>
        <w:ind w:firstLine="709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49650C">
        <w:rPr>
          <w:rFonts w:ascii="Times New Roman" w:hAnsi="Times New Roman" w:cs="Times New Roman"/>
          <w:i/>
          <w:noProof w:val="0"/>
          <w:sz w:val="20"/>
          <w:szCs w:val="20"/>
        </w:rPr>
        <w:t>12.</w:t>
      </w:r>
      <w:hyperlink r:id="rId8" w:history="1">
        <w:r w:rsidR="00D119D3" w:rsidRPr="0049650C">
          <w:rPr>
            <w:rFonts w:ascii="Times New Roman" w:eastAsia="Times New Roman" w:hAnsi="Times New Roman" w:cs="Times New Roman"/>
            <w:i/>
            <w:noProof w:val="0"/>
            <w:color w:val="0000FF"/>
            <w:sz w:val="20"/>
            <w:szCs w:val="20"/>
            <w:u w:val="single"/>
            <w:lang w:eastAsia="bg-BG"/>
          </w:rPr>
          <w:t>https://www.actualno.com/europe/za-pryv-pyt-prez-2015-g-es-registrira-otricatelen-estestven-prirast-news_549707.html</w:t>
        </w:r>
      </w:hyperlink>
      <w:r w:rsidR="00D119D3" w:rsidRPr="00D119D3">
        <w:rPr>
          <w:rFonts w:ascii="Times New Roman" w:eastAsia="Times New Roman" w:hAnsi="Times New Roman" w:cs="Times New Roman"/>
          <w:noProof w:val="0"/>
          <w:sz w:val="24"/>
          <w:szCs w:val="24"/>
          <w:lang w:eastAsia="bg-BG"/>
        </w:rPr>
        <w:br/>
      </w:r>
    </w:p>
    <w:p w:rsidR="00B062EF" w:rsidRDefault="00B062EF"/>
    <w:sectPr w:rsidR="00B062EF" w:rsidSect="00B062E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ED" w:rsidRDefault="00EB5FED" w:rsidP="00D119D3">
      <w:pPr>
        <w:spacing w:after="0" w:line="240" w:lineRule="auto"/>
      </w:pPr>
      <w:r>
        <w:separator/>
      </w:r>
    </w:p>
  </w:endnote>
  <w:endnote w:type="continuationSeparator" w:id="0">
    <w:p w:rsidR="00EB5FED" w:rsidRDefault="00EB5FED" w:rsidP="00D1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699823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87E" w:rsidRDefault="00ED291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50C">
          <w:t>8</w:t>
        </w:r>
        <w:r>
          <w:fldChar w:fldCharType="end"/>
        </w:r>
      </w:p>
    </w:sdtContent>
  </w:sdt>
  <w:p w:rsidR="008E287E" w:rsidRDefault="008E28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ED" w:rsidRDefault="00EB5FED" w:rsidP="00D119D3">
      <w:pPr>
        <w:spacing w:after="0" w:line="240" w:lineRule="auto"/>
      </w:pPr>
      <w:r>
        <w:separator/>
      </w:r>
    </w:p>
  </w:footnote>
  <w:footnote w:type="continuationSeparator" w:id="0">
    <w:p w:rsidR="00EB5FED" w:rsidRDefault="00EB5FED" w:rsidP="00D119D3">
      <w:pPr>
        <w:spacing w:after="0" w:line="240" w:lineRule="auto"/>
      </w:pPr>
      <w:r>
        <w:continuationSeparator/>
      </w:r>
    </w:p>
  </w:footnote>
  <w:footnote w:id="1">
    <w:p w:rsidR="008E287E" w:rsidRPr="006922BA" w:rsidRDefault="008E287E" w:rsidP="00D119D3">
      <w:pPr>
        <w:pStyle w:val="a3"/>
        <w:rPr>
          <w:rFonts w:ascii="Times New Roman" w:hAnsi="Times New Roman" w:cs="Times New Roman"/>
        </w:rPr>
      </w:pPr>
      <w:r w:rsidRPr="006922BA">
        <w:rPr>
          <w:rStyle w:val="a5"/>
          <w:rFonts w:ascii="Times New Roman" w:hAnsi="Times New Roman" w:cs="Times New Roman"/>
        </w:rPr>
        <w:footnoteRef/>
      </w:r>
      <w:r w:rsidRPr="006922BA">
        <w:rPr>
          <w:rFonts w:ascii="Times New Roman" w:hAnsi="Times New Roman" w:cs="Times New Roman"/>
        </w:rPr>
        <w:t xml:space="preserve"> Балев, И., Цветарски, С., Демографски процеси и бъдещи тенденции в развитието на населението на България, Сборник „Демографски развите на  Република България”, С., 2005</w:t>
      </w:r>
    </w:p>
  </w:footnote>
  <w:footnote w:id="2">
    <w:p w:rsidR="008E287E" w:rsidRPr="00806571" w:rsidRDefault="008E287E" w:rsidP="00D119D3">
      <w:pPr>
        <w:pStyle w:val="a3"/>
        <w:rPr>
          <w:i/>
          <w:lang w:val="en-US"/>
        </w:rPr>
      </w:pPr>
      <w:r>
        <w:rPr>
          <w:rStyle w:val="a5"/>
        </w:rPr>
        <w:footnoteRef/>
      </w:r>
      <w:r>
        <w:t xml:space="preserve"> </w:t>
      </w:r>
      <w:r w:rsidRPr="00806571">
        <w:rPr>
          <w:rFonts w:ascii="Times New Roman" w:hAnsi="Times New Roman" w:cs="Times New Roman"/>
        </w:rPr>
        <w:t>Фразата е препрадка към</w:t>
      </w:r>
      <w:r>
        <w:rPr>
          <w:rFonts w:ascii="Times New Roman" w:hAnsi="Times New Roman" w:cs="Times New Roman"/>
        </w:rPr>
        <w:t xml:space="preserve"> </w:t>
      </w:r>
      <w:r w:rsidRPr="00C468B4">
        <w:rPr>
          <w:rFonts w:ascii="Times New Roman" w:hAnsi="Times New Roman" w:cs="Times New Roman"/>
          <w:lang w:val="en-US"/>
        </w:rPr>
        <w:t>C</w:t>
      </w:r>
      <w:r w:rsidRPr="00C468B4">
        <w:rPr>
          <w:rFonts w:ascii="Times New Roman" w:hAnsi="Times New Roman" w:cs="Times New Roman"/>
        </w:rPr>
        <w:t>astles</w:t>
      </w:r>
      <w:r w:rsidRPr="00C468B4">
        <w:rPr>
          <w:rFonts w:ascii="Times New Roman" w:hAnsi="Times New Roman" w:cs="Times New Roman"/>
          <w:lang w:val="en-US"/>
        </w:rPr>
        <w:t>,</w:t>
      </w:r>
      <w:r w:rsidRPr="00C468B4">
        <w:rPr>
          <w:rFonts w:ascii="Times New Roman" w:hAnsi="Times New Roman" w:cs="Times New Roman"/>
        </w:rPr>
        <w:t xml:space="preserve"> Stephen</w:t>
      </w:r>
      <w:r w:rsidRPr="00C468B4">
        <w:rPr>
          <w:rFonts w:ascii="Times New Roman" w:hAnsi="Times New Roman" w:cs="Times New Roman"/>
          <w:lang w:val="en-US"/>
        </w:rPr>
        <w:t>, Miller, Mark.The Age of Migration. International Population Movements in the Modern World.Third edition. TheGuilford Press. New York, London, 2003.</w:t>
      </w:r>
    </w:p>
  </w:footnote>
  <w:footnote w:id="3">
    <w:p w:rsidR="008E287E" w:rsidRPr="0043473C" w:rsidRDefault="008E287E" w:rsidP="00D119D3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C468B4">
        <w:rPr>
          <w:rFonts w:ascii="Times New Roman" w:hAnsi="Times New Roman" w:cs="Times New Roman"/>
        </w:rPr>
        <w:t xml:space="preserve">Виж </w:t>
      </w:r>
      <w:r w:rsidRPr="00C468B4">
        <w:rPr>
          <w:rFonts w:ascii="Times New Roman" w:hAnsi="Times New Roman" w:cs="Times New Roman"/>
          <w:lang w:val="en-US"/>
        </w:rPr>
        <w:t>Wallerstein, Immanuel, Globalization or the Age of Transition? A Long-Term View of the Trajectory of TheWorid System. Binghamton University. June, 2000.</w:t>
      </w:r>
    </w:p>
  </w:footnote>
  <w:footnote w:id="4">
    <w:p w:rsidR="008E287E" w:rsidRPr="008775E6" w:rsidRDefault="008E287E" w:rsidP="00D119D3">
      <w:pPr>
        <w:pStyle w:val="a3"/>
        <w:rPr>
          <w:rFonts w:ascii="Times New Roman" w:hAnsi="Times New Roman" w:cs="Times New Roman"/>
        </w:rPr>
      </w:pPr>
      <w:r w:rsidRPr="008775E6">
        <w:rPr>
          <w:rStyle w:val="a5"/>
          <w:rFonts w:ascii="Times New Roman" w:hAnsi="Times New Roman" w:cs="Times New Roman"/>
        </w:rPr>
        <w:footnoteRef/>
      </w:r>
      <w:r w:rsidRPr="008775E6">
        <w:rPr>
          <w:rFonts w:ascii="Times New Roman" w:hAnsi="Times New Roman" w:cs="Times New Roman"/>
        </w:rPr>
        <w:t xml:space="preserve"> </w:t>
      </w:r>
      <w:r w:rsidRPr="008775E6">
        <w:rPr>
          <w:rFonts w:ascii="Times New Roman" w:hAnsi="Times New Roman" w:cs="Times New Roman"/>
          <w:lang w:val="en-US"/>
        </w:rPr>
        <w:t xml:space="preserve">Migration in Europe: Social,Economic and Policy Dynamics.  NORFACE Transnational Programme. P. 2 </w:t>
      </w:r>
      <w:hyperlink r:id="rId1" w:history="1">
        <w:r w:rsidRPr="006C36B3">
          <w:rPr>
            <w:rStyle w:val="a7"/>
            <w:rFonts w:ascii="Times New Roman" w:hAnsi="Times New Roman" w:cs="Times New Roman"/>
            <w:lang w:val="en-US"/>
          </w:rPr>
          <w:t>http://www.norface.org/files/ NORFACE-spec.pdf</w:t>
        </w:r>
      </w:hyperlink>
      <w:r w:rsidRPr="008775E6">
        <w:rPr>
          <w:rFonts w:ascii="Times New Roman" w:hAnsi="Times New Roman" w:cs="Times New Roman"/>
          <w:lang w:val="en-US"/>
        </w:rPr>
        <w:t xml:space="preserve"> (accessed January, 7. </w:t>
      </w:r>
      <w:r w:rsidRPr="00DE00B6">
        <w:rPr>
          <w:rFonts w:ascii="Times New Roman" w:hAnsi="Times New Roman" w:cs="Times New Roman"/>
          <w:lang w:val="ru-RU"/>
        </w:rPr>
        <w:t>2014).</w:t>
      </w:r>
    </w:p>
  </w:footnote>
  <w:footnote w:id="5">
    <w:p w:rsidR="008E287E" w:rsidRDefault="008E287E" w:rsidP="00D119D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Маркова, К., Мигр</w:t>
      </w:r>
      <w:r w:rsidRPr="00D23F3A">
        <w:rPr>
          <w:rFonts w:ascii="Times New Roman" w:hAnsi="Times New Roman" w:cs="Times New Roman"/>
        </w:rPr>
        <w:t>ационната политика на България и Малта във фокуса на съвременните предизвикателства” – дисертация, С., 2016</w:t>
      </w:r>
    </w:p>
  </w:footnote>
  <w:footnote w:id="6">
    <w:p w:rsidR="008E287E" w:rsidRPr="00B554E5" w:rsidRDefault="008E287E" w:rsidP="00B554E5">
      <w:pPr>
        <w:pStyle w:val="a3"/>
        <w:jc w:val="both"/>
        <w:rPr>
          <w:rFonts w:ascii="Times New Roman" w:hAnsi="Times New Roman" w:cs="Times New Roman"/>
        </w:rPr>
      </w:pPr>
      <w:r w:rsidRPr="00B554E5">
        <w:rPr>
          <w:rStyle w:val="a5"/>
          <w:rFonts w:ascii="Times New Roman" w:hAnsi="Times New Roman" w:cs="Times New Roman"/>
        </w:rPr>
        <w:footnoteRef/>
      </w:r>
      <w:r w:rsidRPr="00B554E5">
        <w:rPr>
          <w:rFonts w:ascii="Times New Roman" w:hAnsi="Times New Roman" w:cs="Times New Roman"/>
        </w:rPr>
        <w:t>Европейският съвет в Тампере въвежда Общ режим на предоставяне на убежище; борба с нерегулярната миграция и трафика испрааведливо третиране на гражданите на трети страни.</w:t>
      </w:r>
    </w:p>
  </w:footnote>
  <w:footnote w:id="7">
    <w:p w:rsidR="008E287E" w:rsidRDefault="008E287E" w:rsidP="00B554E5">
      <w:pPr>
        <w:pStyle w:val="a3"/>
        <w:jc w:val="both"/>
      </w:pPr>
      <w:r w:rsidRPr="00B554E5">
        <w:rPr>
          <w:rStyle w:val="a5"/>
          <w:rFonts w:ascii="Times New Roman" w:hAnsi="Times New Roman" w:cs="Times New Roman"/>
        </w:rPr>
        <w:footnoteRef/>
      </w:r>
      <w:r w:rsidRPr="00B554E5">
        <w:rPr>
          <w:rFonts w:ascii="Times New Roman" w:hAnsi="Times New Roman" w:cs="Times New Roman"/>
        </w:rPr>
        <w:t xml:space="preserve"> Хагската програма предвижда интеграция на гражданите на трети страни; политика на завръщане и на реадмисия;  управление на миграционните потоци -контрол на границите, биометрия и информационни системи и политика на визите.</w:t>
      </w:r>
    </w:p>
  </w:footnote>
  <w:footnote w:id="8">
    <w:p w:rsidR="008E287E" w:rsidRDefault="008E287E" w:rsidP="00D119D3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Pr="00EA3951">
          <w:rPr>
            <w:rStyle w:val="a7"/>
            <w:rFonts w:ascii="Times New Roman" w:hAnsi="Times New Roman" w:cs="Times New Roman"/>
            <w:noProof w:val="0"/>
            <w:color w:val="auto"/>
            <w:u w:val="none"/>
          </w:rPr>
          <w:t>http://bsid-bg.org/docs/8-conf/02_Migracia%20final%20Varna2013.pdf</w:t>
        </w:r>
      </w:hyperlink>
      <w:r w:rsidRPr="00EA3951">
        <w:rPr>
          <w:rFonts w:ascii="Times New Roman" w:hAnsi="Times New Roman" w:cs="Times New Roman"/>
          <w:noProof w:val="0"/>
          <w:sz w:val="24"/>
          <w:szCs w:val="24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145"/>
    <w:multiLevelType w:val="hybridMultilevel"/>
    <w:tmpl w:val="BA50087A"/>
    <w:lvl w:ilvl="0" w:tplc="7A42A0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3"/>
    <w:rsid w:val="00006E6B"/>
    <w:rsid w:val="00033D12"/>
    <w:rsid w:val="0004345C"/>
    <w:rsid w:val="00071FF3"/>
    <w:rsid w:val="000B581A"/>
    <w:rsid w:val="001229A8"/>
    <w:rsid w:val="00166C48"/>
    <w:rsid w:val="001C2017"/>
    <w:rsid w:val="001F5B8F"/>
    <w:rsid w:val="00200BA8"/>
    <w:rsid w:val="00204992"/>
    <w:rsid w:val="0021219B"/>
    <w:rsid w:val="002833DA"/>
    <w:rsid w:val="002B2F1D"/>
    <w:rsid w:val="00307108"/>
    <w:rsid w:val="003278DD"/>
    <w:rsid w:val="0037062B"/>
    <w:rsid w:val="00392E97"/>
    <w:rsid w:val="003930BD"/>
    <w:rsid w:val="00450C78"/>
    <w:rsid w:val="00467CF1"/>
    <w:rsid w:val="0048087D"/>
    <w:rsid w:val="0049650C"/>
    <w:rsid w:val="00512BE6"/>
    <w:rsid w:val="00525B1E"/>
    <w:rsid w:val="0055223B"/>
    <w:rsid w:val="00565CEC"/>
    <w:rsid w:val="005B0E13"/>
    <w:rsid w:val="006016FA"/>
    <w:rsid w:val="00655BFE"/>
    <w:rsid w:val="00672485"/>
    <w:rsid w:val="00697D8F"/>
    <w:rsid w:val="006F0194"/>
    <w:rsid w:val="006F6ECF"/>
    <w:rsid w:val="00795CE1"/>
    <w:rsid w:val="007A7FDA"/>
    <w:rsid w:val="007D66F9"/>
    <w:rsid w:val="007E1673"/>
    <w:rsid w:val="00847D66"/>
    <w:rsid w:val="00876017"/>
    <w:rsid w:val="00883A28"/>
    <w:rsid w:val="008E287E"/>
    <w:rsid w:val="00924D94"/>
    <w:rsid w:val="0099132E"/>
    <w:rsid w:val="00A15001"/>
    <w:rsid w:val="00A54962"/>
    <w:rsid w:val="00A90D19"/>
    <w:rsid w:val="00AD1273"/>
    <w:rsid w:val="00AD54C4"/>
    <w:rsid w:val="00AE4E32"/>
    <w:rsid w:val="00B062EF"/>
    <w:rsid w:val="00B07B75"/>
    <w:rsid w:val="00B36550"/>
    <w:rsid w:val="00B44570"/>
    <w:rsid w:val="00B45EE2"/>
    <w:rsid w:val="00B554E5"/>
    <w:rsid w:val="00B6023D"/>
    <w:rsid w:val="00B71FBF"/>
    <w:rsid w:val="00BB3251"/>
    <w:rsid w:val="00BB7483"/>
    <w:rsid w:val="00BD04EE"/>
    <w:rsid w:val="00BD531C"/>
    <w:rsid w:val="00BF179E"/>
    <w:rsid w:val="00C14DB8"/>
    <w:rsid w:val="00C25167"/>
    <w:rsid w:val="00C26804"/>
    <w:rsid w:val="00CA1FD0"/>
    <w:rsid w:val="00CB0C1F"/>
    <w:rsid w:val="00D00F20"/>
    <w:rsid w:val="00D119D3"/>
    <w:rsid w:val="00D40095"/>
    <w:rsid w:val="00D525FC"/>
    <w:rsid w:val="00DA5675"/>
    <w:rsid w:val="00DE00B6"/>
    <w:rsid w:val="00E42197"/>
    <w:rsid w:val="00E568E4"/>
    <w:rsid w:val="00E56A00"/>
    <w:rsid w:val="00E80C47"/>
    <w:rsid w:val="00E90ED5"/>
    <w:rsid w:val="00E93D35"/>
    <w:rsid w:val="00EA1B62"/>
    <w:rsid w:val="00EB5FED"/>
    <w:rsid w:val="00ED0660"/>
    <w:rsid w:val="00ED2916"/>
    <w:rsid w:val="00EE0C93"/>
    <w:rsid w:val="00EE779B"/>
    <w:rsid w:val="00F32678"/>
    <w:rsid w:val="00F45651"/>
    <w:rsid w:val="00F53966"/>
    <w:rsid w:val="00F661B7"/>
    <w:rsid w:val="00FB41DD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7356D"/>
  <w15:docId w15:val="{3A7C8EF5-A218-4409-A1CD-FD6A7106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119D3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D119D3"/>
    <w:pPr>
      <w:spacing w:after="0" w:line="240" w:lineRule="auto"/>
    </w:pPr>
    <w:rPr>
      <w:sz w:val="20"/>
      <w:szCs w:val="20"/>
    </w:rPr>
  </w:style>
  <w:style w:type="character" w:customStyle="1" w:styleId="a4">
    <w:name w:val="Текст под линия Знак"/>
    <w:basedOn w:val="a0"/>
    <w:link w:val="a3"/>
    <w:rsid w:val="00D119D3"/>
    <w:rPr>
      <w:noProof/>
      <w:sz w:val="20"/>
      <w:szCs w:val="20"/>
    </w:rPr>
  </w:style>
  <w:style w:type="character" w:styleId="a5">
    <w:name w:val="footnote reference"/>
    <w:aliases w:val="Footnote Reference Superscript,BVI fnr,Footnote symbol,SUPERS,(Footnote Reference),Footnote,Voetnootverwijzing,Times 10 Point,Exposant 3 Point,Footnote reference number,note TESI,Odwołanie przypisu,Footnotemark,FR"/>
    <w:basedOn w:val="a0"/>
    <w:uiPriority w:val="99"/>
    <w:semiHidden/>
    <w:unhideWhenUsed/>
    <w:rsid w:val="00D119D3"/>
    <w:rPr>
      <w:vertAlign w:val="superscript"/>
    </w:rPr>
  </w:style>
  <w:style w:type="table" w:styleId="a6">
    <w:name w:val="Table Grid"/>
    <w:basedOn w:val="a1"/>
    <w:uiPriority w:val="39"/>
    <w:rsid w:val="00D1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119D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D11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119D3"/>
    <w:rPr>
      <w:noProof/>
    </w:rPr>
  </w:style>
  <w:style w:type="character" w:customStyle="1" w:styleId="apple-converted-space">
    <w:name w:val="apple-converted-space"/>
    <w:basedOn w:val="a0"/>
    <w:rsid w:val="00876017"/>
  </w:style>
  <w:style w:type="paragraph" w:styleId="aa">
    <w:name w:val="Normal (Web)"/>
    <w:basedOn w:val="a"/>
    <w:uiPriority w:val="99"/>
    <w:semiHidden/>
    <w:unhideWhenUsed/>
    <w:rsid w:val="00B3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bg-BG"/>
    </w:rPr>
  </w:style>
  <w:style w:type="character" w:styleId="ab">
    <w:name w:val="Strong"/>
    <w:basedOn w:val="a0"/>
    <w:uiPriority w:val="22"/>
    <w:qFormat/>
    <w:rsid w:val="00B3655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4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04345C"/>
    <w:rPr>
      <w:rFonts w:ascii="Tahoma" w:hAnsi="Tahoma" w:cs="Tahoma"/>
      <w:noProof/>
      <w:sz w:val="16"/>
      <w:szCs w:val="16"/>
    </w:rPr>
  </w:style>
  <w:style w:type="paragraph" w:styleId="ae">
    <w:name w:val="List Paragraph"/>
    <w:basedOn w:val="a"/>
    <w:uiPriority w:val="34"/>
    <w:qFormat/>
    <w:rsid w:val="0067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lno.com/europe/za-pryv-pyt-prez-2015-g-es-registrira-otricatelen-estestven-prirast-news_5497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rface.org/files/%20NORFACE-spe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sid-bg.org/docs/8-conf/02_Migracia%20final%20Varna2013.pdf" TargetMode="External"/><Relationship Id="rId1" Type="http://schemas.openxmlformats.org/officeDocument/2006/relationships/hyperlink" Target="http://www.norface.org/files/%20NORFACE-spe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OT4</dc:creator>
  <cp:lastModifiedBy>Mihael Dimitrov</cp:lastModifiedBy>
  <cp:revision>21</cp:revision>
  <cp:lastPrinted>2016-12-09T16:45:00Z</cp:lastPrinted>
  <dcterms:created xsi:type="dcterms:W3CDTF">2016-12-09T16:53:00Z</dcterms:created>
  <dcterms:modified xsi:type="dcterms:W3CDTF">2016-12-27T10:40:00Z</dcterms:modified>
</cp:coreProperties>
</file>