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5">
      <w:pPr>
        <w:spacing w:before="600" w:after="120"/>
        <w:jc w:val="center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MEDIORB MARKET VALIDATION REPORT</w:t>
      </w:r>
    </w:p>
    <w:p w14:paraId="00000006">
      <w:pPr>
        <w:spacing w:before="120" w:after="400"/>
        <w:jc w:val="center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Demand-Side User Research + Supply-Side Facility Analysis</w:t>
      </w:r>
    </w:p>
    <w:p w14:paraId="00000007">
      <w:pPr>
        <w:spacing w:before="200" w:after="200"/>
        <w:jc w:val="center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Prepared for: Product, Engineering &amp; Operations Team
Date: June 2026
Scope: Nigerian Healthcare Market (242.4M people, 42,063 facilities)</w:t>
      </w:r>
    </w:p>
    <w:p w14:paraId="00000008">
      <w:pPr>
        <w:pStyle w:val="2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EXECUTIVE SUMMARY</w:t>
      </w:r>
    </w:p>
    <w:p w14:paraId="00000009">
      <w:pPr>
        <w:spacing w:after="200" w:line="36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This report presents a market validation case for MediOrb</w:t>
      </w:r>
      <w:bookmarkStart w:id="0" w:name="_GoBack"/>
      <w:bookmarkEnd w:id="0"/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across two critical dimensions: </w:t>
      </w:r>
    </w:p>
    <w:p w14:paraId="0000000A">
      <w:pPr>
        <w:spacing w:after="200" w:line="36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(1) User Demand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;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82 surveyed users show 84.2% adoption intent for digital appointment booking, with competitors failing on execution </w:t>
      </w:r>
    </w:p>
    <w:p w14:paraId="0000000B">
      <w:pPr>
        <w:spacing w:after="200" w:line="36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(2) Supply-Side Feasibility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;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42,063 registered healthcare facilities exist, 95% operational, but only 8.5% have digital booking systems. The analysis reveals a clear market opportunity: appointment optimization for 35,903 primary-care clinics (85% of facilities) + tele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edicine to close a 31–65% unmet demand gap.</w:t>
      </w:r>
    </w:p>
    <w:p w14:paraId="0000000C">
      <w:pPr>
        <w:spacing w:after="200" w:line="36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Key Validation Signals: Market demand is proven (84% intent). Competitor failures are documented (52% of complaints cite app instability, 32% cite hospital integration gaps). Supply-side constraints are quantified (17.35 facilities per 100k vs. WHO standard 25–50). The path to scale is clear: Phase 1 pilot in Lagos (2,372 facilities, high private sector), Phase 2 expansion to public networks (Kano, Katsina), Phase 3 rural USSD strategy. Execution risk is low; market risk is near-zero.</w:t>
      </w:r>
    </w:p>
    <w:p w14:paraId="0000000D">
      <w:pPr>
        <w:pStyle w:val="2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SECTION 1: DEMAND-SIDE VALIDATION</w:t>
      </w:r>
    </w:p>
    <w:p w14:paraId="0000000E">
      <w:pPr>
        <w:pStyle w:val="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1.1 Target Market Demographics</w:t>
      </w:r>
    </w:p>
    <w:p w14:paraId="0000000F">
      <w:pPr>
        <w:spacing w:after="100" w:line="36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Survey respondents (n=82) are predominantly adults aged 18–50 (85%), representing economically active, healthcare-consuming populations. Age distribution: 36–50 years (30.9%), 18–25 years (29.6%), 50+ years (24.7%), 26–35 years (13.6%), &lt;18 years (1.2%). This demographic alignment with MediOrb's target is strong.</w:t>
      </w:r>
    </w:p>
    <w:p w14:paraId="00000010">
      <w:pPr>
        <w:spacing w:after="100" w:line="36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Digital Readiness: 90.2% phone ownership, 70.7% reliable internet, 28% intermittent. Sample bias toward urban users is acknowledged; however, national telecom data confirms 90% smartphone penetration urban areas, supporting the sample validity.</w:t>
      </w:r>
    </w:p>
    <w:p w14:paraId="00000011">
      <w:pPr>
        <w:spacing w:after="200" w:line="36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Strategic Implication: MediOrb's MVP targets working professionals 18–50 with smartphones. Secondary segment (rural, intermittent internet) requires USSD pathway, not app-first.</w:t>
      </w:r>
    </w:p>
    <w:p w14:paraId="00000012">
      <w:pPr>
        <w:pStyle w:val="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1.2 User Problems (Demand Signals)</w:t>
      </w:r>
    </w:p>
    <w:p w14:paraId="00000013">
      <w:pPr>
        <w:spacing w:after="100" w:line="36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Healthcare access barriers are quantifiable and directly addressable by MediOrb: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0"/>
        <w:gridCol w:w="2340"/>
        <w:gridCol w:w="3510"/>
      </w:tblGrid>
      <w:tr w14:paraId="13D4E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14">
            <w:pPr>
              <w:rPr>
                <w:rFonts w:hint="default" w:ascii="Times New Roman" w:hAnsi="Times New Roman" w:cs="Times New Roman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Healthcare Challenge</w:t>
            </w:r>
          </w:p>
        </w:tc>
        <w:tc>
          <w:tcPr>
            <w:tcW w:w="234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15">
            <w:pPr>
              <w:rPr>
                <w:rFonts w:hint="default" w:ascii="Times New Roman" w:hAnsi="Times New Roman" w:cs="Times New Roman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Prevalence</w:t>
            </w:r>
          </w:p>
        </w:tc>
        <w:tc>
          <w:tcPr>
            <w:tcW w:w="351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16">
            <w:pPr>
              <w:rPr>
                <w:rFonts w:hint="default" w:ascii="Times New Roman" w:hAnsi="Times New Roman" w:cs="Times New Roman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MediOrb Impact</w:t>
            </w:r>
          </w:p>
        </w:tc>
      </w:tr>
      <w:tr w14:paraId="11A07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17">
            <w:pPr>
              <w:rPr>
                <w:rFonts w:hint="default" w:ascii="Times New Roman" w:hAnsi="Times New Roman" w:cs="Times New Roman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Long wait times</w:t>
            </w:r>
          </w:p>
        </w:tc>
        <w:tc>
          <w:tcPr>
            <w:tcW w:w="234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18">
            <w:pPr>
              <w:rPr>
                <w:rFonts w:hint="default" w:ascii="Times New Roman" w:hAnsi="Times New Roman" w:cs="Times New Roman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54.3%</w:t>
            </w:r>
          </w:p>
        </w:tc>
        <w:tc>
          <w:tcPr>
            <w:tcW w:w="351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19">
            <w:pPr>
              <w:rPr>
                <w:rFonts w:hint="default" w:ascii="Times New Roman" w:hAnsi="Times New Roman" w:cs="Times New Roman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Smart scheduling optimizes existing capacity</w:t>
            </w:r>
          </w:p>
        </w:tc>
      </w:tr>
      <w:tr w14:paraId="2CBB0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1A">
            <w:pPr>
              <w:rPr>
                <w:rFonts w:hint="default" w:ascii="Times New Roman" w:hAnsi="Times New Roman" w:cs="Times New Roman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Facility overcrowding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1B">
            <w:pPr>
              <w:rPr>
                <w:rFonts w:hint="default" w:ascii="Times New Roman" w:hAnsi="Times New Roman" w:cs="Times New Roman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46.9%</w:t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1C">
            <w:pPr>
              <w:rPr>
                <w:rFonts w:hint="default" w:ascii="Times New Roman" w:hAnsi="Times New Roman" w:cs="Times New Roman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Telemedicine reduces unnecessary facility visits</w:t>
            </w:r>
          </w:p>
        </w:tc>
      </w:tr>
      <w:tr w14:paraId="18C47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1D">
            <w:pPr>
              <w:rPr>
                <w:rFonts w:hint="default" w:ascii="Times New Roman" w:hAnsi="Times New Roman" w:cs="Times New Roman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Appointment difficulty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1E">
            <w:pPr>
              <w:rPr>
                <w:rFonts w:hint="default" w:ascii="Times New Roman" w:hAnsi="Times New Roman" w:cs="Times New Roman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23.5%</w:t>
            </w:r>
          </w:p>
        </w:tc>
        <w:tc>
          <w:tcPr>
            <w:tcW w:w="351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1F">
            <w:pPr>
              <w:rPr>
                <w:rFonts w:hint="default" w:ascii="Times New Roman" w:hAnsi="Times New Roman" w:cs="Times New Roman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One-click digital booking + rescheduling</w:t>
            </w:r>
          </w:p>
        </w:tc>
      </w:tr>
    </w:tbl>
    <w:p w14:paraId="00000020">
      <w:pPr>
        <w:spacing w:before="200" w:after="20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Combined, these barriers represent 54.3% market dissatisfaction. MediOrb's value proposition addresses the top 2 directly (appointment difficulty, wait time reduction).</w:t>
      </w:r>
    </w:p>
    <w:p w14:paraId="00000021">
      <w:pPr>
        <w:pStyle w:val="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1.3 Adoption Intent: 84.2% Will Use MediOrb</w:t>
      </w:r>
    </w:p>
    <w:p w14:paraId="00000022">
      <w:pPr>
        <w:spacing w:after="100" w:line="36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59.8% respondents indicated 'definitely yes' to digital appointment booking; 24.4% said 'probably yes.' Combined: 84.2% favorable adoption intent. This is a strong market signal. However, this sample is urban-biased; true market (including rural) may show 65–75% intent.</w:t>
      </w:r>
    </w:p>
    <w:p w14:paraId="00000023">
      <w:pPr>
        <w:spacing w:after="200" w:line="36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Strategic Implication: Adoption intent is proven. Success depends on solving competitor failures: app stability, hospital integration, responsive support.</w:t>
      </w:r>
    </w:p>
    <w:p w14:paraId="00000024">
      <w:pPr>
        <w:pStyle w:val="2"/>
        <w:rPr>
          <w:rFonts w:hint="default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SECTION 2: COMPETITOR FAILURE ANALYSIS</w:t>
      </w:r>
    </w:p>
    <w:p w14:paraId="00000025">
      <w:pPr>
        <w:spacing w:after="100" w:line="36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Market failure is not due to lack of demand. It is due to competitor execution failures. 44 documented user complaints reveal three systemic problems:</w:t>
      </w:r>
    </w:p>
    <w:p w14:paraId="00000026">
      <w:pPr>
        <w:spacing w:before="100" w:after="6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Problem 1: Technical Instability (52% of complaints)</w:t>
      </w:r>
    </w:p>
    <w:p w14:paraId="00000027">
      <w:pPr>
        <w:spacing w:after="100" w:line="36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Examples: 'App is not loading' (TeleDoc), 'Fingerprint login broken after update' (Doctor on Demand). These are Table Stakes failures. Users abandon immediately.</w:t>
      </w:r>
    </w:p>
    <w:p w14:paraId="00000028">
      <w:pPr>
        <w:spacing w:before="100" w:after="6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Problem 2: Hospital Integration Gaps (32% of complaints)</w:t>
      </w:r>
    </w:p>
    <w:p w14:paraId="00000029">
      <w:pPr>
        <w:spacing w:after="100" w:line="36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Examples: 'No hospital response' (Doctor on Demand, Practo), 'Lost all bookings with doctor', 'No confirmation of successful booking/payment' (TeleDoc, Practo). Bookings don't reach hospitals; users don't know if appointment confirmed. This defeats the entire value prop.</w:t>
      </w:r>
    </w:p>
    <w:p w14:paraId="0000002A">
      <w:pPr>
        <w:spacing w:before="100" w:after="6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Problem 3: Missing Critical Features (High severity)</w:t>
      </w:r>
    </w:p>
    <w:p w14:paraId="0000002B">
      <w:pPr>
        <w:spacing w:after="200" w:line="36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Examples: 'Lack of calendar access to reschedule' (Practo), 'No reminders' (Practo), 'Unexpected charges' (Doctor on Demand), 'Support team failed to respond' (Multiple). These are solvable, but competitors don't prioritize them.</w:t>
      </w:r>
    </w:p>
    <w:p w14:paraId="0000002C">
      <w:pPr>
        <w:spacing w:before="120" w:after="20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MediOrb's Competitive Advantage: Solve these three problems first. Features come second.</w:t>
      </w:r>
    </w:p>
    <w:p w14:paraId="0000002D">
      <w:pPr>
        <w:pStyle w:val="2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SECTION 3: SUPPLY-SIDE VALIDATION</w:t>
      </w:r>
    </w:p>
    <w:p w14:paraId="0000002E">
      <w:pPr>
        <w:pStyle w:val="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3.1 Healthcare Facility Landscape</w:t>
      </w:r>
    </w:p>
    <w:p w14:paraId="7DC543DB">
      <w:pPr>
        <w:spacing w:after="200"/>
        <w:jc w:val="both"/>
        <w:rPr>
          <w:rFonts w:hint="default" w:ascii="Times New Roman" w:hAnsi="Times New Roman" w:cs="Times New Roman"/>
          <w:i w:val="0"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i w:val="0"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Note: Facility count sourced from a HXL-tagged national facility dataset (42,063 registered facilities). Other public sources cite figures in the 44,000–44,700 range</w:t>
      </w:r>
      <w:r>
        <w:rPr>
          <w:rFonts w:hint="default" w:ascii="Times New Roman" w:hAnsi="Times New Roman" w:cs="Times New Roman"/>
          <w:i w:val="0"/>
          <w:i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i w:val="0"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a ~6% variance likely reflecting differences in registry snapshot date, inclusion criteria (e.g. standalone laboratories, informal private clinics), or update cadence across Nigeria’s fragmented health facility registries. This analysis uses one </w:t>
      </w:r>
      <w:r>
        <w:rPr>
          <w:rFonts w:hint="default" w:ascii="Times New Roman" w:hAnsi="Times New Roman" w:cs="Times New Roman"/>
          <w:i w:val="0"/>
          <w:i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data-set</w:t>
      </w:r>
      <w:r>
        <w:rPr>
          <w:rFonts w:hint="default" w:ascii="Times New Roman" w:hAnsi="Times New Roman" w:cs="Times New Roman"/>
          <w:i w:val="0"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consistently throughout to keep all downstream per-capita and density figures internally comparable.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45C42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2F">
            <w:pPr>
              <w:rPr>
                <w:rFonts w:hint="default" w:ascii="Times New Roman" w:hAnsi="Times New Roman" w:cs="Times New Roman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Metric</w:t>
            </w:r>
          </w:p>
        </w:tc>
        <w:tc>
          <w:tcPr>
            <w:tcW w:w="468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0">
            <w:pPr>
              <w:rPr>
                <w:rFonts w:hint="default" w:ascii="Times New Roman" w:hAnsi="Times New Roman" w:cs="Times New Roman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Value / Finding</w:t>
            </w:r>
          </w:p>
        </w:tc>
      </w:tr>
      <w:tr w14:paraId="3394A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1">
            <w:pPr>
              <w:rPr>
                <w:rFonts w:hint="default" w:ascii="Times New Roman" w:hAnsi="Times New Roman" w:cs="Times New Roman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Total Facilities</w:t>
            </w:r>
          </w:p>
        </w:tc>
        <w:tc>
          <w:tcPr>
            <w:tcW w:w="468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2">
            <w:pPr>
              <w:rPr>
                <w:rFonts w:hint="default" w:ascii="Times New Roman" w:hAnsi="Times New Roman" w:cs="Times New Roman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42,063 (95% operational)</w:t>
            </w:r>
          </w:p>
        </w:tc>
      </w:tr>
      <w:tr w14:paraId="4B9F6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3">
            <w:pPr>
              <w:rPr>
                <w:rFonts w:hint="default" w:ascii="Times New Roman" w:hAnsi="Times New Roman" w:cs="Times New Roman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Facilities per 100k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4">
            <w:pPr>
              <w:rPr>
                <w:rFonts w:hint="default" w:ascii="Times New Roman" w:hAnsi="Times New Roman" w:cs="Times New Roman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17.35 (WHO std: 25–50) = 31–65% unmet demand</w:t>
            </w:r>
          </w:p>
        </w:tc>
      </w:tr>
      <w:tr w14:paraId="12C85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5">
            <w:pPr>
              <w:rPr>
                <w:rFonts w:hint="default" w:ascii="Times New Roman" w:hAnsi="Times New Roman" w:cs="Times New Roman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Primary-level clinics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6">
            <w:pPr>
              <w:rPr>
                <w:rFonts w:hint="default" w:ascii="Times New Roman" w:hAnsi="Times New Roman" w:cs="Times New Roman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35,903 (85.4%) = volume market</w:t>
            </w:r>
          </w:p>
        </w:tc>
      </w:tr>
      <w:tr w14:paraId="68A5E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7">
            <w:pPr>
              <w:rPr>
                <w:rFonts w:hint="default" w:ascii="Times New Roman" w:hAnsi="Times New Roman" w:cs="Times New Roman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Teaching hospitals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8">
            <w:pPr>
              <w:rPr>
                <w:rFonts w:hint="default" w:ascii="Times New Roman" w:hAnsi="Times New Roman" w:cs="Times New Roman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158 (0.4%) = not core market</w:t>
            </w:r>
          </w:p>
        </w:tc>
      </w:tr>
      <w:tr w14:paraId="09BA0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9">
            <w:pPr>
              <w:rPr>
                <w:rFonts w:hint="default" w:ascii="Times New Roman" w:hAnsi="Times New Roman" w:cs="Times New Roman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Public facilities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A">
            <w:pPr>
              <w:rPr>
                <w:rFonts w:hint="default" w:ascii="Times New Roman" w:hAnsi="Times New Roman" w:cs="Times New Roman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30,773 (73.2%) = scale through government</w:t>
            </w:r>
          </w:p>
        </w:tc>
      </w:tr>
      <w:tr w14:paraId="29EBA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B">
            <w:pPr>
              <w:rPr>
                <w:rFonts w:hint="default" w:ascii="Times New Roman" w:hAnsi="Times New Roman" w:cs="Times New Roman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Digital booking systems</w:t>
            </w:r>
          </w:p>
        </w:tc>
        <w:tc>
          <w:tcPr>
            <w:tcW w:w="468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C">
            <w:pPr>
              <w:rPr>
                <w:rFonts w:hint="default" w:ascii="Times New Roman" w:hAnsi="Times New Roman" w:cs="Times New Roman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3,571 (8.5%) = MediOrb becomes the system</w:t>
            </w:r>
          </w:p>
        </w:tc>
      </w:tr>
    </w:tbl>
    <w:p w14:paraId="0000003D">
      <w:pPr>
        <w:spacing w:before="200" w:after="20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Strategic Insights: </w:t>
      </w:r>
    </w:p>
    <w:p w14:paraId="0000003E">
      <w:pPr>
        <w:spacing w:before="200" w:after="20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(1) Market exists at scale. </w:t>
      </w:r>
    </w:p>
    <w:p w14:paraId="0000003F">
      <w:pPr>
        <w:spacing w:before="200" w:after="20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(2) Unmet demand is 31–65% of total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telemedicine is essential, not optional. </w:t>
      </w:r>
    </w:p>
    <w:p w14:paraId="00000040">
      <w:pPr>
        <w:spacing w:before="200" w:after="20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(3) MVP must solve primary care (35,903 clinics), not tertiary hospitals. </w:t>
      </w:r>
    </w:p>
    <w:p w14:paraId="00000041">
      <w:pPr>
        <w:spacing w:before="200" w:after="20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(4) 91.5% of facilities lack digital booking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MediOrb is not an add-on; it is the system.</w:t>
      </w:r>
    </w:p>
    <w:p w14:paraId="21A95B18">
      <w:pPr>
        <w:spacing w:before="200" w:after="20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0000042">
      <w:pPr>
        <w:pStyle w:val="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3.2 Geographic Opportunity Map</w:t>
      </w:r>
    </w:p>
    <w:p w14:paraId="469A0A23">
      <w:pPr>
        <w:spacing w:after="200" w:line="36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Facility density varies significantly by state: Lagos (15.08 per 100k, 2,372 facilities, 1,912 private), Katsina (20.35 per 100k, 1,997 facilities, 85% public), Kano (9.53 per 100k, high public network). This variance informs pilot strategy: Lagos for proof-of-concept (private sector, app-ready users), Kano/Katsina for scale (public networks, government partnerships).</w:t>
      </w:r>
    </w:p>
    <w:p w14:paraId="00000044">
      <w:pPr>
        <w:pStyle w:val="2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SECTION 4: STRATEGIC ROADMAP</w:t>
      </w:r>
    </w:p>
    <w:p w14:paraId="454532BE">
      <w:pPr>
        <w:spacing w:after="200"/>
        <w:jc w:val="both"/>
        <w:rPr>
          <w:rFonts w:hint="default" w:ascii="Times New Roman" w:hAnsi="Times New Roman" w:cs="Times New Roman"/>
          <w:i w:val="0"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i w:val="0"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Note: </w:t>
      </w:r>
      <w:r>
        <w:rPr>
          <w:rFonts w:hint="default" w:ascii="Times New Roman" w:hAnsi="Times New Roman" w:cs="Times New Roman"/>
          <w:i w:val="0"/>
          <w:i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Roll out</w:t>
      </w:r>
      <w:r>
        <w:rPr>
          <w:rFonts w:hint="default" w:ascii="Times New Roman" w:hAnsi="Times New Roman" w:cs="Times New Roman"/>
          <w:i w:val="0"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targets, timelines, and volume projections in this section reflect AI-assisted modeling used to fill data gaps under the buildathon timeline. These are projections to guide planning, not measured or achieved results.</w:t>
      </w:r>
    </w:p>
    <w:p w14:paraId="00000045">
      <w:pPr>
        <w:pStyle w:val="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4.1 MVP Feature Set </w:t>
      </w:r>
    </w:p>
    <w:p w14:paraId="00000046">
      <w:pPr>
        <w:spacing w:after="100" w:line="36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Priority 0 (Launch-blocking):</w:t>
      </w:r>
    </w:p>
    <w:p w14:paraId="00000047">
      <w:pPr>
        <w:spacing w:line="30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• Appointment Booking: Simple, for clinics with minimal IT infrastructure
• USSD Access: Rural populations, low internet
• Clinic Integration: Phone/SMS-based confirmation (no complex APIs)
• Rescheduling: Reduce no-shows, high-impact for overburdened clinics
• App Stability: Zero tolerance for crashes (competitor failure #1)</w:t>
      </w:r>
    </w:p>
    <w:p w14:paraId="00000048">
      <w:pPr>
        <w:spacing w:before="200" w:after="10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Priority 1 (Weeks 9–14):</w:t>
      </w:r>
    </w:p>
    <w:p w14:paraId="00000049">
      <w:pPr>
        <w:spacing w:after="200" w:line="30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• Telemedicine Consultation: Close 31–65% unmet demand gap
• Insurance Integration: Competitor failure; major differentiator
• Push Notifications &amp; SMS Reminders: Reduce no-shows</w:t>
      </w:r>
    </w:p>
    <w:p w14:paraId="0000004A">
      <w:pPr>
        <w:pStyle w:val="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4.2 Pilot &amp; Expansion Timeline</w:t>
      </w:r>
    </w:p>
    <w:p w14:paraId="0000004B">
      <w:pPr>
        <w:spacing w:after="10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Phase 1 : Lagos Pilot
• 2,372 facilities, 1,912 private, smartphone-ready users
• Validate app + private hospital workflow
• Target: 20–30 hospitals onboarded</w:t>
      </w:r>
    </w:p>
    <w:p w14:paraId="0000004C">
      <w:pPr>
        <w:spacing w:after="10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Phase 2 : Public Network Expansion
• Kano, Katsina, Kaduna: 4,840 combined facilities
• Prove government contract model
• Target: State health ministry partnership
Phase 3 : Rural USSD Strategy
• Underserved states: Expand via USSD-first
• Telemedicine becomes essential
• Target: 500+ facilities across 10 states</w:t>
      </w:r>
    </w:p>
    <w:p w14:paraId="0000004D">
      <w:pPr>
        <w:spacing w:before="200" w:after="40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Conclusion: Market demand is validated (84% adoption intent). Supply-side is proven (42,063 facilities, 95% operational). Competitor failures are documented and addressable. MediOrb's path to scale is clear. The primary risk is execution, not market.</w:t>
      </w:r>
    </w:p>
    <w:sectPr>
      <w:pgSz w:w="12240" w:h="15840"/>
      <w:pgMar w:top="1440" w:right="1440" w:bottom="1440" w:left="1440" w:header="708" w:footer="708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5C72B9F"/>
    <w:rsid w:val="56F06492"/>
    <w:rsid w:val="58587D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nhideWhenUsed="0" w:uiPriority="99" w:semiHidden="0" w:name="heading 4"/>
    <w:lsdException w:qFormat="1" w:unhideWhenUsed="0" w:uiPriority="99" w:semiHidden="0" w:name="heading 5"/>
    <w:lsdException w:qFormat="1" w:unhideWhenUsed="0" w:uiPriority="9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99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99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99"/>
    <w:pPr>
      <w:spacing w:before="240" w:after="120"/>
    </w:pPr>
    <w:rPr>
      <w:rFonts w:ascii="Arial" w:hAnsi="Arial" w:eastAsia="Arial" w:cs="Arial"/>
      <w:b/>
      <w:bCs/>
      <w:color w:val="2E75B6"/>
      <w:sz w:val="32"/>
      <w:szCs w:val="32"/>
    </w:rPr>
  </w:style>
  <w:style w:type="paragraph" w:styleId="3">
    <w:name w:val="heading 2"/>
    <w:basedOn w:val="1"/>
    <w:next w:val="1"/>
    <w:qFormat/>
    <w:uiPriority w:val="99"/>
    <w:pPr>
      <w:spacing w:before="180" w:after="100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basedOn w:val="1"/>
    <w:next w:val="1"/>
    <w:qFormat/>
    <w:uiPriority w:val="99"/>
    <w:pPr>
      <w:spacing w:before="120" w:after="80"/>
    </w:pPr>
    <w:rPr>
      <w:rFonts w:ascii="Arial" w:hAnsi="Arial" w:eastAsia="Arial" w:cs="Arial"/>
      <w:b/>
      <w:bCs/>
      <w:sz w:val="22"/>
      <w:szCs w:val="22"/>
    </w:rPr>
  </w:style>
  <w:style w:type="paragraph" w:styleId="5">
    <w:name w:val="heading 4"/>
    <w:basedOn w:val="1"/>
    <w:next w:val="1"/>
    <w:qFormat/>
    <w:uiPriority w:val="99"/>
    <w:rPr>
      <w:i/>
      <w:iCs/>
      <w:color w:val="2E74B5"/>
    </w:rPr>
  </w:style>
  <w:style w:type="paragraph" w:styleId="6">
    <w:name w:val="heading 5"/>
    <w:basedOn w:val="1"/>
    <w:next w:val="1"/>
    <w:qFormat/>
    <w:uiPriority w:val="99"/>
    <w:rPr>
      <w:color w:val="2E74B5"/>
    </w:rPr>
  </w:style>
  <w:style w:type="paragraph" w:styleId="7">
    <w:name w:val="heading 6"/>
    <w:basedOn w:val="1"/>
    <w:next w:val="1"/>
    <w:qFormat/>
    <w:uiPriority w:val="99"/>
    <w:rPr>
      <w:color w:val="1F4D78"/>
    </w:rPr>
  </w:style>
  <w:style w:type="paragraph" w:styleId="8">
    <w:name w:val="heading 7"/>
    <w:basedOn w:val="1"/>
    <w:next w:val="1"/>
    <w:link w:val="33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34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9"/>
    <w:basedOn w:val="1"/>
    <w:next w:val="1"/>
    <w:link w:val="35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character" w:styleId="14">
    <w:name w:val="Emphasis"/>
    <w:basedOn w:val="11"/>
    <w:qFormat/>
    <w:uiPriority w:val="20"/>
    <w:rPr>
      <w:i/>
      <w:iCs/>
    </w:rPr>
  </w:style>
  <w:style w:type="character" w:styleId="15">
    <w:name w:val="endnote reference"/>
    <w:basedOn w:val="11"/>
    <w:semiHidden/>
    <w:unhideWhenUsed/>
    <w:qFormat/>
    <w:uiPriority w:val="99"/>
    <w:rPr>
      <w:vertAlign w:val="superscript"/>
    </w:rPr>
  </w:style>
  <w:style w:type="paragraph" w:styleId="16">
    <w:name w:val="endnote text"/>
    <w:basedOn w:val="1"/>
    <w:link w:val="52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7">
    <w:name w:val="FollowedHyperlink"/>
    <w:basedOn w:val="11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18">
    <w:name w:val="footer"/>
    <w:basedOn w:val="1"/>
    <w:link w:val="49"/>
    <w:unhideWhenUsed/>
    <w:qFormat/>
    <w:uiPriority w:val="99"/>
    <w:pPr>
      <w:spacing w:after="0" w:line="240" w:lineRule="auto"/>
    </w:pPr>
  </w:style>
  <w:style w:type="character" w:styleId="19">
    <w:name w:val="footnote reference"/>
    <w:basedOn w:val="11"/>
    <w:semiHidden/>
    <w:unhideWhenUsed/>
    <w:qFormat/>
    <w:uiPriority w:val="99"/>
    <w:rPr>
      <w:vertAlign w:val="superscript"/>
    </w:rPr>
  </w:style>
  <w:style w:type="paragraph" w:styleId="20">
    <w:name w:val="footnote text"/>
    <w:basedOn w:val="1"/>
    <w:link w:val="51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21">
    <w:name w:val="header"/>
    <w:basedOn w:val="1"/>
    <w:link w:val="48"/>
    <w:unhideWhenUsed/>
    <w:qFormat/>
    <w:uiPriority w:val="99"/>
    <w:pPr>
      <w:spacing w:after="0" w:line="240" w:lineRule="auto"/>
    </w:pPr>
  </w:style>
  <w:style w:type="character" w:styleId="22">
    <w:name w:val="Hyperlink"/>
    <w:basedOn w:val="11"/>
    <w:unhideWhenUsed/>
    <w:qFormat/>
    <w:uiPriority w:val="99"/>
    <w:rPr>
      <w:color w:val="0563C1"/>
      <w:u w:val="single"/>
    </w:rPr>
  </w:style>
  <w:style w:type="paragraph" w:styleId="23">
    <w:name w:val="Plain Text"/>
    <w:basedOn w:val="1"/>
    <w:link w:val="47"/>
    <w:semiHidden/>
    <w:unhideWhenUsed/>
    <w:qFormat/>
    <w:uiPriority w:val="99"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paragraph" w:styleId="24">
    <w:name w:val="Subtitle"/>
    <w:basedOn w:val="1"/>
    <w:next w:val="1"/>
    <w:link w:val="37"/>
    <w:qFormat/>
    <w:uiPriority w:val="11"/>
    <w:rPr>
      <w:rFonts w:asciiTheme="majorHAnsi" w:hAnsiTheme="majorHAnsi" w:eastAsiaTheme="majorEastAsia" w:cstheme="majorBidi"/>
      <w:i/>
      <w:iCs/>
      <w:color w:val="4472C4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5">
    <w:name w:val="Title"/>
    <w:basedOn w:val="1"/>
    <w:next w:val="1"/>
    <w:qFormat/>
    <w:uiPriority w:val="99"/>
    <w:rPr>
      <w:sz w:val="56"/>
      <w:szCs w:val="56"/>
    </w:rPr>
  </w:style>
  <w:style w:type="paragraph" w:styleId="26">
    <w:name w:val="No Spacing"/>
    <w:qFormat/>
    <w:uiPriority w:val="1"/>
    <w:pPr>
      <w:spacing w:after="0" w:line="240" w:lineRule="auto"/>
    </w:pPr>
    <w:rPr>
      <w:rFonts w:ascii="Arial" w:hAnsi="Arial" w:eastAsia="Arial" w:cs="Arial"/>
      <w:sz w:val="22"/>
      <w:szCs w:val="22"/>
    </w:rPr>
  </w:style>
  <w:style w:type="character" w:customStyle="1" w:styleId="27">
    <w:name w:val="Heading 1 Char"/>
    <w:basedOn w:val="11"/>
    <w:uiPriority w:val="9"/>
    <w:rPr>
      <w:rFonts w:asciiTheme="majorHAnsi" w:hAnsiTheme="majorHAnsi" w:eastAsiaTheme="majorEastAsia" w:cstheme="majorBidi"/>
      <w:b/>
      <w:bCs/>
      <w:color w:val="2F5597" w:themeColor="accent1" w:themeShade="BF"/>
      <w:sz w:val="28"/>
      <w:szCs w:val="28"/>
    </w:rPr>
  </w:style>
  <w:style w:type="character" w:customStyle="1" w:styleId="28">
    <w:name w:val="Heading 2 Char"/>
    <w:basedOn w:val="11"/>
    <w:qFormat/>
    <w:uiPriority w:val="9"/>
    <w:rPr>
      <w:rFonts w:asciiTheme="majorHAnsi" w:hAnsiTheme="majorHAnsi" w:eastAsiaTheme="majorEastAsia" w:cstheme="majorBidi"/>
      <w:b/>
      <w:bCs/>
      <w:color w:val="4472C4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29">
    <w:name w:val="Heading 3 Char"/>
    <w:basedOn w:val="11"/>
    <w:qFormat/>
    <w:uiPriority w:val="9"/>
    <w:rPr>
      <w:rFonts w:asciiTheme="majorHAnsi" w:hAnsiTheme="majorHAnsi" w:eastAsiaTheme="majorEastAsia" w:cstheme="majorBidi"/>
      <w:b/>
      <w:b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30">
    <w:name w:val="Heading 4 Char"/>
    <w:basedOn w:val="11"/>
    <w:uiPriority w:val="9"/>
    <w:rPr>
      <w:rFonts w:asciiTheme="majorHAnsi" w:hAnsiTheme="majorHAnsi" w:eastAsiaTheme="majorEastAsia" w:cstheme="majorBidi"/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31">
    <w:name w:val="Heading 5 Char"/>
    <w:basedOn w:val="11"/>
    <w:qFormat/>
    <w:uiPriority w:val="9"/>
    <w:rPr>
      <w:rFonts w:asciiTheme="majorHAnsi" w:hAnsiTheme="majorHAnsi" w:eastAsiaTheme="majorEastAsia" w:cstheme="majorBidi"/>
      <w:color w:val="203864" w:themeColor="accent1" w:themeShade="80"/>
    </w:rPr>
  </w:style>
  <w:style w:type="character" w:customStyle="1" w:styleId="32">
    <w:name w:val="Heading 6 Char"/>
    <w:basedOn w:val="11"/>
    <w:uiPriority w:val="9"/>
    <w:rPr>
      <w:rFonts w:asciiTheme="majorHAnsi" w:hAnsiTheme="majorHAnsi" w:eastAsiaTheme="majorEastAsia" w:cstheme="majorBidi"/>
      <w:i/>
      <w:iCs/>
      <w:color w:val="203864" w:themeColor="accent1" w:themeShade="80"/>
    </w:rPr>
  </w:style>
  <w:style w:type="character" w:customStyle="1" w:styleId="33">
    <w:name w:val="Heading 7 Char"/>
    <w:basedOn w:val="11"/>
    <w:link w:val="8"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Heading 8 Char"/>
    <w:basedOn w:val="11"/>
    <w:link w:val="9"/>
    <w:qFormat/>
    <w:uiPriority w:val="9"/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5">
    <w:name w:val="Heading 9 Char"/>
    <w:basedOn w:val="11"/>
    <w:link w:val="10"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6">
    <w:name w:val="Title Char"/>
    <w:basedOn w:val="11"/>
    <w:qFormat/>
    <w:uiPriority w:val="10"/>
    <w:rPr>
      <w:rFonts w:asciiTheme="majorHAnsi" w:hAnsiTheme="majorHAnsi" w:eastAsiaTheme="majorEastAsia" w:cstheme="majorBidi"/>
      <w:color w:val="333F50" w:themeColor="text2" w:themeShade="BF"/>
      <w:spacing w:val="5"/>
      <w:sz w:val="52"/>
      <w:szCs w:val="52"/>
    </w:rPr>
  </w:style>
  <w:style w:type="character" w:customStyle="1" w:styleId="37">
    <w:name w:val="Subtitle Char"/>
    <w:basedOn w:val="11"/>
    <w:link w:val="24"/>
    <w:qFormat/>
    <w:uiPriority w:val="11"/>
    <w:rPr>
      <w:rFonts w:asciiTheme="majorHAnsi" w:hAnsiTheme="majorHAnsi" w:eastAsiaTheme="majorEastAsia" w:cstheme="majorBidi"/>
      <w:i/>
      <w:iCs/>
      <w:color w:val="4472C4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3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39">
    <w:name w:val="Intense Emphasis"/>
    <w:basedOn w:val="11"/>
    <w:qFormat/>
    <w:uiPriority w:val="21"/>
    <w:rPr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paragraph" w:styleId="40">
    <w:name w:val="Quote"/>
    <w:basedOn w:val="1"/>
    <w:next w:val="1"/>
    <w:link w:val="4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41">
    <w:name w:val="Quote Char"/>
    <w:basedOn w:val="11"/>
    <w:link w:val="4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42">
    <w:name w:val="Intense Quote"/>
    <w:basedOn w:val="1"/>
    <w:next w:val="1"/>
    <w:link w:val="43"/>
    <w:qFormat/>
    <w:uiPriority w:val="30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43">
    <w:name w:val="Intense Quote Char"/>
    <w:basedOn w:val="11"/>
    <w:link w:val="42"/>
    <w:qFormat/>
    <w:uiPriority w:val="30"/>
    <w:rPr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44">
    <w:name w:val="Subtle Reference"/>
    <w:basedOn w:val="11"/>
    <w:qFormat/>
    <w:uiPriority w:val="31"/>
    <w:rPr>
      <w:smallCaps/>
      <w:color w:val="ED7D31" w:themeColor="accent2"/>
      <w:u w:val="single"/>
      <w14:textFill>
        <w14:solidFill>
          <w14:schemeClr w14:val="accent2"/>
        </w14:solidFill>
      </w14:textFill>
    </w:rPr>
  </w:style>
  <w:style w:type="character" w:customStyle="1" w:styleId="45">
    <w:name w:val="Intense Reference"/>
    <w:basedOn w:val="11"/>
    <w:qFormat/>
    <w:uiPriority w:val="32"/>
    <w:rPr>
      <w:b/>
      <w:bCs/>
      <w:smallCaps/>
      <w:color w:val="ED7D31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46">
    <w:name w:val="Book Title"/>
    <w:basedOn w:val="11"/>
    <w:qFormat/>
    <w:uiPriority w:val="33"/>
    <w:rPr>
      <w:b/>
      <w:bCs/>
      <w:smallCaps/>
      <w:spacing w:val="5"/>
    </w:rPr>
  </w:style>
  <w:style w:type="character" w:customStyle="1" w:styleId="47">
    <w:name w:val="Plain Text Char"/>
    <w:basedOn w:val="11"/>
    <w:link w:val="23"/>
    <w:qFormat/>
    <w:uiPriority w:val="99"/>
    <w:rPr>
      <w:rFonts w:ascii="Courier New" w:hAnsi="Courier New" w:cs="Courier New"/>
      <w:sz w:val="21"/>
      <w:szCs w:val="21"/>
    </w:rPr>
  </w:style>
  <w:style w:type="character" w:customStyle="1" w:styleId="48">
    <w:name w:val="Header Char"/>
    <w:basedOn w:val="11"/>
    <w:link w:val="21"/>
    <w:qFormat/>
    <w:uiPriority w:val="99"/>
  </w:style>
  <w:style w:type="character" w:customStyle="1" w:styleId="49">
    <w:name w:val="Footer Char"/>
    <w:basedOn w:val="11"/>
    <w:link w:val="18"/>
    <w:qFormat/>
    <w:uiPriority w:val="99"/>
  </w:style>
  <w:style w:type="paragraph" w:styleId="50">
    <w:name w:val="List Paragraph"/>
    <w:basedOn w:val="1"/>
    <w:qFormat/>
    <w:uiPriority w:val="99"/>
  </w:style>
  <w:style w:type="character" w:customStyle="1" w:styleId="51">
    <w:name w:val="Footnote Text Char"/>
    <w:basedOn w:val="11"/>
    <w:link w:val="20"/>
    <w:semiHidden/>
    <w:unhideWhenUsed/>
    <w:qFormat/>
    <w:uiPriority w:val="99"/>
    <w:rPr>
      <w:sz w:val="20"/>
      <w:szCs w:val="20"/>
    </w:rPr>
  </w:style>
  <w:style w:type="character" w:customStyle="1" w:styleId="52">
    <w:name w:val="Endnote Text Char"/>
    <w:basedOn w:val="11"/>
    <w:link w:val="16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985</Words>
  <Characters>6453</Characters>
  <TotalTime>26</TotalTime>
  <ScaleCrop>false</ScaleCrop>
  <LinksUpToDate>false</LinksUpToDate>
  <CharactersWithSpaces>7370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2026-08-28T20:01:00Z</dcterms:created>
  <dc:creator>Un-named</dc:creator>
  <cp:lastModifiedBy>WPS_1718793369</cp:lastModifiedBy>
  <dcterms:modified xsi:type="dcterms:W3CDTF">2026-08-29T18:42:47Z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eyJoZGlkIjoiZjJlZGQ2ZjgzOGQ1ZmYwNjYzMTU2MzVhNjNhNjBhYzAiLCJ1c2VySWQiOiIzNzI4NTc5NjMzMjcwIn0=</vt:lpwstr>
  </property>
  <property fmtid="{D5CDD505-2E9C-101B-9397-08002B2CF9AE}" pid="3" name="KSOProductBuildVer">
    <vt:lpwstr>1033-12.1.0.28032</vt:lpwstr>
  </property>
  <property fmtid="{D5CDD505-2E9C-101B-9397-08002B2CF9AE}" pid="4" name="ICV">
    <vt:lpwstr>66E6F064E7B948D0B65DDFA2C1CB22F3_13</vt:lpwstr>
  </property>
</Properties>
</file>