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</w:pPr>
      <w:r>
        <w:t xml:space="preserve">Product Vision</w:t>
      </w:r>
    </w:p>
    <w:p>
      <w:pPr>
        <w:pStyle w:val="Subtitle"/>
      </w:pPr>
      <w:r>
        <w:t xml:space="preserve">Problema, usuarios y propuesta de valor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3182"/>
        <w:gridCol w:w="2433"/>
        <w:gridCol w:w="1123"/>
        <w:gridCol w:w="2620"/>
      </w:tblGrid>
      <w:tr>
        <w:trPr>
          <w:tblHeader/>
        </w:trPr>
        <w:tc>
          <w:tcPr>
            <w:tcW w:w="3182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Proyecto</w:t>
            </w:r>
          </w:p>
        </w:tc>
        <w:tc>
          <w:tcPr>
            <w:tcW w:w="2433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Asignatura</w:t>
            </w:r>
          </w:p>
        </w:tc>
        <w:tc>
          <w:tcPr>
            <w:tcW w:w="1123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Versión</w:t>
            </w:r>
          </w:p>
        </w:tc>
        <w:tc>
          <w:tcPr>
            <w:tcW w:w="2620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Fecha</w:t>
            </w:r>
          </w:p>
        </w:tc>
      </w:tr>
      <w:tr>
        <w:trPr>
          <w:cantSplit/>
        </w:trPr>
        <w:tc>
          <w:tcPr>
            <w:tcW w:w="318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FUT.AI — análisis de partidos con IA</w:t>
            </w:r>
          </w:p>
        </w:tc>
        <w:tc>
          <w:tcPr>
            <w:tcW w:w="2433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Proyecto APT · Duoc UC</w:t>
            </w:r>
          </w:p>
        </w:tc>
        <w:tc>
          <w:tcPr>
            <w:tcW w:w="1123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1.0</w:t>
            </w:r>
          </w:p>
        </w:tc>
        <w:tc>
          <w:tcPr>
            <w:tcW w:w="262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18 de octubre de 2026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1. Declaración de visión</w:t>
      </w:r>
    </w:p>
    <w:p>
      <w:r>
        <w:rPr>
          <w:b/>
        </w:rPr>
        <w:t xml:space="preserve">Para</w:t>
      </w:r>
      <w:r>
        <w:t xml:space="preserve"> cuerpos técnicos de clubes formativos y de segunda división </w:t>
      </w:r>
      <w:r>
        <w:rPr>
          <w:b/>
        </w:rPr>
        <w:t xml:space="preserve">que</w:t>
      </w:r>
      <w:r>
        <w:t xml:space="preserve"> toman decisiones tácticas y físicas sin datos objetivos, </w:t>
      </w:r>
      <w:r>
        <w:rPr>
          <w:b/>
        </w:rPr>
        <w:t xml:space="preserve">FUT.AI</w:t>
      </w:r>
      <w:r>
        <w:t xml:space="preserve"> es una plataforma SaaS de análisis de partidos con inteligencia artificial </w:t>
      </w:r>
      <w:r>
        <w:rPr>
          <w:b/>
        </w:rPr>
        <w:t xml:space="preserve">que</w:t>
      </w:r>
      <w:r>
        <w:t xml:space="preserve"> convierte el video MP4 que el club ya graba en métricas por jugador. </w:t>
      </w:r>
      <w:r>
        <w:rPr>
          <w:b/>
        </w:rPr>
        <w:t xml:space="preserve">A diferencia de</w:t>
      </w:r>
      <w:r>
        <w:t xml:space="preserve"> los sistemas de tracking con cámaras propietarias o GPS, </w:t>
      </w:r>
      <w:r>
        <w:rPr>
          <w:b/>
        </w:rPr>
        <w:t xml:space="preserve">FUT.AI</w:t>
      </w:r>
      <w:r>
        <w:t xml:space="preserve"> no requiere hardware especial: solo el video.</w:t>
      </w:r>
    </w:p>
    <w:p>
      <w:pPr>
        <w:pStyle w:val="Heading1"/>
      </w:pPr>
      <w:r>
        <w:t xml:space="preserve">2. Problema</w:t>
      </w:r>
    </w:p>
    <w:p>
      <w:pPr>
        <w:pStyle w:val="ListParagraph"/>
        <w:numPr>
          <w:ilvl w:val="0"/>
          <w:numId w:val="1"/>
        </w:numPr>
      </w:pPr>
      <w:r>
        <w:t xml:space="preserve">Los cuerpos técnicos evalúan el rendimiento con observación subjetiva y revisión manual del video, jugada por jugada.</w:t>
      </w:r>
    </w:p>
    <w:p>
      <w:pPr>
        <w:pStyle w:val="ListParagraph"/>
        <w:numPr>
          <w:ilvl w:val="0"/>
          <w:numId w:val="1"/>
        </w:numPr>
      </w:pPr>
      <w:r>
        <w:t xml:space="preserve">Medir distancia, velocidad o pases exige sensores GPS o cámaras propietarias con costos superiores a USD 10.000, inaccesibles para academias y clubes de segunda división.</w:t>
      </w:r>
    </w:p>
    <w:p>
      <w:pPr>
        <w:pStyle w:val="ListParagraph"/>
        <w:numPr>
          <w:ilvl w:val="0"/>
          <w:numId w:val="1"/>
        </w:numPr>
      </w:pPr>
      <w:r>
        <w:t xml:space="preserve">Según la investigación del equipo, solo cerca del 2 % de los clubes usa tracking avanzado; el resto opera «a ciegas».</w:t>
      </w:r>
    </w:p>
    <w:p>
      <w:pPr>
        <w:pStyle w:val="Heading1"/>
      </w:pPr>
      <w:r>
        <w:t xml:space="preserve">3. Usuarios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2059"/>
        <w:gridCol w:w="3556"/>
        <w:gridCol w:w="3744"/>
      </w:tblGrid>
      <w:tr>
        <w:trPr>
          <w:tblHeader/>
        </w:trPr>
        <w:tc>
          <w:tcPr>
            <w:tcW w:w="2059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Usuario</w:t>
            </w:r>
          </w:p>
        </w:tc>
        <w:tc>
          <w:tcPr>
            <w:tcW w:w="3556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Necesidad principal</w:t>
            </w:r>
          </w:p>
        </w:tc>
        <w:tc>
          <w:tcPr>
            <w:tcW w:w="3744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Cómo lo usa</w:t>
            </w:r>
          </w:p>
        </w:tc>
      </w:tr>
      <w:tr>
        <w:trPr>
          <w:cantSplit/>
        </w:trPr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Director técnico</w:t>
            </w:r>
          </w:p>
        </w:tc>
        <w:tc>
          <w:tcPr>
            <w:tcW w:w="355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Saber si el equipo respeta el esquema táctico</w:t>
            </w:r>
          </w:p>
        </w:tc>
        <w:tc>
          <w:tcPr>
            <w:tcW w:w="374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Mapa de sombra (Fantasma Táctico) por jugador y por línea</w:t>
            </w:r>
          </w:p>
        </w:tc>
      </w:tr>
      <w:tr>
        <w:trPr>
          <w:cantSplit/>
        </w:trPr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Analista de video</w:t>
            </w:r>
          </w:p>
        </w:tc>
        <w:tc>
          <w:tcPr>
            <w:tcW w:w="355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Dejar de contar acciones a mano</w:t>
            </w:r>
          </w:p>
        </w:tc>
        <w:tc>
          <w:tcPr>
            <w:tcW w:w="374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Pases, tiempo de decisión y tiempo de reacción automáticos</w:t>
            </w:r>
          </w:p>
        </w:tc>
      </w:tr>
      <w:tr>
        <w:trPr>
          <w:cantSplit/>
        </w:trPr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Preparador físico</w:t>
            </w:r>
          </w:p>
        </w:tc>
        <w:tc>
          <w:tcPr>
            <w:tcW w:w="355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Controlar la carga de cada jugador</w:t>
            </w:r>
          </w:p>
        </w:tc>
        <w:tc>
          <w:tcPr>
            <w:tcW w:w="374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Velocidad máxima, media y distancia recorrida</w:t>
            </w:r>
          </w:p>
        </w:tc>
      </w:tr>
      <w:tr>
        <w:trPr>
          <w:cantSplit/>
        </w:trPr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Administrador del club</w:t>
            </w:r>
          </w:p>
        </w:tc>
        <w:tc>
          <w:tcPr>
            <w:tcW w:w="355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Mantener el plantel y los partidos</w:t>
            </w:r>
          </w:p>
        </w:tc>
        <w:tc>
          <w:tcPr>
            <w:tcW w:w="374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Gestión de jugadores y etiquetado de miniaturas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4. Propuesta de valor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Sin hardware:</w:t>
      </w:r>
      <w:r>
        <w:t xml:space="preserve"> funciona con un MP4 de trípode, celular o transmisión.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Cinco métricas por jugador:</w:t>
      </w:r>
      <w:r>
        <w:t xml:space="preserve"> tiempo de reacción, velocidad, pases, tiempo de decisión y mapa de sombra.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Automático:</w:t>
      </w:r>
      <w:r>
        <w:t xml:space="preserve"> el club sube el video y recibe las métricas; todo el procesamiento ocurre en Google Cloud.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Accesible:</w:t>
      </w:r>
      <w:r>
        <w:t xml:space="preserve"> pago por uso en la nube, sin servidores encendidos cuando no hay partidos.</w:t>
      </w:r>
    </w:p>
    <w:p>
      <w:pPr>
        <w:pStyle w:val="Heading1"/>
      </w:pPr>
      <w:r>
        <w:t xml:space="preserve">5. Objetivos del producto y métricas de éxito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3182"/>
        <w:gridCol w:w="3369"/>
        <w:gridCol w:w="2808"/>
      </w:tblGrid>
      <w:tr>
        <w:trPr>
          <w:tblHeader/>
        </w:trPr>
        <w:tc>
          <w:tcPr>
            <w:tcW w:w="3182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Objetivo</w:t>
            </w:r>
          </w:p>
        </w:tc>
        <w:tc>
          <w:tcPr>
            <w:tcW w:w="3369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Indicador</w:t>
            </w:r>
          </w:p>
        </w:tc>
        <w:tc>
          <w:tcPr>
            <w:tcW w:w="2808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Estado a oct. 2026</w:t>
            </w:r>
          </w:p>
        </w:tc>
      </w:tr>
      <w:tr>
        <w:trPr>
          <w:cantSplit/>
        </w:trPr>
        <w:tc>
          <w:tcPr>
            <w:tcW w:w="318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Calibrar la cancha con cámara móvil</w:t>
            </w:r>
          </w:p>
        </w:tc>
        <w:tc>
          <w:tcPr>
            <w:tcW w:w="336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Métricas en metros con valores físicamente posibles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Logrado: velocidad máx. mediana 23 km/h</w:t>
            </w:r>
          </w:p>
        </w:tc>
      </w:tr>
      <w:tr>
        <w:trPr>
          <w:cantSplit/>
        </w:trPr>
        <w:tc>
          <w:tcPr>
            <w:tcW w:w="318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Identidad estable por jugador</w:t>
            </w:r>
          </w:p>
        </w:tc>
        <w:tc>
          <w:tcPr>
            <w:tcW w:w="336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Fragmentos de seguimiento por jugador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Logrado: de 30 a 6</w:t>
            </w:r>
          </w:p>
        </w:tc>
      </w:tr>
      <w:tr>
        <w:trPr>
          <w:cantSplit/>
        </w:trPr>
        <w:tc>
          <w:tcPr>
            <w:tcW w:w="318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Pose de todos los jugadores</w:t>
            </w:r>
          </w:p>
        </w:tc>
        <w:tc>
          <w:tcPr>
            <w:tcW w:w="336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% de jugadores con pose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Logrado: 94 %</w:t>
            </w:r>
          </w:p>
        </w:tc>
      </w:tr>
      <w:tr>
        <w:trPr>
          <w:cantSplit/>
        </w:trPr>
        <w:tc>
          <w:tcPr>
            <w:tcW w:w="318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Detectar el balón</w:t>
            </w:r>
          </w:p>
        </w:tc>
        <w:tc>
          <w:tcPr>
            <w:tcW w:w="336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% de muestras con balón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En mejora: 25 % (antes 11 %)</w:t>
            </w:r>
          </w:p>
        </w:tc>
      </w:tr>
      <w:tr>
        <w:trPr>
          <w:cantSplit/>
        </w:trPr>
        <w:tc>
          <w:tcPr>
            <w:tcW w:w="318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Analizar un partido en menos de 1 hora</w:t>
            </w:r>
          </w:p>
        </w:tc>
        <w:tc>
          <w:tcPr>
            <w:tcW w:w="336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Tiempo por partido con GPU L4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Pendiente: cuota de GPU solicitada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6. Alcance del MVP</w:t>
      </w:r>
    </w:p>
    <w:p>
      <w:r>
        <w:rPr>
          <w:b/>
        </w:rPr>
        <w:t xml:space="preserve">Incluye:</w:t>
      </w:r>
      <w:r>
        <w:t xml:space="preserve"> subida de video, análisis automático en la nube, las cinco métricas por jugador, etiquetado de jugadores con miniaturas y un dashboard de consulta. </w:t>
      </w:r>
      <w:r>
        <w:rPr>
          <w:b/>
        </w:rPr>
        <w:t xml:space="preserve">No incluye (por ahora):</w:t>
      </w:r>
      <w:r>
        <w:t xml:space="preserve"> lectura de dorsales (no viable con jugadores de 31 px), análisis en vivo y la Huella de Fatiga biomecánica, que queda para una versión posterior.</w:t>
      </w:r>
    </w:p>
    <w:sectPr>
      <w:headerReference w:type="default" r:id="rIdHdr"/>
      <w:footerReference w:type="default" r:id="rIdFtr"/>
      <w:pgSz w:w="12240" w:h="15840"/>
      <w:pgMar w:top="1300" w:right="1440" w:bottom="1300" w:left="1440" w:header="600" w:footer="6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  <w:jc w:val="right"/>
    </w:pP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FUT.AI · Proyecto APT · Duoc UC — Product Vision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  <w:rPr>
      <w:color w:val="263238"/>
    </w:rPr>
  </w:style>
  <w:style w:type="paragraph" w:styleId="Title">
    <w:name w:val="Title"/>
    <w:basedOn w:val="Normal"/>
    <w:qFormat/>
    <w:pPr>
      <w:spacing w:after="60"/>
    </w:pPr>
    <w:rPr>
      <w:b/>
      <w:color w:val="14231B"/>
      <w:sz w:val="52"/>
    </w:rPr>
  </w:style>
  <w:style w:type="paragraph" w:styleId="Subtitle">
    <w:name w:val="Subtitle"/>
    <w:basedOn w:val="Normal"/>
    <w:qFormat/>
    <w:pPr>
      <w:spacing w:after="360"/>
    </w:pPr>
    <w:rPr>
      <w:color w:val="5F6E64"/>
      <w:sz w:val="26"/>
    </w:rPr>
  </w:style>
  <w:style w:type="paragraph" w:styleId="Heading1">
    <w:name w:val="heading 1"/>
    <w:basedOn w:val="Normal"/>
    <w:qFormat/>
    <w:pPr>
      <w:keepNext/>
      <w:spacing w:before="360" w:after="120"/>
      <w:outlineLvl w:val="0"/>
      <w:pBdr>
        <w:bottom w:val="single" w:sz="8" w:space="2" w:color="2F6AA3"/>
      </w:pBdr>
    </w:pPr>
    <w:rPr>
      <w:b/>
      <w:color w:val="14231B"/>
      <w:sz w:val="32"/>
    </w:rPr>
  </w:style>
  <w:style w:type="paragraph" w:styleId="Heading2">
    <w:name w:val="heading 2"/>
    <w:basedOn w:val="Normal"/>
    <w:qFormat/>
    <w:pPr>
      <w:keepNext/>
      <w:spacing w:before="240" w:after="80"/>
      <w:outlineLvl w:val="1"/>
    </w:pPr>
    <w:rPr>
      <w:b/>
      <w:color w:val="2F6AA3"/>
      <w:sz w:val="26"/>
    </w:rPr>
  </w:style>
  <w:style w:type="paragraph" w:styleId="Heading3">
    <w:name w:val="heading 3"/>
    <w:basedOn w:val="Normal"/>
    <w:qFormat/>
    <w:pPr>
      <w:keepNext/>
      <w:spacing w:before="180" w:after="60"/>
      <w:outlineLvl w:val="2"/>
    </w:pPr>
    <w:rPr>
      <w:b/>
      <w:color w:val="14231B"/>
      <w:sz w:val="23"/>
    </w:rPr>
  </w:style>
  <w:style w:type="paragraph" w:styleId="ListParagraph">
    <w:name w:val="List Paragraph"/>
    <w:basedOn w:val="Normal"/>
    <w:qFormat/>
    <w:pPr>
      <w:spacing w:after="60"/>
      <w:ind w:left="720"/>
    </w:pPr>
    <w:rPr/>
  </w:style>
  <w:style w:type="paragraph" w:styleId="Nota">
    <w:name w:val="Nota"/>
    <w:basedOn w:val="Normal"/>
    <w:qFormat/>
    <w:pPr>
      <w:pBdr>
        <w:left w:val="single" w:sz="18" w:space="8" w:color="C46A16"/>
      </w:pBdr>
      <w:shd w:val="clear" w:color="auto" w:fill="FBF3EA"/>
      <w:ind w:left="200"/>
      <w:spacing w:before="120" w:after="160"/>
    </w:pPr>
    <w:rPr>
      <w:i/>
      <w:color w:val="7A4510"/>
      <w:sz w:val="20"/>
    </w:rPr>
  </w:style>
  <w:style w:type="paragraph" w:styleId="Codigo">
    <w:name w:val="Codigo"/>
    <w:basedOn w:val="Normal"/>
    <w:qFormat/>
    <w:pPr>
      <w:spacing w:after="0" w:line="240" w:lineRule="auto"/>
      <w:shd w:val="clear" w:color="auto" w:fill="F1F4F2"/>
      <w:ind w:left="200"/>
    </w:pPr>
    <w:rPr>
      <w:rFonts w:ascii="Menlo" w:hAnsi="Menlo"/>
      <w:sz w:val="17"/>
    </w:rPr>
  </w:style>
  <w:style w:type="paragraph" w:styleId="Caption">
    <w:name w:val="caption"/>
    <w:basedOn w:val="Normal"/>
    <w:qFormat/>
    <w:pPr>
      <w:jc w:val="center"/>
      <w:spacing w:after="200"/>
    </w:pPr>
    <w:rPr>
      <w:i/>
      <w:color w:val="5F6E64"/>
      <w:sz w:val="18"/>
    </w:rPr>
  </w:style>
  <w:style w:type="paragraph" w:styleId="Header">
    <w:name w:val="header"/>
    <w:basedOn w:val="Normal"/>
    <w:qFormat/>
    <w:pPr/>
    <w:rPr>
      <w:color w:val="5F6E64"/>
      <w:sz w:val="16"/>
    </w:rPr>
  </w:style>
  <w:style w:type="paragraph" w:styleId="Footer">
    <w:name w:val="footer"/>
    <w:basedOn w:val="Normal"/>
    <w:qFormat/>
    <w:pPr/>
    <w:rPr>
      <w:color w:val="5F6E64"/>
      <w:sz w:val="16"/>
    </w:r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Num" Type="http://schemas.openxmlformats.org/officeDocument/2006/relationships/numbering" Target="numbering.xml"/>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FUT.AI — Product Vision</dc:title>
  <dc:creator>Equipo FUT.AI</dc:creator>
  <dc:language>es-CL</dc:language>
</cp:coreProperties>
</file>