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Documento de diseño</w:t>
      </w:r>
    </w:p>
    <w:p>
      <w:pPr>
        <w:pStyle w:val="Subtitle"/>
      </w:pPr>
      <w:r>
        <w:t xml:space="preserve">Arquitectura, modelo de datos, UML, requisitos no funcionales y Docker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3182"/>
        <w:gridCol w:w="2433"/>
        <w:gridCol w:w="1123"/>
        <w:gridCol w:w="2620"/>
      </w:tblGrid>
      <w:tr>
        <w:trPr>
          <w:tblHeader/>
        </w:trPr>
        <w:tc>
          <w:tcPr>
            <w:tcW w:w="3182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Proyecto</w:t>
            </w:r>
          </w:p>
        </w:tc>
        <w:tc>
          <w:tcPr>
            <w:tcW w:w="2433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Asignatura</w:t>
            </w:r>
          </w:p>
        </w:tc>
        <w:tc>
          <w:tcPr>
            <w:tcW w:w="1123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Versión</w:t>
            </w:r>
          </w:p>
        </w:tc>
        <w:tc>
          <w:tcPr>
            <w:tcW w:w="2620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Fecha</w:t>
            </w:r>
          </w:p>
        </w:tc>
      </w:tr>
      <w:tr>
        <w:trPr>
          <w:cantSplit/>
        </w:trPr>
        <w:tc>
          <w:tcPr>
            <w:tcW w:w="318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FUT.AI — análisis de partidos con IA</w:t>
            </w:r>
          </w:p>
        </w:tc>
        <w:tc>
          <w:tcPr>
            <w:tcW w:w="2433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Proyecto APT · Duoc UC</w:t>
            </w:r>
          </w:p>
        </w:tc>
        <w:tc>
          <w:tcPr>
            <w:tcW w:w="1123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1.0</w:t>
            </w:r>
          </w:p>
        </w:tc>
        <w:tc>
          <w:tcPr>
            <w:tcW w:w="262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18 de octubre de 2026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1. Resumen</w:t>
      </w:r>
    </w:p>
    <w:p>
      <w:r>
        <w:t xml:space="preserve">FUT.AI recibe el video de un partido, lo analiza en Google Cloud con modelos de visión por computador y guarda métricas por jugador en una base PostgreSQL. El análisis corre como </w:t>
      </w:r>
      <w:r>
        <w:rPr>
          <w:b/>
        </w:rPr>
        <w:t xml:space="preserve">Cloud Run Job</w:t>
      </w:r>
      <w:r>
        <w:t xml:space="preserve">: una ejecución por partido, sin servidores encendidos entre partidos. Todo está en la región </w:t>
      </w:r>
      <w:r>
        <w:rPr>
          <w:b/>
        </w:rPr>
        <w:t xml:space="preserve">us-central1 (Iowa)</w:t>
      </w:r>
      <w:r>
        <w:t xml:space="preserve">.</w:t>
      </w:r>
    </w:p>
    <w:p>
      <w:pPr>
        <w:pStyle w:val="Heading1"/>
      </w:pPr>
      <w:r>
        <w:t xml:space="preserve">2. Arquitectura</w:t>
      </w:r>
    </w:p>
    <w:p>
      <w:pPr>
        <w:pStyle w:val="Heading2"/>
      </w:pPr>
      <w:r>
        <w:t xml:space="preserve">2.1 Diagrama de arquitectura</w:t>
      </w:r>
    </w:p>
    <w:p>
      <w:pPr>
        <w:jc w:val="center"/>
      </w:pPr>
      <w:r>
        <w:drawing>
          <wp:inline distT="0" distB="0" distL="0" distR="0">
            <wp:extent cx="5852160" cy="3830504"/>
            <wp:docPr id="1" name="Imagen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3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1. Arquitectura en Google Cloud (continuo: en funcionamiento; punteado: pendiente).</w:t>
      </w:r>
    </w:p>
    <w:p>
      <w:pPr>
        <w:pStyle w:val="Heading2"/>
      </w:pPr>
      <w:r>
        <w:t xml:space="preserve">2.2 Componentes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1404"/>
        <w:gridCol w:w="2995"/>
        <w:gridCol w:w="3088"/>
        <w:gridCol w:w="1872"/>
      </w:tblGrid>
      <w:tr>
        <w:trPr>
          <w:tblHeader/>
        </w:trPr>
        <w:tc>
          <w:tcPr>
            <w:tcW w:w="1404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Componente</w:t>
            </w:r>
          </w:p>
        </w:tc>
        <w:tc>
          <w:tcPr>
            <w:tcW w:w="2995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Servicio</w:t>
            </w:r>
          </w:p>
        </w:tc>
        <w:tc>
          <w:tcPr>
            <w:tcW w:w="3088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Responsabilidad</w:t>
            </w:r>
          </w:p>
        </w:tc>
        <w:tc>
          <w:tcPr>
            <w:tcW w:w="1872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futai-worker</w:t>
            </w:r>
          </w:p>
        </w:tc>
        <w:tc>
          <w:tcPr>
            <w:tcW w:w="2995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Cloud Run Job (8 vCPU, 32 GiB; GPU L4 al aprobar cuota)</w:t>
            </w:r>
          </w:p>
        </w:tc>
        <w:tc>
          <w:tcPr>
            <w:tcW w:w="308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Analiza un partido y escribe los resultados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En funcionamiento</w:t>
            </w:r>
          </w:p>
        </w:tc>
      </w:tr>
      <w:tr>
        <w:trPr>
          <w:cantSplit/>
        </w:trPr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Videos</w:t>
            </w:r>
          </w:p>
        </w:tc>
        <w:tc>
          <w:tcPr>
            <w:tcW w:w="2995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Cloud Storage futai-capstone-2026-videos-us</w:t>
            </w:r>
          </w:p>
        </w:tc>
        <w:tc>
          <w:tcPr>
            <w:tcW w:w="308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Videos subidos y miniaturas por jugador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En funcionamiento</w:t>
            </w:r>
          </w:p>
        </w:tc>
      </w:tr>
      <w:tr>
        <w:trPr>
          <w:cantSplit/>
        </w:trPr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Modelos</w:t>
            </w:r>
          </w:p>
        </w:tc>
        <w:tc>
          <w:tcPr>
            <w:tcW w:w="2995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Cloud Storage …-models-us</w:t>
            </w:r>
          </w:p>
        </w:tc>
        <w:tc>
          <w:tcPr>
            <w:tcW w:w="308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Pesos de los 5 modelos, versionados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En funcionamiento</w:t>
            </w:r>
          </w:p>
        </w:tc>
      </w:tr>
      <w:tr>
        <w:trPr>
          <w:cantSplit/>
        </w:trPr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Datasets</w:t>
            </w:r>
          </w:p>
        </w:tc>
        <w:tc>
          <w:tcPr>
            <w:tcW w:w="2995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Cloud Storage …-datasets-us</w:t>
            </w:r>
          </w:p>
        </w:tc>
        <w:tc>
          <w:tcPr>
            <w:tcW w:w="308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Esquemas SQL y datos de entrenamiento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En funcionamiento</w:t>
            </w:r>
          </w:p>
        </w:tc>
      </w:tr>
      <w:tr>
        <w:trPr>
          <w:cantSplit/>
        </w:trPr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Base de datos</w:t>
            </w:r>
          </w:p>
        </w:tc>
        <w:tc>
          <w:tcPr>
            <w:tcW w:w="2995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Cloud SQL PostgreSQL 16 (futai-db-us)</w:t>
            </w:r>
          </w:p>
        </w:tc>
        <w:tc>
          <w:tcPr>
            <w:tcW w:w="308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Posiciones, pose, balón, métricas y pases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En funcionamiento (apagada si no se usa)</w:t>
            </w:r>
          </w:p>
        </w:tc>
      </w:tr>
      <w:tr>
        <w:trPr>
          <w:cantSplit/>
        </w:trPr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Secretos</w:t>
            </w:r>
          </w:p>
        </w:tc>
        <w:tc>
          <w:tcPr>
            <w:tcW w:w="2995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Secret Manager (db-dsn)</w:t>
            </w:r>
          </w:p>
        </w:tc>
        <w:tc>
          <w:tcPr>
            <w:tcW w:w="308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Cadena de conexión a la base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En funcionamiento</w:t>
            </w:r>
          </w:p>
        </w:tc>
      </w:tr>
      <w:tr>
        <w:trPr>
          <w:cantSplit/>
        </w:trPr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Imágenes</w:t>
            </w:r>
          </w:p>
        </w:tc>
        <w:tc>
          <w:tcPr>
            <w:tcW w:w="2995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Artifact Registry + Cloud Build</w:t>
            </w:r>
          </w:p>
        </w:tc>
        <w:tc>
          <w:tcPr>
            <w:tcW w:w="308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Construir y guardar worker:v2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En funcionamiento</w:t>
            </w:r>
          </w:p>
        </w:tc>
      </w:tr>
      <w:tr>
        <w:trPr>
          <w:cantSplit/>
        </w:trPr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futai-api</w:t>
            </w:r>
          </w:p>
        </w:tc>
        <w:tc>
          <w:tcPr>
            <w:tcW w:w="2995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Cloud Run (servicio)</w:t>
            </w:r>
          </w:p>
        </w:tc>
        <w:tc>
          <w:tcPr>
            <w:tcW w:w="308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Crear partidos, URL firmada, lanzar job, entregar métricas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Pendiente (Sprint 4)</w:t>
            </w:r>
          </w:p>
        </w:tc>
      </w:tr>
      <w:tr>
        <w:trPr>
          <w:cantSplit/>
        </w:trPr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Frontend</w:t>
            </w:r>
          </w:p>
        </w:tc>
        <w:tc>
          <w:tcPr>
            <w:tcW w:w="2995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React + Vite</w:t>
            </w:r>
          </w:p>
        </w:tc>
        <w:tc>
          <w:tcPr>
            <w:tcW w:w="308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Subida, etiquetado y dashboard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Pendiente (Sprint 4–5)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2.3 Comunicación entre servicios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1404"/>
        <w:gridCol w:w="1497"/>
        <w:gridCol w:w="2059"/>
        <w:gridCol w:w="2340"/>
        <w:gridCol w:w="2059"/>
      </w:tblGrid>
      <w:tr>
        <w:trPr>
          <w:tblHeader/>
        </w:trPr>
        <w:tc>
          <w:tcPr>
            <w:tcW w:w="1404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Origen</w:t>
            </w:r>
          </w:p>
        </w:tc>
        <w:tc>
          <w:tcPr>
            <w:tcW w:w="1497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Destino</w:t>
            </w:r>
          </w:p>
        </w:tc>
        <w:tc>
          <w:tcPr>
            <w:tcW w:w="2059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Protocolo</w:t>
            </w:r>
          </w:p>
        </w:tc>
        <w:tc>
          <w:tcPr>
            <w:tcW w:w="2340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Autenticación</w:t>
            </w:r>
          </w:p>
        </w:tc>
        <w:tc>
          <w:tcPr>
            <w:tcW w:w="2059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Qué viaja</w:t>
            </w:r>
          </w:p>
        </w:tc>
      </w:tr>
      <w:tr>
        <w:trPr>
          <w:cantSplit/>
        </w:trPr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Navegador</w:t>
            </w:r>
          </w:p>
        </w:tc>
        <w:tc>
          <w:tcPr>
            <w:tcW w:w="149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Cloud Storage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HTTPS PUT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URL firmada (V4, expira)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Video MP4</w:t>
            </w:r>
          </w:p>
        </w:tc>
      </w:tr>
      <w:tr>
        <w:trPr>
          <w:cantSplit/>
        </w:trPr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Frontend</w:t>
            </w:r>
          </w:p>
        </w:tc>
        <w:tc>
          <w:tcPr>
            <w:tcW w:w="149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futai-api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HTTPS REST/JSON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Sesión del club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Partidos, estado, métricas</w:t>
            </w:r>
          </w:p>
        </w:tc>
      </w:tr>
      <w:tr>
        <w:trPr>
          <w:cantSplit/>
        </w:trPr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futai-api</w:t>
            </w:r>
          </w:p>
        </w:tc>
        <w:tc>
          <w:tcPr>
            <w:tcW w:w="149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Cloud Run Jobs API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HTTPS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Cuenta sa-api (run.jobsExecutor)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PARTIDO_ID, VIDEO_URI, FORMACION</w:t>
            </w:r>
          </w:p>
        </w:tc>
      </w:tr>
      <w:tr>
        <w:trPr>
          <w:cantSplit/>
        </w:trPr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futai-worker</w:t>
            </w:r>
          </w:p>
        </w:tc>
        <w:tc>
          <w:tcPr>
            <w:tcW w:w="149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Cloud Storage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HTTPS (cliente google-cloud-storage)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Cuenta sa-worker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Video, modelos y miniaturas</w:t>
            </w:r>
          </w:p>
        </w:tc>
      </w:tr>
      <w:tr>
        <w:trPr>
          <w:cantSplit/>
        </w:trPr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futai-worker</w:t>
            </w:r>
          </w:p>
        </w:tc>
        <w:tc>
          <w:tcPr>
            <w:tcW w:w="149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Cloud SQL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PostgreSQL vía conector (socket Unix)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sa-worker + usuario futai_app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INSERT de resultados</w:t>
            </w:r>
          </w:p>
        </w:tc>
      </w:tr>
      <w:tr>
        <w:trPr>
          <w:cantSplit/>
        </w:trPr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Cloud Run</w:t>
            </w:r>
          </w:p>
        </w:tc>
        <w:tc>
          <w:tcPr>
            <w:tcW w:w="149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Secret Manager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Inyección de variable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secretAccessor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DB_DSN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2.4 Decisiones de arquitectura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3556"/>
        <w:gridCol w:w="5803"/>
      </w:tblGrid>
      <w:tr>
        <w:trPr>
          <w:tblHeader/>
        </w:trPr>
        <w:tc>
          <w:tcPr>
            <w:tcW w:w="3556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Decisión</w:t>
            </w:r>
          </w:p>
        </w:tc>
        <w:tc>
          <w:tcPr>
            <w:tcW w:w="5803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Motivo</w:t>
            </w:r>
          </w:p>
        </w:tc>
      </w:tr>
      <w:tr>
        <w:trPr>
          <w:cantSplit/>
        </w:trPr>
        <w:tc>
          <w:tcPr>
            <w:tcW w:w="355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Cloud Run Jobs en vez de una VM con GPU</w:t>
            </w:r>
          </w:p>
        </w:tc>
        <w:tc>
          <w:tcPr>
            <w:tcW w:w="5803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Se paga solo mientras se analiza; un partido por ejecución.</w:t>
            </w:r>
          </w:p>
        </w:tc>
      </w:tr>
      <w:tr>
        <w:trPr>
          <w:cantSplit/>
        </w:trPr>
        <w:tc>
          <w:tcPr>
            <w:tcW w:w="355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Región us-central1 (Iowa)</w:t>
            </w:r>
          </w:p>
        </w:tc>
        <w:tc>
          <w:tcPr>
            <w:tcW w:w="5803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Base de datos 29 % y almacenamiento 33 % más baratos que Santiago; tiene GPU L4.</w:t>
            </w:r>
          </w:p>
        </w:tc>
      </w:tr>
      <w:tr>
        <w:trPr>
          <w:cantSplit/>
        </w:trPr>
        <w:tc>
          <w:tcPr>
            <w:tcW w:w="355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PostgreSQL sin TimescaleDB</w:t>
            </w:r>
          </w:p>
        </w:tc>
        <w:tc>
          <w:tcPr>
            <w:tcW w:w="5803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Cloud SQL no lo ofrece; índices por (partido, track, ts) alcanzan para el volumen actual.</w:t>
            </w:r>
          </w:p>
        </w:tc>
      </w:tr>
      <w:tr>
        <w:trPr>
          <w:cantSplit/>
        </w:trPr>
        <w:tc>
          <w:tcPr>
            <w:tcW w:w="355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Muestreo a 8 cuadros por segundo</w:t>
            </w:r>
          </w:p>
        </w:tc>
        <w:tc>
          <w:tcPr>
            <w:tcW w:w="5803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Precisión de 125 ms en los tiempos con un tercio del cómputo.</w:t>
            </w:r>
          </w:p>
        </w:tc>
      </w:tr>
      <w:tr>
        <w:trPr>
          <w:cantSplit/>
        </w:trPr>
        <w:tc>
          <w:tcPr>
            <w:tcW w:w="355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Modelos de Roboflow entrenados con fútbol</w:t>
            </w:r>
          </w:p>
        </w:tc>
        <w:tc>
          <w:tcPr>
            <w:tcW w:w="5803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Calibran la cancha y detectan el balón mejor que los modelos generales.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Pipeline del worker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2059"/>
        <w:gridCol w:w="4492"/>
        <w:gridCol w:w="2808"/>
      </w:tblGrid>
      <w:tr>
        <w:trPr>
          <w:tblHeader/>
        </w:trPr>
        <w:tc>
          <w:tcPr>
            <w:tcW w:w="2059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Paso</w:t>
            </w:r>
          </w:p>
        </w:tc>
        <w:tc>
          <w:tcPr>
            <w:tcW w:w="4492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Qué hace</w:t>
            </w:r>
          </w:p>
        </w:tc>
        <w:tc>
          <w:tcPr>
            <w:tcW w:w="2808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Tecnología</w:t>
            </w:r>
          </w:p>
        </w:tc>
      </w:tr>
      <w:tr>
        <w:trPr>
          <w:cantSplit/>
        </w:trPr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1. Calibrar la cancha</w:t>
            </w:r>
          </w:p>
        </w:tc>
        <w:tc>
          <w:tcPr>
            <w:tcW w:w="449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32 puntos de la cancha → homografía a metros; suavizado y rechazo de saltos &gt; 8 m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YOLOv8-pose (Roboflow) + OpenCV RANSAC</w:t>
            </w:r>
          </w:p>
        </w:tc>
      </w:tr>
      <w:tr>
        <w:trPr>
          <w:cantSplit/>
        </w:trPr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2. Detectar y seguir</w:t>
            </w:r>
          </w:p>
        </w:tc>
        <w:tc>
          <w:tcPr>
            <w:tcW w:w="449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Jugadores y arqueros; compensa el movimiento de cámara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YOLOv8 (Roboflow) + BoT-SORT</w:t>
            </w:r>
          </w:p>
        </w:tc>
      </w:tr>
      <w:tr>
        <w:trPr>
          <w:cantSplit/>
        </w:trPr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3. Estimar la pose</w:t>
            </w:r>
          </w:p>
        </w:tc>
        <w:tc>
          <w:tcPr>
            <w:tcW w:w="449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17 puntos del cuerpo sobre un recorte ampliado (192 × 256)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YOLO11s-pose</w:t>
            </w:r>
          </w:p>
        </w:tc>
      </w:tr>
      <w:tr>
        <w:trPr>
          <w:cantSplit/>
        </w:trPr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4. Encontrar el balón</w:t>
            </w:r>
          </w:p>
        </w:tc>
        <w:tc>
          <w:tcPr>
            <w:tcW w:w="449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Detector especializado; define la posesión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YOLOv8 (Roboflow ball v2)</w:t>
            </w:r>
          </w:p>
        </w:tc>
      </w:tr>
      <w:tr>
        <w:trPr>
          <w:cantSplit/>
        </w:trPr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5. Equipos e identidades</w:t>
            </w:r>
          </w:p>
        </w:tc>
        <w:tc>
          <w:tcPr>
            <w:tcW w:w="449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KMeans de color de camiseta; une fragmentos; miniatura por jugador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scikit-learn</w:t>
            </w:r>
          </w:p>
        </w:tc>
      </w:tr>
      <w:tr>
        <w:trPr>
          <w:cantSplit/>
        </w:trPr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6. Métricas y guardado</w:t>
            </w:r>
          </w:p>
        </w:tc>
        <w:tc>
          <w:tcPr>
            <w:tcW w:w="449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Cinco métricas y pases → Cloud SQL; estado «listo»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NumPy, SciPy, psycopg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4. Modelo de datos</w:t>
      </w:r>
    </w:p>
    <w:p>
      <w:r>
        <w:t xml:space="preserve">El proyecto usa </w:t>
      </w:r>
      <w:r>
        <w:rPr>
          <w:b/>
        </w:rPr>
        <w:t xml:space="preserve">SQL</w:t>
      </w:r>
      <w:r>
        <w:t xml:space="preserve"> (Cloud SQL, PostgreSQL 16), por lo que se presenta el modelo entidad-relación clásico.</w:t>
      </w:r>
    </w:p>
    <w:p>
      <w:pPr>
        <w:jc w:val="center"/>
      </w:pPr>
      <w:r>
        <w:drawing>
          <wp:inline distT="0" distB="0" distL="0" distR="0">
            <wp:extent cx="5852160" cy="4334933"/>
            <wp:docPr id="2" name="Imagen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3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2. Modelo entidad-relación.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1872"/>
        <w:gridCol w:w="5148"/>
        <w:gridCol w:w="2340"/>
      </w:tblGrid>
      <w:tr>
        <w:trPr>
          <w:tblHeader/>
        </w:trPr>
        <w:tc>
          <w:tcPr>
            <w:tcW w:w="1872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Tabla</w:t>
            </w:r>
          </w:p>
        </w:tc>
        <w:tc>
          <w:tcPr>
            <w:tcW w:w="5148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Descripción</w:t>
            </w:r>
          </w:p>
        </w:tc>
        <w:tc>
          <w:tcPr>
            <w:tcW w:w="2340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Clave</w:t>
            </w:r>
          </w:p>
        </w:tc>
      </w:tr>
      <w:tr>
        <w:trPr>
          <w:cantSplit/>
        </w:trPr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partidos</w:t>
            </w:r>
          </w:p>
        </w:tc>
        <w:tc>
          <w:tcPr>
            <w:tcW w:w="51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Un partido subido por un club y su estado de análisis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id</w:t>
            </w:r>
          </w:p>
        </w:tc>
      </w:tr>
      <w:tr>
        <w:trPr>
          <w:cantSplit/>
        </w:trPr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posiciones</w:t>
            </w:r>
          </w:p>
        </w:tc>
        <w:tc>
          <w:tcPr>
            <w:tcW w:w="51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Posición en metros de cada jugador por instante (cancha 105 × 68 m)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índice (partido, track, ts)</w:t>
            </w:r>
          </w:p>
        </w:tc>
      </w:tr>
      <w:tr>
        <w:trPr>
          <w:cantSplit/>
        </w:trPr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balon</w:t>
            </w:r>
          </w:p>
        </w:tc>
        <w:tc>
          <w:tcPr>
            <w:tcW w:w="51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Posición del balón en metros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índice (partido, ts)</w:t>
            </w:r>
          </w:p>
        </w:tc>
      </w:tr>
      <w:tr>
        <w:trPr>
          <w:cantSplit/>
        </w:trPr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pose_muestras</w:t>
            </w:r>
          </w:p>
        </w:tc>
        <w:tc>
          <w:tcPr>
            <w:tcW w:w="51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17 puntos COCO × (x, y, confianza) = 51 valores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índice (partido, track, ts)</w:t>
            </w:r>
          </w:p>
        </w:tc>
      </w:tr>
      <w:tr>
        <w:trPr>
          <w:cantSplit/>
        </w:trPr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metricas_jugador</w:t>
            </w:r>
          </w:p>
        </w:tc>
        <w:tc>
          <w:tcPr>
            <w:tcW w:w="51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Una fila por jugador y métrica (formato largo)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(partido, track, metrica)</w:t>
            </w:r>
          </w:p>
        </w:tc>
      </w:tr>
      <w:tr>
        <w:trPr>
          <w:cantSplit/>
        </w:trPr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pases</w:t>
            </w:r>
          </w:p>
        </w:tc>
        <w:tc>
          <w:tcPr>
            <w:tcW w:w="51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Cada pase: salida, llegada, emisor, receptor, completado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índice (partido, ts_salida)</w:t>
            </w:r>
          </w:p>
        </w:tc>
      </w:tr>
      <w:tr>
        <w:trPr>
          <w:cantSplit/>
        </w:trPr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jugadores</w:t>
            </w:r>
          </w:p>
        </w:tc>
        <w:tc>
          <w:tcPr>
            <w:tcW w:w="51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Plantel del club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id</w:t>
            </w:r>
          </w:p>
        </w:tc>
      </w:tr>
      <w:tr>
        <w:trPr>
          <w:cantSplit/>
        </w:trPr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asignaciones</w:t>
            </w:r>
          </w:p>
        </w:tc>
        <w:tc>
          <w:tcPr>
            <w:tcW w:w="51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Qué jugador real es cada track (etiquetado)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(partido, track)</w:t>
            </w:r>
          </w:p>
        </w:tc>
      </w:tr>
      <w:tr>
        <w:trPr>
          <w:cantSplit/>
        </w:trPr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alertas</w:t>
            </w:r>
          </w:p>
        </w:tc>
        <w:tc>
          <w:tcPr>
            <w:tcW w:w="51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Alertas de fatiga, asimetría o quiebre táctico (futuro)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id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5. Diagramas UML</w:t>
      </w:r>
    </w:p>
    <w:p>
      <w:pPr>
        <w:pStyle w:val="Heading2"/>
      </w:pPr>
      <w:r>
        <w:t xml:space="preserve">5.1 Casos de uso</w:t>
      </w:r>
    </w:p>
    <w:p>
      <w:pPr>
        <w:jc w:val="center"/>
      </w:pPr>
      <w:r>
        <w:drawing>
          <wp:inline distT="0" distB="0" distL="0" distR="0">
            <wp:extent cx="5669280" cy="3671533"/>
            <wp:docPr id="3" name="Imagen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7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3. Casos de uso.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2340"/>
        <w:gridCol w:w="1872"/>
        <w:gridCol w:w="5148"/>
      </w:tblGrid>
      <w:tr>
        <w:trPr>
          <w:tblHeader/>
        </w:trPr>
        <w:tc>
          <w:tcPr>
            <w:tcW w:w="2340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Caso de uso</w:t>
            </w:r>
          </w:p>
        </w:tc>
        <w:tc>
          <w:tcPr>
            <w:tcW w:w="1872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Actor</w:t>
            </w:r>
          </w:p>
        </w:tc>
        <w:tc>
          <w:tcPr>
            <w:tcW w:w="5148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Flujo principal</w:t>
            </w:r>
          </w:p>
        </w:tc>
      </w:tr>
      <w:tr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Subir video del partido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Cuerpo técnico</w:t>
            </w:r>
          </w:p>
        </w:tc>
        <w:tc>
          <w:tcPr>
            <w:tcW w:w="51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Elige MP4 y formación → sube a Cloud Storage → confirma → se lanza el análisis.</w:t>
            </w:r>
          </w:p>
        </w:tc>
      </w:tr>
      <w:tr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Procesar video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Google Cloud (worker)</w:t>
            </w:r>
          </w:p>
        </w:tc>
        <w:tc>
          <w:tcPr>
            <w:tcW w:w="51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Descarga video y modelos → analiza a 8 fps → guarda métricas → estado «listo».</w:t>
            </w:r>
          </w:p>
        </w:tc>
      </w:tr>
      <w:tr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Etiquetar jugadores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Cuerpo técnico</w:t>
            </w:r>
          </w:p>
        </w:tc>
        <w:tc>
          <w:tcPr>
            <w:tcW w:w="51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Ve una miniatura por identidad → asigna el nombre del jugador → se guarda en asignaciones.</w:t>
            </w:r>
          </w:p>
        </w:tc>
      </w:tr>
      <w:tr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Ver métricas por jugador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Cuerpo técnico</w:t>
            </w:r>
          </w:p>
        </w:tc>
        <w:tc>
          <w:tcPr>
            <w:tcW w:w="51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Elige partido y jugador → ve las cinco métricas; puede extender al mapa de sombra.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5.2 Clases</w:t>
      </w:r>
    </w:p>
    <w:p>
      <w:r>
        <w:t xml:space="preserve">El worker es procedural, así que el diagrama muestra cada módulo Python como una clase con sus constantes y funciones.</w:t>
      </w:r>
    </w:p>
    <w:p>
      <w:pPr>
        <w:jc w:val="center"/>
      </w:pPr>
      <w:r>
        <w:drawing>
          <wp:inline distT="0" distB="0" distL="0" distR="0">
            <wp:extent cx="5852160" cy="3404893"/>
            <wp:docPr id="4" name="Imagen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0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4. Diagrama de clases del worker.</w:t>
      </w:r>
    </w:p>
    <w:p>
      <w:pPr>
        <w:pStyle w:val="Heading2"/>
      </w:pPr>
      <w:r>
        <w:t xml:space="preserve">5.3 Secuencia de la funcionalidad principal</w:t>
      </w:r>
    </w:p>
    <w:p>
      <w:pPr>
        <w:jc w:val="center"/>
      </w:pPr>
      <w:r>
        <w:drawing>
          <wp:inline distT="0" distB="0" distL="0" distR="0">
            <wp:extent cx="5852160" cy="4579951"/>
            <wp:docPr id="5" name="Imagen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7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5. Subir un partido y obtener las métricas por jugador.</w:t>
      </w:r>
    </w:p>
    <w:p>
      <w:pPr>
        <w:pStyle w:val="Heading2"/>
      </w:pPr>
      <w:r>
        <w:t xml:space="preserve">5.4 Componentes</w:t>
      </w:r>
    </w:p>
    <w:p>
      <w:pPr>
        <w:jc w:val="center"/>
      </w:pPr>
      <w:r>
        <w:drawing>
          <wp:inline distT="0" distB="0" distL="0" distR="0">
            <wp:extent cx="5852160" cy="3298490"/>
            <wp:docPr id="6" name="Imagen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6. Diagrama de componentes.</w:t>
      </w:r>
    </w:p>
    <w:p>
      <w:pPr>
        <w:pStyle w:val="Heading1"/>
      </w:pPr>
      <w:r>
        <w:t xml:space="preserve">6. Requisitos no funcionales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936"/>
        <w:gridCol w:w="1404"/>
        <w:gridCol w:w="2808"/>
        <w:gridCol w:w="4212"/>
      </w:tblGrid>
      <w:tr>
        <w:trPr>
          <w:tblHeader/>
        </w:trPr>
        <w:tc>
          <w:tcPr>
            <w:tcW w:w="936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ID</w:t>
            </w:r>
          </w:p>
        </w:tc>
        <w:tc>
          <w:tcPr>
            <w:tcW w:w="1404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Categoría</w:t>
            </w:r>
          </w:p>
        </w:tc>
        <w:tc>
          <w:tcPr>
            <w:tcW w:w="2808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Requisito</w:t>
            </w:r>
          </w:p>
        </w:tc>
        <w:tc>
          <w:tcPr>
            <w:tcW w:w="4212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Cómo se cumple / estado</w:t>
            </w:r>
          </w:p>
        </w:tc>
      </w:tr>
      <w:tr>
        <w:trPr>
          <w:cantSplit/>
        </w:trPr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RNF-01</w:t>
            </w:r>
          </w:p>
        </w:tc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Seguridad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Mínimo privilegio en la nube</w:t>
            </w:r>
          </w:p>
        </w:tc>
        <w:tc>
          <w:tcPr>
            <w:tcW w:w="421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3 cuentas de servicio con roles acotados (sa-worker, sa-api, sa-trainer).</w:t>
            </w:r>
          </w:p>
        </w:tc>
      </w:tr>
      <w:tr>
        <w:trPr>
          <w:cantSplit/>
        </w:trPr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RNF-02</w:t>
            </w:r>
          </w:p>
        </w:tc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Seguridad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Sin secretos en el código</w:t>
            </w:r>
          </w:p>
        </w:tc>
        <w:tc>
          <w:tcPr>
            <w:tcW w:w="421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Contraseña solo en Secret Manager; búsqueda en 76 archivos versionados sin hallazgos.</w:t>
            </w:r>
          </w:p>
        </w:tc>
      </w:tr>
      <w:tr>
        <w:trPr>
          <w:cantSplit/>
        </w:trPr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RNF-03</w:t>
            </w:r>
          </w:p>
        </w:tc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Seguridad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Datos privados</w:t>
            </w:r>
          </w:p>
        </w:tc>
        <w:tc>
          <w:tcPr>
            <w:tcW w:w="421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Buckets con prevención de acceso público; base sin redes autorizadas.</w:t>
            </w:r>
          </w:p>
        </w:tc>
      </w:tr>
      <w:tr>
        <w:trPr>
          <w:cantSplit/>
        </w:trPr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RNF-04</w:t>
            </w:r>
          </w:p>
        </w:tc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Rendimiento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Partido completo en menos de 1 h</w:t>
            </w:r>
          </w:p>
        </w:tc>
        <w:tc>
          <w:tcPr>
            <w:tcW w:w="421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Requiere GPU L4 (cuota solicitada). Hoy: 23 min por 60 s en CPU.</w:t>
            </w:r>
          </w:p>
        </w:tc>
      </w:tr>
      <w:tr>
        <w:trPr>
          <w:cantSplit/>
        </w:trPr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RNF-05</w:t>
            </w:r>
          </w:p>
        </w:tc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Rendimiento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Precisión temporal de 125 ms</w:t>
            </w:r>
          </w:p>
        </w:tc>
        <w:tc>
          <w:tcPr>
            <w:tcW w:w="421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Muestreo a 8 cuadros por segundo.</w:t>
            </w:r>
          </w:p>
        </w:tc>
      </w:tr>
      <w:tr>
        <w:trPr>
          <w:cantSplit/>
        </w:trPr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RNF-06</w:t>
            </w:r>
          </w:p>
        </w:tc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Escalabilidad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Varios partidos en paralelo</w:t>
            </w:r>
          </w:p>
        </w:tc>
        <w:tc>
          <w:tcPr>
            <w:tcW w:w="421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Cada partido es una ejecución independiente de Cloud Run Jobs.</w:t>
            </w:r>
          </w:p>
        </w:tc>
      </w:tr>
      <w:tr>
        <w:trPr>
          <w:cantSplit/>
        </w:trPr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RNF-07</w:t>
            </w:r>
          </w:p>
        </w:tc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Disponibilidad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La API responde aunque no haya análisis</w:t>
            </w:r>
          </w:p>
        </w:tc>
        <w:tc>
          <w:tcPr>
            <w:tcW w:w="421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Servicios administrados; el job se reintenta si falla.</w:t>
            </w:r>
          </w:p>
        </w:tc>
      </w:tr>
      <w:tr>
        <w:trPr>
          <w:cantSplit/>
        </w:trPr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RNF-08</w:t>
            </w:r>
          </w:p>
        </w:tc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Portabilidad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Corre igual en cualquier entorno</w:t>
            </w:r>
          </w:p>
        </w:tc>
        <w:tc>
          <w:tcPr>
            <w:tcW w:w="421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Imagen Docker única (CUDA 12.4); DEVICE=cpu, cuda o mps.</w:t>
            </w:r>
          </w:p>
        </w:tc>
      </w:tr>
      <w:tr>
        <w:trPr>
          <w:cantSplit/>
        </w:trPr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RNF-09</w:t>
            </w:r>
          </w:p>
        </w:tc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Costo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Dentro del crédito gratuito</w:t>
            </w:r>
          </w:p>
        </w:tc>
        <w:tc>
          <w:tcPr>
            <w:tcW w:w="421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Presupuesto con alerta de 10.000 CLP; base apagada fuera de uso.</w:t>
            </w:r>
          </w:p>
        </w:tc>
      </w:tr>
      <w:tr>
        <w:trPr>
          <w:cantSplit/>
        </w:trPr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RNF-10</w:t>
            </w:r>
          </w:p>
        </w:tc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Mantenibilidad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Código simple y probado</w:t>
            </w:r>
          </w:p>
        </w:tc>
        <w:tc>
          <w:tcPr>
            <w:tcW w:w="421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Módulos pequeños con autopruebas en metricas.py y cancha.py.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7. Diseño Docker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Imagen base:</w:t>
      </w:r>
      <w:r>
        <w:t xml:space="preserve"> nvidia/cuda:12.4.1-cudnn-runtime-ubuntu22.04, para usar la GPU L4 con PyTorch cu124.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Dependencias:</w:t>
      </w:r>
      <w:r>
        <w:t xml:space="preserve"> ultralytics 8.4.33, lap, numpy, scikit-learn, scipy, google-cloud-storage, psycopg[binary].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Punto de entrada:</w:t>
      </w:r>
      <w:r>
        <w:t xml:space="preserve"> `python3 pipeline.py`; toda la configuración entra por variables de entorno.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Local:</w:t>
      </w:r>
      <w:r>
        <w:t xml:space="preserve"> docker-compose levanta el worker y un PostgreSQL con el esquema (ver Manual técnico).</w:t>
      </w:r>
    </w:p>
    <w:sectPr>
      <w:headerReference w:type="default" r:id="rIdHdr"/>
      <w:footerReference w:type="default" r:id="rIdFtr"/>
      <w:pgSz w:w="12240" w:h="15840"/>
      <w:pgMar w:top="1300" w:right="1440" w:bottom="1300" w:left="1440" w:header="600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  <w:jc w:val="right"/>
    </w:pP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FUT.AI · Proyecto APT · Duoc UC — Documento de diseño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rPr>
      <w:color w:val="263238"/>
    </w:rPr>
  </w:style>
  <w:style w:type="paragraph" w:styleId="Title">
    <w:name w:val="Title"/>
    <w:basedOn w:val="Normal"/>
    <w:qFormat/>
    <w:pPr>
      <w:spacing w:after="60"/>
    </w:pPr>
    <w:rPr>
      <w:b/>
      <w:color w:val="14231B"/>
      <w:sz w:val="52"/>
    </w:rPr>
  </w:style>
  <w:style w:type="paragraph" w:styleId="Subtitle">
    <w:name w:val="Subtitle"/>
    <w:basedOn w:val="Normal"/>
    <w:qFormat/>
    <w:pPr>
      <w:spacing w:after="360"/>
    </w:pPr>
    <w:rPr>
      <w:color w:val="5F6E64"/>
      <w:sz w:val="26"/>
    </w:rPr>
  </w:style>
  <w:style w:type="paragraph" w:styleId="Heading1">
    <w:name w:val="heading 1"/>
    <w:basedOn w:val="Normal"/>
    <w:qFormat/>
    <w:pPr>
      <w:keepNext/>
      <w:spacing w:before="360" w:after="120"/>
      <w:outlineLvl w:val="0"/>
      <w:pBdr>
        <w:bottom w:val="single" w:sz="8" w:space="2" w:color="2F6AA3"/>
      </w:pBdr>
    </w:pPr>
    <w:rPr>
      <w:b/>
      <w:color w:val="14231B"/>
      <w:sz w:val="32"/>
    </w:rPr>
  </w:style>
  <w:style w:type="paragraph" w:styleId="Heading2">
    <w:name w:val="heading 2"/>
    <w:basedOn w:val="Normal"/>
    <w:qFormat/>
    <w:pPr>
      <w:keepNext/>
      <w:spacing w:before="240" w:after="80"/>
      <w:outlineLvl w:val="1"/>
    </w:pPr>
    <w:rPr>
      <w:b/>
      <w:color w:val="2F6AA3"/>
      <w:sz w:val="26"/>
    </w:rPr>
  </w:style>
  <w:style w:type="paragraph" w:styleId="Heading3">
    <w:name w:val="heading 3"/>
    <w:basedOn w:val="Normal"/>
    <w:qFormat/>
    <w:pPr>
      <w:keepNext/>
      <w:spacing w:before="180" w:after="60"/>
      <w:outlineLvl w:val="2"/>
    </w:pPr>
    <w:rPr>
      <w:b/>
      <w:color w:val="14231B"/>
      <w:sz w:val="23"/>
    </w:rPr>
  </w:style>
  <w:style w:type="paragraph" w:styleId="ListParagraph">
    <w:name w:val="List Paragraph"/>
    <w:basedOn w:val="Normal"/>
    <w:qFormat/>
    <w:pPr>
      <w:spacing w:after="60"/>
      <w:ind w:left="720"/>
    </w:pPr>
    <w:rPr/>
  </w:style>
  <w:style w:type="paragraph" w:styleId="Nota">
    <w:name w:val="Nota"/>
    <w:basedOn w:val="Normal"/>
    <w:qFormat/>
    <w:pPr>
      <w:pBdr>
        <w:left w:val="single" w:sz="18" w:space="8" w:color="C46A16"/>
      </w:pBdr>
      <w:shd w:val="clear" w:color="auto" w:fill="FBF3EA"/>
      <w:ind w:left="200"/>
      <w:spacing w:before="120" w:after="160"/>
    </w:pPr>
    <w:rPr>
      <w:i/>
      <w:color w:val="7A4510"/>
      <w:sz w:val="20"/>
    </w:rPr>
  </w:style>
  <w:style w:type="paragraph" w:styleId="Codigo">
    <w:name w:val="Codigo"/>
    <w:basedOn w:val="Normal"/>
    <w:qFormat/>
    <w:pPr>
      <w:spacing w:after="0" w:line="240" w:lineRule="auto"/>
      <w:shd w:val="clear" w:color="auto" w:fill="F1F4F2"/>
      <w:ind w:left="200"/>
    </w:pPr>
    <w:rPr>
      <w:rFonts w:ascii="Menlo" w:hAnsi="Menlo"/>
      <w:sz w:val="17"/>
    </w:rPr>
  </w:style>
  <w:style w:type="paragraph" w:styleId="Caption">
    <w:name w:val="caption"/>
    <w:basedOn w:val="Normal"/>
    <w:qFormat/>
    <w:pPr>
      <w:jc w:val="center"/>
      <w:spacing w:after="200"/>
    </w:pPr>
    <w:rPr>
      <w:i/>
      <w:color w:val="5F6E64"/>
      <w:sz w:val="18"/>
    </w:rPr>
  </w:style>
  <w:style w:type="paragraph" w:styleId="Header">
    <w:name w:val="header"/>
    <w:basedOn w:val="Normal"/>
    <w:qFormat/>
    <w:pPr/>
    <w:rPr>
      <w:color w:val="5F6E64"/>
      <w:sz w:val="16"/>
    </w:rPr>
  </w:style>
  <w:style w:type="paragraph" w:styleId="Footer">
    <w:name w:val="footer"/>
    <w:basedOn w:val="Normal"/>
    <w:qFormat/>
    <w:pPr/>
    <w:rPr>
      <w:color w:val="5F6E64"/>
      <w:sz w:val="16"/>
    </w:r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Relationship Id="rIdHdr" Type="http://schemas.openxmlformats.org/officeDocument/2006/relationships/header" Target="header1.xml"/><Relationship Id="rIdFtr" Type="http://schemas.openxmlformats.org/officeDocument/2006/relationships/footer" Target="footer1.xml"/><Relationship Id="rIdImg1" Type="http://schemas.openxmlformats.org/officeDocument/2006/relationships/image" Target="media/img1.png"/><Relationship Id="rIdImg2" Type="http://schemas.openxmlformats.org/officeDocument/2006/relationships/image" Target="media/img2.png"/><Relationship Id="rIdImg3" Type="http://schemas.openxmlformats.org/officeDocument/2006/relationships/image" Target="media/img3.png"/><Relationship Id="rIdImg4" Type="http://schemas.openxmlformats.org/officeDocument/2006/relationships/image" Target="media/img4.png"/><Relationship Id="rIdImg5" Type="http://schemas.openxmlformats.org/officeDocument/2006/relationships/image" Target="media/img5.png"/><Relationship Id="rIdImg6" Type="http://schemas.openxmlformats.org/officeDocument/2006/relationships/image" Target="media/img6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FUT.AI — Documento de diseño</dc:title>
  <dc:creator>Equipo FUT.AI</dc:creator>
  <dc:language>es-CL</dc:language>
</cp:coreProperties>
</file>