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合约交易页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pStyle w:val="1"/>
              <w:spacing w:before="380" w:after="140" w:line="288" w:lineRule="auto"/>
              <w:ind w:left="0"/>
              <w:jc w:val="left"/>
              <w:outlineLvl w:val="0"/>
            </w:pPr>
            <w:bookmarkStart w:name="heading_0" w:id="0"/>
            <w:r>
              <w:rPr>
                <w:rFonts w:eastAsia="等线" w:ascii="Arial" w:cs="Arial" w:hAnsi="Arial"/>
                <w:b w:val="true"/>
                <w:color w:val="646a73"/>
                <w:sz w:val="36"/>
                <w:shd w:fill="fff67a"/>
              </w:rPr>
              <w:t>【重要说明】</w:t>
            </w:r>
            <w:bookmarkEnd w:id="0"/>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shd w:fill="fff67a"/>
              </w:rPr>
              <w:t>本文档为合约交易页面的交互与功能需求说明，供产品、UI 及前端开发参考。</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shd w:fill="fff67a"/>
              </w:rPr>
              <w:t>本系统基于合作方成熟的合约交易系统进行前端对接开发。文档中涉及的</w:t>
            </w:r>
            <w:r>
              <w:rPr>
                <w:rFonts w:eastAsia="等线" w:ascii="Arial" w:cs="Arial" w:hAnsi="Arial"/>
                <w:b w:val="true"/>
                <w:color w:val="646a73"/>
                <w:sz w:val="22"/>
                <w:shd w:fill="fff67a"/>
              </w:rPr>
              <w:t>核心交易规则、风控计算逻辑、保证金公式、强平机制、资金费率算法等底层业务逻辑，均以对方产研团队提供的规则为准</w:t>
            </w:r>
            <w:r>
              <w:rPr>
                <w:rFonts w:eastAsia="等线" w:ascii="Arial" w:cs="Arial" w:hAnsi="Arial"/>
                <w:color w:val="646a73"/>
                <w:sz w:val="22"/>
                <w:shd w:fill="fff67a"/>
              </w:rPr>
              <w:t>。本文档仅描述前端页面的信息展示、用户操作流程及交互行为，如文档描述与对方系统实际规则存在差异，以对方系统实际规则为准。</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shd w:fill="fff67a"/>
              </w:rPr>
              <w:t>如有涉及功能层面不一致的问题，以产研团队的修改建议为准。</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1. 导航栏</w:t>
      </w:r>
      <w:bookmarkEnd w:id="1"/>
    </w:p>
    <w:p>
      <w:pPr>
        <w:spacing w:before="120" w:after="120" w:line="288" w:lineRule="auto"/>
        <w:ind w:left="0"/>
        <w:jc w:val="left"/>
      </w:pPr>
      <w:r>
        <w:rPr>
          <w:rFonts w:eastAsia="等线" w:ascii="Arial" w:cs="Arial" w:hAnsi="Arial"/>
          <w:sz w:val="22"/>
        </w:rPr>
        <w:t>导航栏整体功能（菜单、语言切换、链信息、用户钱包等）详见《</w:t>
      </w:r>
      <w:hyperlink r:id="rId4">
        <w:r>
          <w:rPr>
            <w:rFonts w:eastAsia="等线" w:ascii="Arial" w:cs="Arial" w:hAnsi="Arial"/>
            <w:color w:val="3370ff"/>
            <w:sz w:val="22"/>
          </w:rPr>
          <w:t>需求文档 - 统一顶部导航栏</w:t>
        </w:r>
      </w:hyperlink>
      <w:r>
        <w:rPr>
          <w:rFonts w:eastAsia="等线" w:ascii="Arial" w:cs="Arial" w:hAnsi="Arial"/>
          <w:sz w:val="22"/>
        </w:rPr>
        <w:t>》，本文档仅补充合约交易页特有的功能。</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1.1 偏好设置抽屉</w:t>
      </w:r>
      <w:bookmarkEnd w:id="2"/>
    </w:p>
    <w:p>
      <w:pPr>
        <w:spacing w:before="120" w:after="120" w:line="288" w:lineRule="auto"/>
        <w:ind w:left="0"/>
        <w:jc w:val="left"/>
      </w:pPr>
      <w:r>
        <w:rPr>
          <w:rFonts w:eastAsia="等线" w:ascii="Arial" w:cs="Arial" w:hAnsi="Arial"/>
          <w:b w:val="true"/>
          <w:sz w:val="22"/>
        </w:rPr>
        <w:t>1.1.1 触发方式</w:t>
      </w:r>
    </w:p>
    <w:p>
      <w:pPr>
        <w:numPr>
          <w:numId w:val="1"/>
        </w:numPr>
        <w:spacing w:before="120" w:after="120" w:line="288" w:lineRule="auto"/>
        <w:ind w:left="0"/>
        <w:jc w:val="left"/>
      </w:pPr>
      <w:r>
        <w:rPr>
          <w:rFonts w:eastAsia="等线" w:ascii="Arial" w:cs="Arial" w:hAnsi="Arial"/>
          <w:sz w:val="22"/>
        </w:rPr>
        <w:t>点击导航栏右侧（设置）图标，从页面右侧滑入偏好设置抽屉面板。</w:t>
      </w:r>
    </w:p>
    <w:p>
      <w:pPr>
        <w:numPr>
          <w:numId w:val="2"/>
        </w:numPr>
        <w:spacing w:before="120" w:after="120" w:line="288" w:lineRule="auto"/>
        <w:ind w:left="0"/>
        <w:jc w:val="left"/>
      </w:pPr>
      <w:r>
        <w:rPr>
          <w:rFonts w:eastAsia="等线" w:ascii="Arial" w:cs="Arial" w:hAnsi="Arial"/>
          <w:sz w:val="22"/>
        </w:rPr>
        <w:t>点击抽屉外部的半透明遮罩层，或点击抽屉右上角关闭按钮，面板滑出关闭。</w:t>
      </w:r>
    </w:p>
    <w:p>
      <w:pPr>
        <w:numPr>
          <w:numId w:val="3"/>
        </w:numPr>
        <w:spacing w:before="120" w:after="120" w:line="288" w:lineRule="auto"/>
        <w:ind w:left="0"/>
        <w:jc w:val="left"/>
      </w:pPr>
      <w:r>
        <w:rPr>
          <w:rFonts w:eastAsia="等线" w:ascii="Arial" w:cs="Arial" w:hAnsi="Arial"/>
          <w:sz w:val="22"/>
        </w:rPr>
        <w:t>打开时页面主体不可滚动，关闭后恢复。</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1.1.2 抽屉内容</w:t>
      </w:r>
    </w:p>
    <w:p>
      <w:pPr>
        <w:spacing w:before="120" w:after="120" w:line="288" w:lineRule="auto"/>
        <w:ind w:left="0"/>
        <w:jc w:val="left"/>
      </w:pPr>
      <w:r>
        <w:rPr>
          <w:rFonts w:eastAsia="等线" w:ascii="Arial" w:cs="Arial" w:hAnsi="Arial"/>
          <w:b w:val="true"/>
          <w:sz w:val="22"/>
        </w:rPr>
        <w:t>（1）下单确认</w:t>
      </w:r>
    </w:p>
    <w:p>
      <w:pPr>
        <w:spacing w:before="120" w:after="120" w:line="288" w:lineRule="auto"/>
        <w:ind w:left="0"/>
        <w:jc w:val="left"/>
      </w:pPr>
      <w:r>
        <w:rPr>
          <w:rFonts w:eastAsia="等线" w:ascii="Arial" w:cs="Arial" w:hAnsi="Arial"/>
          <w:sz w:val="22"/>
        </w:rPr>
        <w:t>该区域包含三个开关项，控制不同类型订单的下单二次确认弹窗是否弹出：</w:t>
      </w:r>
    </w:p>
    <w:p>
      <w:pPr>
        <w:numPr>
          <w:numId w:val="4"/>
        </w:numPr>
        <w:spacing w:before="120" w:after="120" w:line="288" w:lineRule="auto"/>
        <w:ind w:left="0"/>
        <w:jc w:val="left"/>
      </w:pPr>
      <w:r>
        <w:rPr>
          <w:rFonts w:eastAsia="等线" w:ascii="Arial" w:cs="Arial" w:hAnsi="Arial"/>
          <w:sz w:val="22"/>
        </w:rPr>
        <w:t>限价订单：开关默认开启。</w:t>
      </w:r>
    </w:p>
    <w:p>
      <w:pPr>
        <w:numPr>
          <w:numId w:val="5"/>
        </w:numPr>
        <w:spacing w:before="120" w:after="120" w:line="288" w:lineRule="auto"/>
        <w:ind w:left="0"/>
        <w:jc w:val="left"/>
      </w:pPr>
      <w:r>
        <w:rPr>
          <w:rFonts w:eastAsia="等线" w:ascii="Arial" w:cs="Arial" w:hAnsi="Arial"/>
          <w:sz w:val="22"/>
        </w:rPr>
        <w:t>市价订单：开关默认开启。</w:t>
      </w:r>
    </w:p>
    <w:p>
      <w:pPr>
        <w:numPr>
          <w:numId w:val="6"/>
        </w:numPr>
        <w:spacing w:before="120" w:after="120" w:line="288" w:lineRule="auto"/>
        <w:ind w:left="0"/>
        <w:jc w:val="left"/>
      </w:pPr>
      <w:r>
        <w:rPr>
          <w:rFonts w:eastAsia="等线" w:ascii="Arial" w:cs="Arial" w:hAnsi="Arial"/>
          <w:sz w:val="22"/>
        </w:rPr>
        <w:t>止盈止损订单：开关默认开启。</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每个开关项为 toggle 开关样式。用户可单独设置每类订单是否需要二次确认。</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（2）消息通知</w:t>
      </w:r>
    </w:p>
    <w:p>
      <w:pPr>
        <w:numPr>
          <w:numId w:val="7"/>
        </w:numPr>
        <w:spacing w:before="120" w:after="120" w:line="288" w:lineRule="auto"/>
        <w:ind w:left="0"/>
        <w:jc w:val="left"/>
      </w:pPr>
      <w:r>
        <w:rPr>
          <w:rFonts w:eastAsia="等线" w:ascii="Arial" w:cs="Arial" w:hAnsi="Arial"/>
          <w:sz w:val="22"/>
        </w:rPr>
        <w:t>成交提示音：开关默认开启，控制下单成功/失败等事件是否播放提示音。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（3）底部操作</w:t>
      </w:r>
    </w:p>
    <w:p>
      <w:pPr>
        <w:numPr>
          <w:numId w:val="8"/>
        </w:numPr>
        <w:spacing w:before="120" w:after="120" w:line="288" w:lineRule="auto"/>
        <w:ind w:left="0"/>
        <w:jc w:val="left"/>
      </w:pPr>
      <w:r>
        <w:rPr>
          <w:rFonts w:eastAsia="等线" w:ascii="Arial" w:cs="Arial" w:hAnsi="Arial"/>
          <w:sz w:val="22"/>
        </w:rPr>
        <w:t>“恢复至默认设置”按钮：点击将所有偏好设置项恢复为系统默认值。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1.1.3 数据持久化</w:t>
      </w:r>
    </w:p>
    <w:p>
      <w:pPr>
        <w:numPr>
          <w:numId w:val="9"/>
        </w:numPr>
        <w:spacing w:before="120" w:after="120" w:line="288" w:lineRule="auto"/>
        <w:ind w:left="0"/>
        <w:jc w:val="left"/>
      </w:pPr>
      <w:r>
        <w:rPr>
          <w:rFonts w:eastAsia="等线" w:ascii="Arial" w:cs="Arial" w:hAnsi="Arial"/>
          <w:sz w:val="22"/>
        </w:rPr>
        <w:t>用户的偏好设置需保存至后端或本地存储，下次登录时保持用户上次的设置状态。</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 w:id="3"/>
      <w:r>
        <w:rPr>
          <w:rFonts w:eastAsia="等线" w:ascii="Arial" w:cs="Arial" w:hAnsi="Arial"/>
          <w:b w:val="true"/>
          <w:sz w:val="36"/>
        </w:rPr>
        <w:t>2. 市场信息栏</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2.1 功能概述</w:t>
      </w:r>
      <w:bookmarkEnd w:id="4"/>
    </w:p>
    <w:p>
      <w:pPr>
        <w:spacing w:before="120" w:after="120" w:line="288" w:lineRule="auto"/>
        <w:ind w:left="0"/>
        <w:jc w:val="left"/>
      </w:pPr>
      <w:r>
        <w:rPr>
          <w:rFonts w:eastAsia="等线" w:ascii="Arial" w:cs="Arial" w:hAnsi="Arial"/>
          <w:sz w:val="22"/>
        </w:rPr>
        <w:t>展示当前交易对的核心市场数据，支持快速切换交易对。</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2.2 当前交易对基础信息展示</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2.2.1 交易对名称与杠杆</w:t>
      </w:r>
    </w:p>
    <w:p>
      <w:pPr>
        <w:numPr>
          <w:numId w:val="10"/>
        </w:numPr>
        <w:spacing w:before="120" w:after="120" w:line="288" w:lineRule="auto"/>
        <w:ind w:left="0"/>
        <w:jc w:val="left"/>
      </w:pPr>
      <w:r>
        <w:rPr>
          <w:rFonts w:eastAsia="等线" w:ascii="Arial" w:cs="Arial" w:hAnsi="Arial"/>
          <w:sz w:val="22"/>
        </w:rPr>
        <w:t>左侧显示当前交易对（如 BTCUSDT），字体加粗。</w:t>
      </w:r>
    </w:p>
    <w:p>
      <w:pPr>
        <w:numPr>
          <w:numId w:val="11"/>
        </w:numPr>
        <w:spacing w:before="120" w:after="120" w:line="288" w:lineRule="auto"/>
        <w:ind w:left="0"/>
        <w:jc w:val="left"/>
      </w:pPr>
      <w:r>
        <w:rPr>
          <w:rFonts w:eastAsia="等线" w:ascii="Arial" w:cs="Arial" w:hAnsi="Arial"/>
          <w:sz w:val="22"/>
        </w:rPr>
        <w:t>交易对名称右侧附带该交易对支持的最大杠杆倍数标签（如“100x”）。</w:t>
      </w:r>
    </w:p>
    <w:p>
      <w:pPr>
        <w:numPr>
          <w:numId w:val="12"/>
        </w:numPr>
        <w:spacing w:before="120" w:after="120" w:line="288" w:lineRule="auto"/>
        <w:ind w:left="0"/>
        <w:jc w:val="left"/>
      </w:pPr>
      <w:r>
        <w:rPr>
          <w:rFonts w:eastAsia="等线" w:ascii="Arial" w:cs="Arial" w:hAnsi="Arial"/>
          <w:sz w:val="22"/>
        </w:rPr>
        <w:t>点击该区域弹出交易对切换浮窗（见 2.3）。</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2.2.2 最新价与涨跌幅</w:t>
      </w:r>
    </w:p>
    <w:p>
      <w:pPr>
        <w:numPr>
          <w:numId w:val="13"/>
        </w:numPr>
        <w:spacing w:before="120" w:after="120" w:line="288" w:lineRule="auto"/>
        <w:ind w:left="0"/>
        <w:jc w:val="left"/>
      </w:pPr>
      <w:r>
        <w:rPr>
          <w:rFonts w:eastAsia="等线" w:ascii="Arial" w:cs="Arial" w:hAnsi="Arial"/>
          <w:sz w:val="22"/>
        </w:rPr>
        <w:t>最新成交价大字体显示，24小时涨跌幅小字显示在价格下方。</w:t>
      </w:r>
    </w:p>
    <w:p>
      <w:pPr>
        <w:numPr>
          <w:numId w:val="14"/>
        </w:numPr>
        <w:spacing w:before="120" w:after="120" w:line="288" w:lineRule="auto"/>
        <w:ind w:left="0"/>
        <w:jc w:val="left"/>
      </w:pPr>
      <w:r>
        <w:rPr>
          <w:rFonts w:eastAsia="等线" w:ascii="Arial" w:cs="Arial" w:hAnsi="Arial"/>
          <w:sz w:val="22"/>
        </w:rPr>
        <w:t>颜色规则：涨（≥0）为绿色，跌（&lt;0）为红色。</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2.2.3 核心市场指标</w:t>
      </w:r>
    </w:p>
    <w:p>
      <w:pPr>
        <w:spacing w:before="120" w:after="120" w:line="288" w:lineRule="auto"/>
        <w:ind w:left="0"/>
        <w:jc w:val="left"/>
      </w:pPr>
      <w:r>
        <w:rPr>
          <w:rFonts w:eastAsia="等线" w:ascii="Arial" w:cs="Arial" w:hAnsi="Arial"/>
          <w:sz w:val="22"/>
        </w:rPr>
        <w:t>以多列并排展示以下数据项：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2760"/>
        <w:gridCol w:w="415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标记价格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根据现货指数和资金费率计算的合理价格，用于计算未实现盈亏和强平</w:t>
            </w:r>
          </w:p>
        </w:tc>
        <w:tc>
          <w:tcPr>
            <w:tcW w:w="4155"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带虚线下划线，hover 显示解释 tooltip</w:t>
            </w:r>
          </w:p>
          <w:p>
            <w:pPr>
              <w:numPr>
                <w:numId w:val="16"/>
              </w:numPr>
              <w:spacing w:before="120" w:after="120" w:line="288" w:lineRule="auto"/>
              <w:ind w:left="0"/>
              <w:jc w:val="left"/>
            </w:pPr>
            <w:r>
              <w:rPr>
                <w:rFonts w:eastAsia="等线" w:ascii="Arial" w:cs="Arial" w:hAnsi="Arial"/>
                <w:sz w:val="22"/>
              </w:rPr>
              <w:t>文案：标记价格用于计算您的强平价格和持仓保证金。标记价格源自经过处理的指数价格。</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指数价格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现货指数价格</w:t>
            </w:r>
          </w:p>
        </w:tc>
        <w:tc>
          <w:tcPr>
            <w:tcW w:w="4155"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带虚线下划线，hover 显示解释 tooltip</w:t>
            </w:r>
          </w:p>
          <w:p>
            <w:pPr>
              <w:numPr>
                <w:numId w:val="18"/>
              </w:numPr>
              <w:spacing w:before="120" w:after="120" w:line="288" w:lineRule="auto"/>
              <w:ind w:left="0"/>
              <w:jc w:val="left"/>
            </w:pPr>
            <w:r>
              <w:rPr>
                <w:rFonts w:eastAsia="等线" w:ascii="Arial" w:cs="Arial" w:hAnsi="Arial"/>
                <w:sz w:val="22"/>
              </w:rPr>
              <w:t>文案：指数价格是基于多家主流交易所价格进行加权平均计算得出的综合价格。</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资金费率 / 倒计时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当前资金费率及距离下次结算的倒计时（格式：0.0001% 00:25:13）</w:t>
            </w:r>
          </w:p>
        </w:tc>
        <w:tc>
          <w:tcPr>
            <w:tcW w:w="4155"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带虚线下划线，hover 显示特殊浮窗：</w:t>
            </w:r>
          </w:p>
          <w:p>
            <w:pPr>
              <w:numPr>
                <w:numId w:val="20"/>
              </w:numPr>
              <w:spacing w:before="120" w:after="120" w:line="288" w:lineRule="auto"/>
              <w:ind w:left="0"/>
              <w:jc w:val="left"/>
            </w:pPr>
            <w:r>
              <w:rPr>
                <w:rFonts w:eastAsia="等线" w:ascii="Arial" w:cs="Arial" w:hAnsi="Arial"/>
                <w:sz w:val="22"/>
              </w:rPr>
              <w:t>间隔：交易对对应收取资金费率间隔小时</w:t>
            </w:r>
          </w:p>
          <w:p>
            <w:pPr>
              <w:numPr>
                <w:numId w:val="21"/>
              </w:numPr>
              <w:spacing w:before="120" w:after="120" w:line="288" w:lineRule="auto"/>
              <w:ind w:left="0"/>
              <w:jc w:val="left"/>
            </w:pPr>
            <w:r>
              <w:rPr>
                <w:rFonts w:eastAsia="等线" w:ascii="Arial" w:cs="Arial" w:hAnsi="Arial"/>
                <w:sz w:val="22"/>
              </w:rPr>
              <w:t>方向：</w:t>
            </w:r>
          </w:p>
          <w:p>
            <w:pPr>
              <w:numPr>
                <w:numId w:val="22"/>
              </w:numPr>
              <w:spacing w:before="120" w:after="120" w:line="288" w:lineRule="auto"/>
              <w:ind w:left="453"/>
              <w:jc w:val="left"/>
            </w:pPr>
            <w:r>
              <w:rPr>
                <w:rFonts w:eastAsia="等线" w:ascii="Arial" w:cs="Arial" w:hAnsi="Arial"/>
                <w:sz w:val="22"/>
              </w:rPr>
              <w:t>&gt;=0：买入 付款 卖出</w:t>
            </w:r>
          </w:p>
          <w:p>
            <w:pPr>
              <w:numPr>
                <w:numId w:val="23"/>
              </w:numPr>
              <w:spacing w:before="120" w:after="120" w:line="288" w:lineRule="auto"/>
              <w:ind w:left="453"/>
              <w:jc w:val="left"/>
            </w:pPr>
            <w:r>
              <w:rPr>
                <w:rFonts w:eastAsia="等线" w:ascii="Arial" w:cs="Arial" w:hAnsi="Arial"/>
                <w:sz w:val="22"/>
              </w:rPr>
              <w:t>&lt;0：卖出 付款 买入</w:t>
            </w:r>
          </w:p>
          <w:p>
            <w:pPr>
              <w:numPr>
                <w:numId w:val="24"/>
              </w:numPr>
              <w:spacing w:before="120" w:after="120" w:line="288" w:lineRule="auto"/>
              <w:ind w:left="0"/>
              <w:jc w:val="left"/>
            </w:pPr>
            <w:r>
              <w:rPr>
                <w:rFonts w:eastAsia="等线" w:ascii="Arial" w:cs="Arial" w:hAnsi="Arial"/>
                <w:sz w:val="22"/>
              </w:rPr>
              <w:t>资金费率： 下一次收取的资金费率</w:t>
            </w:r>
          </w:p>
          <w:p>
            <w:pPr>
              <w:numPr>
                <w:numId w:val="25"/>
              </w:numPr>
              <w:spacing w:before="120" w:after="120" w:line="288" w:lineRule="auto"/>
              <w:ind w:left="0"/>
              <w:jc w:val="left"/>
            </w:pPr>
            <w:r>
              <w:rPr>
                <w:rFonts w:eastAsia="等线" w:ascii="Arial" w:cs="Arial" w:hAnsi="Arial"/>
                <w:sz w:val="22"/>
              </w:rPr>
              <w:t>年化：(24/间隔小时)* 下一次收取的资金费率 * 365，显示成年化百分比</w:t>
            </w:r>
          </w:p>
          <w:p>
            <w:pPr>
              <w:spacing w:before="120" w:after="120" w:line="288" w:lineRule="auto"/>
              <w:ind w:left="0"/>
              <w:jc w:val="left"/>
            </w:pPr>
            <w:r>
              <w:rPr>
                <w:rFonts w:eastAsia="等线" w:ascii="Arial" w:cs="Arial" w:hAnsi="Arial"/>
                <w:sz w:val="22"/>
              </w:rPr>
              <w:t>（静态文案）下一次资金的多头和空头头寸之间交换的支付利率。如果资金利率为正，多头支付空头。如果为负，空头支付多头。</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24h成交量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24小时交易量，以USDT计价</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大额数值用K/M/B缩写</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未平仓合约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当前未平仓合约总价值，以USDT计价</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大额数值用K/M/B缩写</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24h最高价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24小时内最高成交价</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无特殊交互</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24h最低价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24小时内最低成交价</w:t>
            </w:r>
          </w:p>
        </w:tc>
        <w:tc>
          <w:tcPr>
            <w:tcW w:w="4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无特殊交互</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2.2.4 数值格式化规则</w:t>
      </w:r>
    </w:p>
    <w:p>
      <w:pPr>
        <w:numPr>
          <w:numId w:val="26"/>
        </w:numPr>
        <w:spacing w:before="120" w:after="120" w:line="288" w:lineRule="auto"/>
        <w:ind w:left="0"/>
        <w:jc w:val="left"/>
      </w:pPr>
      <w:r>
        <w:rPr>
          <w:rFonts w:eastAsia="等线" w:ascii="Arial" w:cs="Arial" w:hAnsi="Arial"/>
          <w:sz w:val="22"/>
        </w:rPr>
        <w:t>大额数值自动缩写：千（K）、百万（M）、十亿（B），保留两位小数。</w:t>
      </w:r>
    </w:p>
    <w:p>
      <w:pPr>
        <w:numPr>
          <w:numId w:val="27"/>
        </w:numPr>
        <w:spacing w:before="120" w:after="120" w:line="288" w:lineRule="auto"/>
        <w:ind w:left="0"/>
        <w:jc w:val="left"/>
      </w:pPr>
      <w:r>
        <w:rPr>
          <w:rFonts w:eastAsia="等线" w:ascii="Arial" w:cs="Arial" w:hAnsi="Arial"/>
          <w:sz w:val="22"/>
        </w:rPr>
        <w:t>示例：1,234,567 → 1.23M；60,230,000 → 60.23M。</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2.3 交易对切换浮窗</w:t>
      </w:r>
      <w:bookmarkEnd w:id="6"/>
    </w:p>
    <w:p>
      <w:pPr>
        <w:spacing w:before="120" w:after="120" w:line="288" w:lineRule="auto"/>
        <w:ind w:left="0"/>
        <w:jc w:val="left"/>
      </w:pPr>
      <w:r>
        <w:rPr>
          <w:rFonts w:eastAsia="等线" w:ascii="Arial" w:cs="Arial" w:hAnsi="Arial"/>
          <w:b w:val="true"/>
          <w:sz w:val="22"/>
        </w:rPr>
        <w:t>2.3.1 触发与关闭</w:t>
      </w:r>
    </w:p>
    <w:p>
      <w:pPr>
        <w:numPr>
          <w:numId w:val="28"/>
        </w:numPr>
        <w:spacing w:before="120" w:after="120" w:line="288" w:lineRule="auto"/>
        <w:ind w:left="0"/>
        <w:jc w:val="left"/>
      </w:pPr>
      <w:r>
        <w:rPr>
          <w:rFonts w:eastAsia="等线" w:ascii="Arial" w:cs="Arial" w:hAnsi="Arial"/>
          <w:sz w:val="22"/>
        </w:rPr>
        <w:t>点击市场信息栏的交易对名称/杠杆区域，弹出浮窗。</w:t>
      </w:r>
    </w:p>
    <w:p>
      <w:pPr>
        <w:numPr>
          <w:numId w:val="29"/>
        </w:numPr>
        <w:spacing w:before="120" w:after="120" w:line="288" w:lineRule="auto"/>
        <w:ind w:left="0"/>
        <w:jc w:val="left"/>
      </w:pPr>
      <w:r>
        <w:rPr>
          <w:rFonts w:eastAsia="等线" w:ascii="Arial" w:cs="Arial" w:hAnsi="Arial"/>
          <w:sz w:val="22"/>
        </w:rPr>
        <w:t>浮窗定位在触发按钮正下方，左对齐。</w:t>
      </w:r>
    </w:p>
    <w:p>
      <w:pPr>
        <w:numPr>
          <w:numId w:val="30"/>
        </w:numPr>
        <w:spacing w:before="120" w:after="120" w:line="288" w:lineRule="auto"/>
        <w:ind w:left="0"/>
        <w:jc w:val="left"/>
      </w:pPr>
      <w:r>
        <w:rPr>
          <w:rFonts w:eastAsia="等线" w:ascii="Arial" w:cs="Arial" w:hAnsi="Arial"/>
          <w:sz w:val="22"/>
        </w:rPr>
        <w:t>再次点击触发按钮、或点击浮窗外部、或选择某个交易对后，浮窗关闭。</w:t>
      </w:r>
    </w:p>
    <w:p>
      <w:pPr>
        <w:numPr>
          <w:numId w:val="31"/>
        </w:numPr>
        <w:spacing w:before="120" w:after="120" w:line="288" w:lineRule="auto"/>
        <w:ind w:left="0"/>
        <w:jc w:val="left"/>
      </w:pPr>
      <w:r>
        <w:rPr>
          <w:rFonts w:eastAsia="等线" w:ascii="Arial" w:cs="Arial" w:hAnsi="Arial"/>
          <w:sz w:val="22"/>
        </w:rPr>
        <w:t>浮窗为模态行为：出现时页面其他区域不可交互，关闭后恢复。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2.3.2 浮窗结构</w:t>
      </w:r>
    </w:p>
    <w:p>
      <w:pPr>
        <w:spacing w:before="120" w:after="120" w:line="288" w:lineRule="auto"/>
        <w:ind w:left="0"/>
        <w:jc w:val="left"/>
      </w:pPr>
      <w:r>
        <w:rPr>
          <w:rFonts w:eastAsia="等线" w:ascii="Arial" w:cs="Arial" w:hAnsi="Arial"/>
          <w:sz w:val="22"/>
        </w:rPr>
        <w:t>从上到下依次为：搜索框 → 分类标签栏 → 表头排序栏 → 行情列表。</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（1）搜索框</w:t>
      </w:r>
    </w:p>
    <w:p>
      <w:pPr>
        <w:numPr>
          <w:numId w:val="32"/>
        </w:numPr>
        <w:spacing w:before="120" w:after="120" w:line="288" w:lineRule="auto"/>
        <w:ind w:left="0"/>
        <w:jc w:val="left"/>
      </w:pPr>
      <w:r>
        <w:rPr>
          <w:rFonts w:eastAsia="等线" w:ascii="Arial" w:cs="Arial" w:hAnsi="Arial"/>
          <w:sz w:val="22"/>
        </w:rPr>
        <w:t>位置：分类标签栏上方。</w:t>
      </w:r>
    </w:p>
    <w:p>
      <w:pPr>
        <w:numPr>
          <w:numId w:val="33"/>
        </w:numPr>
        <w:spacing w:before="120" w:after="120" w:line="288" w:lineRule="auto"/>
        <w:ind w:left="0"/>
        <w:jc w:val="left"/>
      </w:pPr>
      <w:r>
        <w:rPr>
          <w:rFonts w:eastAsia="等线" w:ascii="Arial" w:cs="Arial" w:hAnsi="Arial"/>
          <w:sz w:val="22"/>
        </w:rPr>
        <w:t>功能：支持模糊搜索交易对名称（如输入“BTC”可匹配“BTCUSDT”）。</w:t>
      </w:r>
    </w:p>
    <w:p>
      <w:pPr>
        <w:numPr>
          <w:numId w:val="34"/>
        </w:numPr>
        <w:spacing w:before="120" w:after="120" w:line="288" w:lineRule="auto"/>
        <w:ind w:left="0"/>
        <w:jc w:val="left"/>
      </w:pPr>
      <w:r>
        <w:rPr>
          <w:rFonts w:eastAsia="等线" w:ascii="Arial" w:cs="Arial" w:hAnsi="Arial"/>
          <w:sz w:val="22"/>
        </w:rPr>
        <w:t>交互：输入后实时过滤当前标签下的交易对列表；清空搜索词恢复完整列表。</w:t>
      </w:r>
    </w:p>
    <w:p>
      <w:pPr>
        <w:numPr>
          <w:numId w:val="35"/>
        </w:numPr>
        <w:spacing w:before="120" w:after="120" w:line="288" w:lineRule="auto"/>
        <w:ind w:left="0"/>
        <w:jc w:val="left"/>
      </w:pPr>
      <w:r>
        <w:rPr>
          <w:rFonts w:eastAsia="等线" w:ascii="Arial" w:cs="Arial" w:hAnsi="Arial"/>
          <w:sz w:val="22"/>
        </w:rPr>
        <w:t>异常：若搜索无匹配结果，列表区域显示空状态提示文案（如“暫無匹配結果”）。</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（2）分类标签栏</w:t>
      </w:r>
    </w:p>
    <w:p>
      <w:pPr>
        <w:numPr>
          <w:numId w:val="36"/>
        </w:numPr>
        <w:spacing w:before="120" w:after="120" w:line="288" w:lineRule="auto"/>
        <w:ind w:left="0"/>
        <w:jc w:val="left"/>
      </w:pPr>
      <w:r>
        <w:rPr>
          <w:rFonts w:eastAsia="等线" w:ascii="Arial" w:cs="Arial" w:hAnsi="Arial"/>
          <w:sz w:val="22"/>
        </w:rPr>
        <w:t>支持横向滚动，适应标签数量扩展。</w:t>
      </w:r>
    </w:p>
    <w:p>
      <w:pPr>
        <w:numPr>
          <w:numId w:val="37"/>
        </w:numPr>
        <w:spacing w:before="120" w:after="120" w:line="288" w:lineRule="auto"/>
        <w:ind w:left="0"/>
        <w:jc w:val="left"/>
      </w:pPr>
      <w:r>
        <w:rPr>
          <w:rFonts w:eastAsia="等线" w:ascii="Arial" w:cs="Arial" w:hAnsi="Arial"/>
          <w:sz w:val="22"/>
        </w:rPr>
        <w:t>标签构成：</w:t>
      </w:r>
    </w:p>
    <w:p>
      <w:pPr>
        <w:numPr>
          <w:numId w:val="38"/>
        </w:numPr>
        <w:spacing w:before="120" w:after="120" w:line="288" w:lineRule="auto"/>
        <w:ind w:left="453"/>
        <w:jc w:val="left"/>
      </w:pPr>
      <w:r>
        <w:rPr>
          <w:rFonts w:eastAsia="等线" w:ascii="Arial" w:cs="Arial" w:hAnsi="Arial"/>
          <w:b w:val="true"/>
          <w:sz w:val="22"/>
        </w:rPr>
        <w:t>固定标签（不可被后台移除）</w:t>
      </w:r>
      <w:r>
        <w:rPr>
          <w:rFonts w:eastAsia="等线" w:ascii="Arial" w:cs="Arial" w:hAnsi="Arial"/>
          <w:sz w:val="22"/>
        </w:rPr>
        <w:t>：「收藏」「全部」「热门」，始终出现在标签栏最前面。</w:t>
      </w:r>
    </w:p>
    <w:p>
      <w:pPr>
        <w:numPr>
          <w:numId w:val="39"/>
        </w:numPr>
        <w:spacing w:before="120" w:after="120" w:line="288" w:lineRule="auto"/>
        <w:ind w:left="453"/>
        <w:jc w:val="left"/>
      </w:pPr>
      <w:r>
        <w:rPr>
          <w:rFonts w:eastAsia="等线" w:ascii="Arial" w:cs="Arial" w:hAnsi="Arial"/>
          <w:b w:val="true"/>
          <w:sz w:val="22"/>
        </w:rPr>
        <w:t>动态标签</w:t>
      </w:r>
      <w:r>
        <w:rPr>
          <w:rFonts w:eastAsia="等线" w:ascii="Arial" w:cs="Arial" w:hAnsi="Arial"/>
          <w:sz w:val="22"/>
        </w:rPr>
        <w:t>：由后台管理系统配置，前端根据返回的标签列表动态渲染。示例：新币上线、TradeFi、主流币、AI 等。</w:t>
      </w:r>
    </w:p>
    <w:p>
      <w:pPr>
        <w:numPr>
          <w:numId w:val="40"/>
        </w:numPr>
        <w:spacing w:before="120" w:after="120" w:line="288" w:lineRule="auto"/>
        <w:ind w:left="0"/>
        <w:jc w:val="left"/>
      </w:pPr>
      <w:r>
        <w:rPr>
          <w:rFonts w:eastAsia="等线" w:ascii="Arial" w:cs="Arial" w:hAnsi="Arial"/>
          <w:sz w:val="22"/>
        </w:rPr>
        <w:t>标签联动规则：</w:t>
      </w:r>
    </w:p>
    <w:p>
      <w:pPr>
        <w:numPr>
          <w:numId w:val="41"/>
        </w:numPr>
        <w:spacing w:before="120" w:after="120" w:line="288" w:lineRule="auto"/>
        <w:ind w:left="453"/>
        <w:jc w:val="left"/>
      </w:pPr>
      <w:r>
        <w:rPr>
          <w:rFonts w:eastAsia="等线" w:ascii="Arial" w:cs="Arial" w:hAnsi="Arial"/>
          <w:sz w:val="22"/>
        </w:rPr>
        <w:t>后台下架某标签时，该标签直接隐藏。</w:t>
      </w:r>
    </w:p>
    <w:p>
      <w:pPr>
        <w:numPr>
          <w:numId w:val="42"/>
        </w:numPr>
        <w:spacing w:before="120" w:after="120" w:line="288" w:lineRule="auto"/>
        <w:ind w:left="453"/>
        <w:jc w:val="left"/>
      </w:pPr>
      <w:r>
        <w:rPr>
          <w:rFonts w:eastAsia="等线" w:ascii="Arial" w:cs="Arial" w:hAnsi="Arial"/>
          <w:sz w:val="22"/>
        </w:rPr>
        <w:t>后台新增标签时，追加到标签栏末尾。</w:t>
      </w:r>
    </w:p>
    <w:p>
      <w:pPr>
        <w:numPr>
          <w:numId w:val="43"/>
        </w:numPr>
        <w:spacing w:before="120" w:after="120" w:line="288" w:lineRule="auto"/>
        <w:ind w:left="0"/>
        <w:jc w:val="left"/>
      </w:pPr>
      <w:r>
        <w:rPr>
          <w:rFonts w:eastAsia="等线" w:ascii="Arial" w:cs="Arial" w:hAnsi="Arial"/>
          <w:sz w:val="22"/>
        </w:rPr>
        <w:t>各标签行为：</w:t>
      </w:r>
    </w:p>
    <w:p>
      <w:pPr>
        <w:numPr>
          <w:numId w:val="44"/>
        </w:numPr>
        <w:spacing w:before="120" w:after="120" w:line="288" w:lineRule="auto"/>
        <w:ind w:left="453"/>
        <w:jc w:val="left"/>
      </w:pPr>
      <w:r>
        <w:rPr>
          <w:rFonts w:eastAsia="等线" w:ascii="Arial" w:cs="Arial" w:hAnsi="Arial"/>
          <w:b w:val="true"/>
          <w:sz w:val="22"/>
        </w:rPr>
        <w:t>「全部」</w:t>
      </w:r>
      <w:r>
        <w:rPr>
          <w:rFonts w:eastAsia="等线" w:ascii="Arial" w:cs="Arial" w:hAnsi="Arial"/>
          <w:sz w:val="22"/>
        </w:rPr>
        <w:t>：展示平台所有可交易交易对，按默认排序排列。搜索时范围为全部交易对。</w:t>
      </w:r>
    </w:p>
    <w:p>
      <w:pPr>
        <w:numPr>
          <w:numId w:val="45"/>
        </w:numPr>
        <w:spacing w:before="120" w:after="120" w:line="288" w:lineRule="auto"/>
        <w:ind w:left="453"/>
        <w:jc w:val="left"/>
      </w:pPr>
      <w:r>
        <w:rPr>
          <w:rFonts w:eastAsia="等线" w:ascii="Arial" w:cs="Arial" w:hAnsi="Arial"/>
          <w:b w:val="true"/>
          <w:sz w:val="22"/>
        </w:rPr>
        <w:t>「收藏」</w:t>
      </w:r>
      <w:r>
        <w:rPr>
          <w:rFonts w:eastAsia="等线" w:ascii="Arial" w:cs="Arial" w:hAnsi="Arial"/>
          <w:sz w:val="22"/>
        </w:rPr>
        <w:t>：展示用户已收藏的交易对。若无自选，显示空状态提示“暂無自選，快去添加吧”，并显示“编辑自选”按钮（铅笔图标），点击可进入批量删除、排序等操作。</w:t>
      </w:r>
    </w:p>
    <w:p>
      <w:pPr>
        <w:numPr>
          <w:numId w:val="46"/>
        </w:numPr>
        <w:spacing w:before="120" w:after="120" w:line="288" w:lineRule="auto"/>
        <w:ind w:left="453"/>
        <w:jc w:val="left"/>
      </w:pPr>
      <w:r>
        <w:rPr>
          <w:rFonts w:eastAsia="等线" w:ascii="Arial" w:cs="Arial" w:hAnsi="Arial"/>
          <w:b w:val="true"/>
          <w:sz w:val="22"/>
        </w:rPr>
        <w:t>「热门」</w:t>
      </w:r>
      <w:r>
        <w:rPr>
          <w:rFonts w:eastAsia="等线" w:ascii="Arial" w:cs="Arial" w:hAnsi="Arial"/>
          <w:sz w:val="22"/>
        </w:rPr>
        <w:t>：</w:t>
      </w:r>
      <w:hyperlink r:id="rId6">
        <w:r>
          <w:rPr>
            <w:rFonts w:eastAsia="等线" w:ascii="Arial" w:cs="Arial" w:hAnsi="Arial"/>
            <w:color w:val="3370ff"/>
            <w:sz w:val="22"/>
          </w:rPr>
          <w:t>“热门”标签的特殊排序与填充逻辑</w:t>
        </w:r>
      </w:hyperlink>
    </w:p>
    <w:p>
      <w:pPr>
        <w:numPr>
          <w:numId w:val="47"/>
        </w:numPr>
        <w:spacing w:before="120" w:after="120" w:line="288" w:lineRule="auto"/>
        <w:ind w:left="453"/>
        <w:jc w:val="left"/>
      </w:pPr>
      <w:r>
        <w:rPr>
          <w:rFonts w:eastAsia="等线" w:ascii="Arial" w:cs="Arial" w:hAnsi="Arial"/>
          <w:b w:val="true"/>
          <w:sz w:val="22"/>
        </w:rPr>
        <w:t>动态标签</w:t>
      </w:r>
      <w:r>
        <w:rPr>
          <w:rFonts w:eastAsia="等线" w:ascii="Arial" w:cs="Arial" w:hAnsi="Arial"/>
          <w:sz w:val="22"/>
        </w:rPr>
        <w:t>：仅展示带有该标签的交易对列表。</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（3）表头排序栏</w:t>
      </w:r>
    </w:p>
    <w:p>
      <w:pPr>
        <w:spacing w:before="120" w:after="120" w:line="288" w:lineRule="auto"/>
        <w:ind w:left="0"/>
        <w:jc w:val="left"/>
      </w:pPr>
      <w:r>
        <w:rPr>
          <w:rFonts w:eastAsia="等线" w:ascii="Arial" w:cs="Arial" w:hAnsi="Arial"/>
          <w:sz w:val="22"/>
        </w:rPr>
        <w:t>每列均支持点击排序，当前排序列的箭头高亮为黑色，其余为灰色。</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排序能力</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按交易对名称字母排序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按最新价数值排序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24H涨跌幅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按涨跌幅百分比排序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交易量</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按24h成交额排序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未平合约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按未平仓合约价值排序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资金费率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按当前资金费率排序</w:t>
            </w:r>
          </w:p>
        </w:tc>
      </w:tr>
    </w:tbl>
    <w:p>
      <w:pPr>
        <w:numPr>
          <w:numId w:val="48"/>
        </w:numPr>
        <w:spacing w:before="120" w:after="120" w:line="288" w:lineRule="auto"/>
        <w:ind w:left="0"/>
        <w:jc w:val="left"/>
      </w:pPr>
      <w:r>
        <w:rPr>
          <w:rFonts w:eastAsia="等线" w:ascii="Arial" w:cs="Arial" w:hAnsi="Arial"/>
          <w:sz w:val="22"/>
        </w:rPr>
        <w:t>每列排序支持升序/降序切换，默认排序为交易量降序。</w:t>
      </w:r>
    </w:p>
    <w:p>
      <w:pPr>
        <w:numPr>
          <w:numId w:val="49"/>
        </w:numPr>
        <w:spacing w:before="120" w:after="120" w:line="288" w:lineRule="auto"/>
        <w:ind w:left="0"/>
        <w:jc w:val="left"/>
      </w:pPr>
      <w:r>
        <w:rPr>
          <w:rFonts w:eastAsia="等线" w:ascii="Arial" w:cs="Arial" w:hAnsi="Arial"/>
          <w:sz w:val="22"/>
        </w:rPr>
        <w:t>排序仅在当前选中标签和搜索结果内生效。</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（4）行情列表</w:t>
      </w:r>
    </w:p>
    <w:p>
      <w:pPr>
        <w:spacing w:before="120" w:after="120" w:line="288" w:lineRule="auto"/>
        <w:ind w:left="0"/>
        <w:jc w:val="left"/>
      </w:pPr>
      <w:r>
        <w:rPr>
          <w:rFonts w:eastAsia="等线" w:ascii="Arial" w:cs="Arial" w:hAnsi="Arial"/>
          <w:sz w:val="22"/>
        </w:rPr>
        <w:t>列表项按行展示，每行一个交易对，包含以下字段：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15"/>
        <w:gridCol w:w="6765"/>
      </w:tblGrid>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收藏星标</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空心五角星图标，点击可收藏/取消收藏该交易对</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合约名称</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 BTCUSDT，字体加粗</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杠杆标签</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如“100x”，显示该交易对最大杠杆倍数</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最新价</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当前最新成交价，保留适当小数位</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24H涨跌幅</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百分比显示，涨为绿色、跌为红色，带正负号</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交易量</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24h成交额，以USDT计价，大额使用K/M/B缩写</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未平合约</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未平仓合约总价值，以USDT计价，大额使用K/M/B缩写</w:t>
            </w:r>
          </w:p>
        </w:tc>
      </w:tr>
      <w:tr>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资金费率</w:t>
            </w:r>
          </w:p>
        </w:tc>
        <w:tc>
          <w:tcPr>
            <w:tcW w:w="6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当前资金费率，带正负号</w:t>
            </w:r>
          </w:p>
        </w:tc>
      </w:tr>
    </w:tbl>
    <w:p>
      <w:pPr>
        <w:numPr>
          <w:numId w:val="50"/>
        </w:numPr>
        <w:spacing w:before="120" w:after="120" w:line="288" w:lineRule="auto"/>
        <w:ind w:left="0"/>
        <w:jc w:val="left"/>
      </w:pPr>
      <w:r>
        <w:rPr>
          <w:rFonts w:eastAsia="等线" w:ascii="Arial" w:cs="Arial" w:hAnsi="Arial"/>
          <w:sz w:val="22"/>
        </w:rPr>
        <w:t>点击某行交易对，切换当前页面的交易对为该合约，并关闭浮窗，页面数据（K线、订单簿、市场信息等）同步刷新。</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（5）数据更新策略</w:t>
      </w:r>
    </w:p>
    <w:p>
      <w:pPr>
        <w:numPr>
          <w:numId w:val="51"/>
        </w:numPr>
        <w:spacing w:before="120" w:after="120" w:line="288" w:lineRule="auto"/>
        <w:ind w:left="0"/>
        <w:jc w:val="left"/>
      </w:pPr>
      <w:r>
        <w:rPr>
          <w:rFonts w:eastAsia="等线" w:ascii="Arial" w:cs="Arial" w:hAnsi="Arial"/>
          <w:sz w:val="22"/>
        </w:rPr>
        <w:t>浮窗内行情数据需实时或准实时更新，可采用 WebSocket 推送或定时轮询。</w:t>
      </w:r>
    </w:p>
    <w:p>
      <w:pPr>
        <w:numPr>
          <w:numId w:val="52"/>
        </w:numPr>
        <w:spacing w:before="120" w:after="120" w:line="288" w:lineRule="auto"/>
        <w:ind w:left="0"/>
        <w:jc w:val="left"/>
      </w:pPr>
      <w:r>
        <w:rPr>
          <w:rFonts w:eastAsia="等线" w:ascii="Arial" w:cs="Arial" w:hAnsi="Arial"/>
          <w:sz w:val="22"/>
        </w:rPr>
        <w:t>更新时仅刷新变化的字段，避免整列表重绘。</w:t>
      </w:r>
    </w:p>
    <w:p>
      <w:pPr>
        <w:numPr>
          <w:numId w:val="53"/>
        </w:numPr>
        <w:spacing w:before="120" w:after="120" w:line="288" w:lineRule="auto"/>
        <w:ind w:left="0"/>
        <w:jc w:val="left"/>
      </w:pPr>
      <w:r>
        <w:rPr>
          <w:rFonts w:eastAsia="等线" w:ascii="Arial" w:cs="Arial" w:hAnsi="Arial"/>
          <w:sz w:val="22"/>
        </w:rPr>
        <w:t>若连续多次更新失败，列表进入异常状态并提示用户。</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2.4 自选功能</w:t>
      </w:r>
      <w:bookmarkEnd w:id="7"/>
    </w:p>
    <w:p>
      <w:pPr>
        <w:numPr>
          <w:numId w:val="54"/>
        </w:numPr>
        <w:spacing w:before="120" w:after="120" w:line="288" w:lineRule="auto"/>
        <w:ind w:left="0"/>
        <w:jc w:val="left"/>
      </w:pPr>
      <w:r>
        <w:rPr>
          <w:rFonts w:eastAsia="等线" w:ascii="Arial" w:cs="Arial" w:hAnsi="Arial"/>
          <w:sz w:val="22"/>
        </w:rPr>
        <w:t>在行情列表或交易对详情中，点击星形图标可添加/移除收藏。</w:t>
      </w:r>
    </w:p>
    <w:p>
      <w:pPr>
        <w:numPr>
          <w:numId w:val="55"/>
        </w:numPr>
        <w:spacing w:before="120" w:after="120" w:line="288" w:lineRule="auto"/>
        <w:ind w:left="0"/>
        <w:jc w:val="left"/>
      </w:pPr>
      <w:r>
        <w:rPr>
          <w:rFonts w:eastAsia="等线" w:ascii="Arial" w:cs="Arial" w:hAnsi="Arial"/>
          <w:sz w:val="22"/>
        </w:rPr>
        <w:t>收藏状态需持久化保存，登录后同步。</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8" w:id="8"/>
      <w:r>
        <w:rPr>
          <w:rFonts w:eastAsia="等线" w:ascii="Arial" w:cs="Arial" w:hAnsi="Arial"/>
          <w:b w:val="true"/>
          <w:sz w:val="36"/>
        </w:rPr>
        <w:t>3. 图表区域</w:t>
      </w:r>
      <w:bookmarkEnd w:id="8"/>
    </w:p>
    <w:p>
      <w:pPr>
        <w:pStyle w:val="2"/>
        <w:spacing w:before="320" w:after="120" w:line="288" w:lineRule="auto"/>
        <w:ind w:left="0"/>
        <w:jc w:val="left"/>
        <w:outlineLvl w:val="1"/>
      </w:pPr>
      <w:bookmarkStart w:name="heading_9" w:id="9"/>
      <w:r>
        <w:rPr>
          <w:rFonts w:eastAsia="等线" w:ascii="Arial" w:cs="Arial" w:hAnsi="Arial"/>
          <w:b w:val="true"/>
          <w:sz w:val="32"/>
        </w:rPr>
        <w:t>3.1 功能概述</w:t>
      </w:r>
      <w:bookmarkEnd w:id="9"/>
    </w:p>
    <w:p>
      <w:pPr>
        <w:spacing w:before="120" w:after="120" w:line="288" w:lineRule="auto"/>
        <w:ind w:left="0"/>
        <w:jc w:val="left"/>
      </w:pPr>
      <w:r>
        <w:rPr>
          <w:rFonts w:eastAsia="等线" w:ascii="Arial" w:cs="Arial" w:hAnsi="Arial"/>
          <w:sz w:val="22"/>
        </w:rPr>
        <w:t>图表区域为合约交易页面的核心可视化模块，支持四个子视图切换：K线图、深度图、合约详情、资金费率。默认展示K线图。</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3.2 子视图切换</w:t>
      </w:r>
      <w:bookmarkEnd w:id="10"/>
    </w:p>
    <w:p>
      <w:pPr>
        <w:numPr>
          <w:numId w:val="56"/>
        </w:numPr>
        <w:spacing w:before="120" w:after="120" w:line="288" w:lineRule="auto"/>
        <w:ind w:left="0"/>
        <w:jc w:val="left"/>
      </w:pPr>
      <w:r>
        <w:rPr>
          <w:rFonts w:eastAsia="等线" w:ascii="Arial" w:cs="Arial" w:hAnsi="Arial"/>
          <w:sz w:val="22"/>
        </w:rPr>
        <w:t>顶部右侧提供四个切换按钮：图表、深度、详情、资金费率。</w:t>
      </w:r>
    </w:p>
    <w:p>
      <w:pPr>
        <w:numPr>
          <w:numId w:val="57"/>
        </w:numPr>
        <w:spacing w:before="120" w:after="120" w:line="288" w:lineRule="auto"/>
        <w:ind w:left="0"/>
        <w:jc w:val="left"/>
      </w:pPr>
      <w:r>
        <w:rPr>
          <w:rFonts w:eastAsia="等线" w:ascii="Arial" w:cs="Arial" w:hAnsi="Arial"/>
          <w:sz w:val="22"/>
        </w:rPr>
        <w:t>当前激活的视图按钮以深色背景高亮，其余为灰色。</w:t>
      </w:r>
    </w:p>
    <w:p>
      <w:pPr>
        <w:numPr>
          <w:numId w:val="58"/>
        </w:numPr>
        <w:spacing w:before="120" w:after="120" w:line="288" w:lineRule="auto"/>
        <w:ind w:left="0"/>
        <w:jc w:val="left"/>
      </w:pPr>
      <w:r>
        <w:rPr>
          <w:rFonts w:eastAsia="等线" w:ascii="Arial" w:cs="Arial" w:hAnsi="Arial"/>
          <w:sz w:val="22"/>
        </w:rPr>
        <w:t>点击按钮切换到对应视图，切换时保留当前交易对上下文。</w:t>
      </w:r>
    </w:p>
    <w:p>
      <w:pPr>
        <w:numPr>
          <w:numId w:val="59"/>
        </w:numPr>
        <w:spacing w:before="120" w:after="120" w:line="288" w:lineRule="auto"/>
        <w:ind w:left="0"/>
        <w:jc w:val="left"/>
      </w:pPr>
      <w:r>
        <w:rPr>
          <w:rFonts w:eastAsia="等线" w:ascii="Arial" w:cs="Arial" w:hAnsi="Arial"/>
          <w:sz w:val="22"/>
        </w:rPr>
        <w:t>四个视图共用同一区域，切换时仅显示当前视图，隐藏其余。</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3.3 K线图视图</w:t>
      </w:r>
      <w:bookmarkEnd w:id="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3.3.1 功能概述</w:t>
      </w:r>
    </w:p>
    <w:p>
      <w:pPr>
        <w:spacing w:before="120" w:after="120" w:line="288" w:lineRule="auto"/>
        <w:ind w:left="0"/>
        <w:jc w:val="left"/>
      </w:pPr>
      <w:r>
        <w:rPr>
          <w:rFonts w:eastAsia="等线" w:ascii="Arial" w:cs="Arial" w:hAnsi="Arial"/>
          <w:sz w:val="22"/>
        </w:rPr>
        <w:t>K线图区域集成第三方图表组件（如 TradingView），提供专业级K线图表分析功能。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3.3.2 图表工具条</w:t>
      </w:r>
    </w:p>
    <w:p>
      <w:pPr>
        <w:spacing w:before="120" w:after="120" w:line="288" w:lineRule="auto"/>
        <w:ind w:left="0"/>
        <w:jc w:val="left"/>
      </w:pPr>
      <w:r>
        <w:rPr>
          <w:rFonts w:eastAsia="等线" w:ascii="Arial" w:cs="Arial" w:hAnsi="Arial"/>
          <w:b w:val="true"/>
          <w:sz w:val="22"/>
        </w:rPr>
        <w:t>（1）时间周期切换</w:t>
      </w:r>
    </w:p>
    <w:p>
      <w:pPr>
        <w:numPr>
          <w:numId w:val="60"/>
        </w:numPr>
        <w:spacing w:before="120" w:after="120" w:line="288" w:lineRule="auto"/>
        <w:ind w:left="0"/>
        <w:jc w:val="left"/>
      </w:pPr>
      <w:r>
        <w:rPr>
          <w:rFonts w:eastAsia="等线" w:ascii="Arial" w:cs="Arial" w:hAnsi="Arial"/>
          <w:sz w:val="22"/>
        </w:rPr>
        <w:t>位置：图表左上方。</w:t>
      </w:r>
    </w:p>
    <w:p>
      <w:pPr>
        <w:numPr>
          <w:numId w:val="61"/>
        </w:numPr>
        <w:spacing w:before="120" w:after="120" w:line="288" w:lineRule="auto"/>
        <w:ind w:left="0"/>
        <w:jc w:val="left"/>
      </w:pPr>
      <w:r>
        <w:rPr>
          <w:rFonts w:eastAsia="等线" w:ascii="Arial" w:cs="Arial" w:hAnsi="Arial"/>
          <w:sz w:val="22"/>
        </w:rPr>
        <w:t>可选周期：1分、5分、15分、30分、1小时、4小时、天、周、月。</w:t>
      </w:r>
    </w:p>
    <w:p>
      <w:pPr>
        <w:numPr>
          <w:numId w:val="62"/>
        </w:numPr>
        <w:spacing w:before="120" w:after="120" w:line="288" w:lineRule="auto"/>
        <w:ind w:left="0"/>
        <w:jc w:val="left"/>
      </w:pPr>
      <w:r>
        <w:rPr>
          <w:rFonts w:eastAsia="等线" w:ascii="Arial" w:cs="Arial" w:hAnsi="Arial"/>
          <w:sz w:val="22"/>
        </w:rPr>
        <w:t>当前选中周期以蓝色高亮显示。</w:t>
      </w:r>
    </w:p>
    <w:p>
      <w:pPr>
        <w:numPr>
          <w:numId w:val="63"/>
        </w:numPr>
        <w:spacing w:before="120" w:after="120" w:line="288" w:lineRule="auto"/>
        <w:ind w:left="0"/>
        <w:jc w:val="left"/>
      </w:pPr>
      <w:r>
        <w:rPr>
          <w:rFonts w:eastAsia="等线" w:ascii="Arial" w:cs="Arial" w:hAnsi="Arial"/>
          <w:sz w:val="22"/>
        </w:rPr>
        <w:t>点击周期按钮，图表切换至对应时间粒度。</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（2）K线自定义</w:t>
      </w:r>
    </w:p>
    <w:p>
      <w:pPr>
        <w:numPr>
          <w:numId w:val="64"/>
        </w:numPr>
        <w:spacing w:before="120" w:after="120" w:line="288" w:lineRule="auto"/>
        <w:ind w:left="0"/>
        <w:jc w:val="left"/>
      </w:pPr>
      <w:r>
        <w:rPr>
          <w:rFonts w:eastAsia="等线" w:ascii="Arial" w:cs="Arial" w:hAnsi="Arial"/>
          <w:sz w:val="22"/>
        </w:rPr>
        <w:t>位于周期切换右侧，提供以下图标按钮：</w:t>
      </w:r>
    </w:p>
    <w:p>
      <w:pPr>
        <w:numPr>
          <w:numId w:val="65"/>
        </w:numPr>
        <w:spacing w:before="120" w:after="120" w:line="288" w:lineRule="auto"/>
        <w:ind w:left="453"/>
        <w:jc w:val="left"/>
      </w:pPr>
      <w:r>
        <w:rPr>
          <w:rFonts w:eastAsia="等线" w:ascii="Arial" w:cs="Arial" w:hAnsi="Arial"/>
          <w:sz w:val="22"/>
        </w:rPr>
        <w:t>一个K线的图标：支持K线类型切换（如美国线、K线、空心K线、柱状图等）。</w:t>
      </w:r>
    </w:p>
    <w:p>
      <w:pPr>
        <w:numPr>
          <w:numId w:val="66"/>
        </w:numPr>
        <w:spacing w:before="120" w:after="120" w:line="288" w:lineRule="auto"/>
        <w:ind w:left="453"/>
        <w:jc w:val="left"/>
      </w:pPr>
      <w:r>
        <w:rPr>
          <w:rFonts w:eastAsia="等线" w:ascii="Arial" w:cs="Arial" w:hAnsi="Arial"/>
          <w:sz w:val="22"/>
        </w:rPr>
        <w:t>“技术指标”按钮：点击支持 TradingView 的热门指标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（3）左侧纵向画图工具栏</w:t>
      </w:r>
    </w:p>
    <w:p>
      <w:pPr>
        <w:numPr>
          <w:numId w:val="67"/>
        </w:numPr>
        <w:spacing w:before="120" w:after="120" w:line="288" w:lineRule="auto"/>
        <w:ind w:left="0"/>
        <w:jc w:val="left"/>
      </w:pPr>
      <w:r>
        <w:rPr>
          <w:rFonts w:eastAsia="等线" w:ascii="Arial" w:cs="Arial" w:hAnsi="Arial"/>
          <w:sz w:val="22"/>
        </w:rPr>
        <w:t>位于图表最左侧，提供垂直排列的快捷画图的工具栏：</w:t>
      </w:r>
    </w:p>
    <w:p>
      <w:pPr>
        <w:numPr>
          <w:numId w:val="68"/>
        </w:numPr>
        <w:spacing w:before="120" w:after="120" w:line="288" w:lineRule="auto"/>
        <w:ind w:left="453"/>
        <w:jc w:val="left"/>
      </w:pPr>
      <w:r>
        <w:rPr>
          <w:rFonts w:eastAsia="等线" w:ascii="Arial" w:cs="Arial" w:hAnsi="Arial"/>
          <w:sz w:val="22"/>
        </w:rPr>
        <w:t>十字准线/光标切换。</w:t>
      </w:r>
    </w:p>
    <w:p>
      <w:pPr>
        <w:numPr>
          <w:numId w:val="69"/>
        </w:numPr>
        <w:spacing w:before="120" w:after="120" w:line="288" w:lineRule="auto"/>
        <w:ind w:left="453"/>
        <w:jc w:val="left"/>
      </w:pPr>
      <w:r>
        <w:rPr>
          <w:rFonts w:eastAsia="等线" w:ascii="Arial" w:cs="Arial" w:hAnsi="Arial"/>
          <w:sz w:val="22"/>
        </w:rPr>
        <w:t>价格刻度切换。</w:t>
      </w:r>
    </w:p>
    <w:p>
      <w:pPr>
        <w:numPr>
          <w:numId w:val="70"/>
        </w:numPr>
        <w:spacing w:before="120" w:after="120" w:line="288" w:lineRule="auto"/>
        <w:ind w:left="453"/>
        <w:jc w:val="left"/>
      </w:pPr>
      <w:r>
        <w:rPr>
          <w:rFonts w:eastAsia="等线" w:ascii="Arial" w:cs="Arial" w:hAnsi="Arial"/>
          <w:sz w:val="22"/>
        </w:rPr>
        <w:t>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（4）图表显示模式</w:t>
      </w:r>
    </w:p>
    <w:p>
      <w:pPr>
        <w:numPr>
          <w:numId w:val="71"/>
        </w:numPr>
        <w:spacing w:before="120" w:after="120" w:line="288" w:lineRule="auto"/>
        <w:ind w:left="0"/>
        <w:jc w:val="left"/>
      </w:pPr>
      <w:r>
        <w:rPr>
          <w:rFonts w:eastAsia="等线" w:ascii="Arial" w:cs="Arial" w:hAnsi="Arial"/>
          <w:sz w:val="22"/>
        </w:rPr>
        <w:t>右侧提供百分比/对数坐标切换按钮：</w:t>
      </w:r>
    </w:p>
    <w:p>
      <w:pPr>
        <w:numPr>
          <w:numId w:val="72"/>
        </w:numPr>
        <w:spacing w:before="120" w:after="120" w:line="288" w:lineRule="auto"/>
        <w:ind w:left="453"/>
        <w:jc w:val="left"/>
      </w:pPr>
      <w:r>
        <w:rPr>
          <w:rFonts w:eastAsia="等线" w:ascii="Arial" w:cs="Arial" w:hAnsi="Arial"/>
          <w:sz w:val="22"/>
        </w:rPr>
        <w:t>“%”：切换为百分比坐标模式。</w:t>
      </w:r>
    </w:p>
    <w:p>
      <w:pPr>
        <w:numPr>
          <w:numId w:val="73"/>
        </w:numPr>
        <w:spacing w:before="120" w:after="120" w:line="288" w:lineRule="auto"/>
        <w:ind w:left="453"/>
        <w:jc w:val="left"/>
      </w:pPr>
      <w:r>
        <w:rPr>
          <w:rFonts w:eastAsia="等线" w:ascii="Arial" w:cs="Arial" w:hAnsi="Arial"/>
          <w:sz w:val="22"/>
        </w:rPr>
        <w:t>“log”：切换为对数坐标模式。</w:t>
      </w:r>
    </w:p>
    <w:p>
      <w:pPr>
        <w:numPr>
          <w:numId w:val="74"/>
        </w:numPr>
        <w:spacing w:before="120" w:after="120" w:line="288" w:lineRule="auto"/>
        <w:ind w:left="453"/>
        <w:jc w:val="left"/>
      </w:pPr>
      <w:r>
        <w:rPr>
          <w:rFonts w:eastAsia="等线" w:ascii="Arial" w:cs="Arial" w:hAnsi="Arial"/>
          <w:sz w:val="22"/>
        </w:rPr>
        <w:t>当前激活模式高亮显示。</w:t>
      </w:r>
    </w:p>
    <w:p>
      <w:pPr>
        <w:numPr>
          <w:numId w:val="75"/>
        </w:numPr>
        <w:spacing w:before="120" w:after="120" w:line="288" w:lineRule="auto"/>
        <w:ind w:left="0"/>
        <w:jc w:val="left"/>
      </w:pPr>
      <w:r>
        <w:rPr>
          <w:rFonts w:eastAsia="等线" w:ascii="Arial" w:cs="Arial" w:hAnsi="Arial"/>
          <w:sz w:val="22"/>
        </w:rPr>
        <w:t>提供“自动”按钮，点击切换为自动坐标模式（默认激活）。</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（5）价格类型切换</w:t>
      </w:r>
    </w:p>
    <w:p>
      <w:pPr>
        <w:numPr>
          <w:numId w:val="76"/>
        </w:numPr>
        <w:spacing w:before="120" w:after="120" w:line="288" w:lineRule="auto"/>
        <w:ind w:left="0"/>
        <w:jc w:val="left"/>
      </w:pPr>
      <w:r>
        <w:rPr>
          <w:rFonts w:eastAsia="等线" w:ascii="Arial" w:cs="Arial" w:hAnsi="Arial"/>
          <w:sz w:val="22"/>
        </w:rPr>
        <w:t>“最新价格”下拉：可选择按最新价、标记价、指数价等切换图表价格显示基准。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（6）配置记忆</w:t>
      </w:r>
    </w:p>
    <w:p>
      <w:pPr>
        <w:numPr>
          <w:numId w:val="77"/>
        </w:numPr>
        <w:spacing w:before="120" w:after="120" w:line="288" w:lineRule="auto"/>
        <w:ind w:left="0"/>
        <w:jc w:val="left"/>
      </w:pPr>
      <w:r>
        <w:rPr>
          <w:rFonts w:eastAsia="等线" w:ascii="Arial" w:cs="Arial" w:hAnsi="Arial"/>
          <w:sz w:val="22"/>
        </w:rPr>
        <w:t>以上的 1、2、4、5 配置后，以记忆到缓存内的，用户切换交易对，仍显示对应的配置。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3.3.3 图表主体</w:t>
      </w:r>
    </w:p>
    <w:p>
      <w:pPr>
        <w:spacing w:before="120" w:after="120" w:line="288" w:lineRule="auto"/>
        <w:ind w:left="0"/>
        <w:jc w:val="left"/>
      </w:pPr>
      <w:r>
        <w:rPr>
          <w:rFonts w:eastAsia="等线" w:ascii="Arial" w:cs="Arial" w:hAnsi="Arial"/>
          <w:b w:val="true"/>
          <w:sz w:val="22"/>
        </w:rPr>
        <w:t>（1）OHLC 行情信息</w:t>
      </w:r>
    </w:p>
    <w:p>
      <w:pPr>
        <w:numPr>
          <w:numId w:val="78"/>
        </w:numPr>
        <w:spacing w:before="120" w:after="120" w:line="288" w:lineRule="auto"/>
        <w:ind w:left="0"/>
        <w:jc w:val="left"/>
      </w:pPr>
      <w:r>
        <w:rPr>
          <w:rFonts w:eastAsia="等线" w:ascii="Arial" w:cs="Arial" w:hAnsi="Arial"/>
          <w:sz w:val="22"/>
        </w:rPr>
        <w:t>图表左上角叠加显示当前周期的开盘价、最高价、最低价、收盘价（或实时最新价）。</w:t>
      </w:r>
    </w:p>
    <w:p>
      <w:pPr>
        <w:numPr>
          <w:numId w:val="79"/>
        </w:numPr>
        <w:spacing w:before="120" w:after="120" w:line="288" w:lineRule="auto"/>
        <w:ind w:left="0"/>
        <w:jc w:val="left"/>
      </w:pPr>
      <w:r>
        <w:rPr>
          <w:rFonts w:eastAsia="等线" w:ascii="Arial" w:cs="Arial" w:hAnsi="Arial"/>
          <w:sz w:val="22"/>
        </w:rPr>
        <w:t>涨跌数值以绿色/红色区分。</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（2）K线主图</w:t>
      </w:r>
    </w:p>
    <w:p>
      <w:pPr>
        <w:numPr>
          <w:numId w:val="80"/>
        </w:numPr>
        <w:spacing w:before="120" w:after="120" w:line="288" w:lineRule="auto"/>
        <w:ind w:left="0"/>
        <w:jc w:val="left"/>
      </w:pPr>
      <w:r>
        <w:rPr>
          <w:rFonts w:eastAsia="等线" w:ascii="Arial" w:cs="Arial" w:hAnsi="Arial"/>
          <w:sz w:val="22"/>
        </w:rPr>
        <w:t>以蜡烛图形式展示价格走势。</w:t>
      </w:r>
    </w:p>
    <w:p>
      <w:pPr>
        <w:numPr>
          <w:numId w:val="81"/>
        </w:numPr>
        <w:spacing w:before="120" w:after="120" w:line="288" w:lineRule="auto"/>
        <w:ind w:left="0"/>
        <w:jc w:val="left"/>
      </w:pPr>
      <w:r>
        <w:rPr>
          <w:rFonts w:eastAsia="等线" w:ascii="Arial" w:cs="Arial" w:hAnsi="Arial"/>
          <w:sz w:val="22"/>
        </w:rPr>
        <w:t>红色蜡烛表示下跌，绿色蜡烛表示上涨。</w:t>
      </w:r>
    </w:p>
    <w:p>
      <w:pPr>
        <w:numPr>
          <w:numId w:val="82"/>
        </w:numPr>
        <w:spacing w:before="120" w:after="120" w:line="288" w:lineRule="auto"/>
        <w:ind w:left="0"/>
        <w:jc w:val="left"/>
      </w:pPr>
      <w:r>
        <w:rPr>
          <w:rFonts w:eastAsia="等线" w:ascii="Arial" w:cs="Arial" w:hAnsi="Arial"/>
          <w:sz w:val="22"/>
        </w:rPr>
        <w:t>右侧纵轴显示价格刻度，动态适配当前可见价格范围。</w:t>
      </w:r>
    </w:p>
    <w:p>
      <w:pPr>
        <w:numPr>
          <w:numId w:val="83"/>
        </w:numPr>
        <w:spacing w:before="120" w:after="120" w:line="288" w:lineRule="auto"/>
        <w:ind w:left="0"/>
        <w:jc w:val="left"/>
      </w:pPr>
      <w:r>
        <w:rPr>
          <w:rFonts w:eastAsia="等线" w:ascii="Arial" w:cs="Arial" w:hAnsi="Arial"/>
          <w:sz w:val="22"/>
        </w:rPr>
        <w:t>横轴底部显示时间轴，自动根据周期格式化为对应日期/时间标签。</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（3）成交量副图</w:t>
      </w:r>
    </w:p>
    <w:p>
      <w:pPr>
        <w:numPr>
          <w:numId w:val="84"/>
        </w:numPr>
        <w:spacing w:before="120" w:after="120" w:line="288" w:lineRule="auto"/>
        <w:ind w:left="0"/>
        <w:jc w:val="left"/>
      </w:pPr>
      <w:r>
        <w:rPr>
          <w:rFonts w:eastAsia="等线" w:ascii="Arial" w:cs="Arial" w:hAnsi="Arial"/>
          <w:sz w:val="22"/>
        </w:rPr>
        <w:t>主图下方展示成交量柱状图。</w:t>
      </w:r>
    </w:p>
    <w:p>
      <w:pPr>
        <w:numPr>
          <w:numId w:val="85"/>
        </w:numPr>
        <w:spacing w:before="120" w:after="120" w:line="288" w:lineRule="auto"/>
        <w:ind w:left="0"/>
        <w:jc w:val="left"/>
      </w:pPr>
      <w:r>
        <w:rPr>
          <w:rFonts w:eastAsia="等线" w:ascii="Arial" w:cs="Arial" w:hAnsi="Arial"/>
          <w:sz w:val="22"/>
        </w:rPr>
        <w:t>柱状图颜色与对应K线颜色一致（红跌绿涨）。</w:t>
      </w:r>
    </w:p>
    <w:p>
      <w:pPr>
        <w:numPr>
          <w:numId w:val="86"/>
        </w:numPr>
        <w:spacing w:before="120" w:after="120" w:line="288" w:lineRule="auto"/>
        <w:ind w:left="0"/>
        <w:jc w:val="left"/>
      </w:pPr>
      <w:r>
        <w:rPr>
          <w:rFonts w:eastAsia="等线" w:ascii="Arial" w:cs="Arial" w:hAnsi="Arial"/>
          <w:sz w:val="22"/>
        </w:rPr>
        <w:t>右侧纵轴显示成交量刻度。</w:t>
      </w:r>
    </w:p>
    <w:p>
      <w:pPr>
        <w:numPr>
          <w:numId w:val="87"/>
        </w:numPr>
        <w:spacing w:before="120" w:after="120" w:line="288" w:lineRule="auto"/>
        <w:ind w:left="0"/>
        <w:jc w:val="left"/>
      </w:pPr>
      <w:r>
        <w:rPr>
          <w:rFonts w:eastAsia="等线" w:ascii="Arial" w:cs="Arial" w:hAnsi="Arial"/>
          <w:sz w:val="22"/>
        </w:rPr>
        <w:t>成交量图顶部可叠加显示 SMA（移动平均线）数值。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（4）最新价指示线</w:t>
      </w:r>
    </w:p>
    <w:p>
      <w:pPr>
        <w:numPr>
          <w:numId w:val="88"/>
        </w:numPr>
        <w:spacing w:before="120" w:after="120" w:line="288" w:lineRule="auto"/>
        <w:ind w:left="0"/>
        <w:jc w:val="left"/>
      </w:pPr>
      <w:r>
        <w:rPr>
          <w:rFonts w:eastAsia="等线" w:ascii="Arial" w:cs="Arial" w:hAnsi="Arial"/>
          <w:sz w:val="22"/>
        </w:rPr>
        <w:t>图表上叠加一条水平虚线，标记当前最新成交价位置。</w:t>
      </w:r>
    </w:p>
    <w:p>
      <w:pPr>
        <w:numPr>
          <w:numId w:val="89"/>
        </w:numPr>
        <w:spacing w:before="120" w:after="120" w:line="288" w:lineRule="auto"/>
        <w:ind w:left="0"/>
        <w:jc w:val="left"/>
      </w:pPr>
      <w:r>
        <w:rPr>
          <w:rFonts w:eastAsia="等线" w:ascii="Arial" w:cs="Arial" w:hAnsi="Arial"/>
          <w:sz w:val="22"/>
        </w:rPr>
        <w:t>右侧纵轴上以标签形式显示最新价数值。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（5）交互操作</w:t>
      </w:r>
    </w:p>
    <w:p>
      <w:pPr>
        <w:numPr>
          <w:numId w:val="90"/>
        </w:numPr>
        <w:spacing w:before="120" w:after="120" w:line="288" w:lineRule="auto"/>
        <w:ind w:left="0"/>
        <w:jc w:val="left"/>
      </w:pPr>
      <w:r>
        <w:rPr>
          <w:rFonts w:eastAsia="等线" w:ascii="Arial" w:cs="Arial" w:hAnsi="Arial"/>
          <w:sz w:val="22"/>
        </w:rPr>
        <w:t>支持鼠标拖拽平移图表（水平/垂直方向）。</w:t>
      </w:r>
    </w:p>
    <w:p>
      <w:pPr>
        <w:numPr>
          <w:numId w:val="91"/>
        </w:numPr>
        <w:spacing w:before="120" w:after="120" w:line="288" w:lineRule="auto"/>
        <w:ind w:left="0"/>
        <w:jc w:val="left"/>
      </w:pPr>
      <w:r>
        <w:rPr>
          <w:rFonts w:eastAsia="等线" w:ascii="Arial" w:cs="Arial" w:hAnsi="Arial"/>
          <w:sz w:val="22"/>
        </w:rPr>
        <w:t>支持滚轮缩放图表（时间轴和价格轴同时缩放）。</w:t>
      </w:r>
    </w:p>
    <w:p>
      <w:pPr>
        <w:numPr>
          <w:numId w:val="92"/>
        </w:numPr>
        <w:spacing w:before="120" w:after="120" w:line="288" w:lineRule="auto"/>
        <w:ind w:left="0"/>
        <w:jc w:val="left"/>
      </w:pPr>
      <w:r>
        <w:rPr>
          <w:rFonts w:eastAsia="等线" w:ascii="Arial" w:cs="Arial" w:hAnsi="Arial"/>
          <w:sz w:val="22"/>
        </w:rPr>
        <w:t>支持十字光标：按住鼠标显示十字准线，并弹出浮层显示当前定位点的OHLC数据及时间。</w:t>
      </w:r>
    </w:p>
    <w:p>
      <w:pPr>
        <w:numPr>
          <w:numId w:val="93"/>
        </w:numPr>
        <w:spacing w:before="120" w:after="120" w:line="288" w:lineRule="auto"/>
        <w:ind w:left="0"/>
        <w:jc w:val="left"/>
      </w:pPr>
      <w:r>
        <w:rPr>
          <w:rFonts w:eastAsia="等线" w:ascii="Arial" w:cs="Arial" w:hAnsi="Arial"/>
          <w:sz w:val="22"/>
        </w:rPr>
        <w:t>图表上的绘图元素支持选中、拖拽修改、删除。</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（6）图表底部状态栏</w:t>
      </w:r>
    </w:p>
    <w:p>
      <w:pPr>
        <w:numPr>
          <w:numId w:val="94"/>
        </w:numPr>
        <w:spacing w:before="120" w:after="120" w:line="288" w:lineRule="auto"/>
        <w:ind w:left="0"/>
        <w:jc w:val="left"/>
      </w:pPr>
      <w:r>
        <w:rPr>
          <w:rFonts w:eastAsia="等线" w:ascii="Arial" w:cs="Arial" w:hAnsi="Arial"/>
          <w:sz w:val="22"/>
        </w:rPr>
        <w:t>左侧显示时钟图标。</w:t>
      </w:r>
    </w:p>
    <w:p>
      <w:pPr>
        <w:numPr>
          <w:numId w:val="95"/>
        </w:numPr>
        <w:spacing w:before="120" w:after="120" w:line="288" w:lineRule="auto"/>
        <w:ind w:left="0"/>
        <w:jc w:val="left"/>
      </w:pPr>
      <w:r>
        <w:rPr>
          <w:rFonts w:eastAsia="等线" w:ascii="Arial" w:cs="Arial" w:hAnsi="Arial"/>
          <w:sz w:val="22"/>
        </w:rPr>
        <w:t>右侧显示当前时间（格式：17:35:52 (UTC+8)），每秒实时更新。</w:t>
      </w:r>
    </w:p>
    <w:p>
      <w:pPr>
        <w:numPr>
          <w:numId w:val="96"/>
        </w:numPr>
        <w:spacing w:before="120" w:after="120" w:line="288" w:lineRule="auto"/>
        <w:ind w:left="0"/>
        <w:jc w:val="left"/>
      </w:pPr>
      <w:r>
        <w:rPr>
          <w:rFonts w:eastAsia="等线" w:ascii="Arial" w:cs="Arial" w:hAnsi="Arial"/>
          <w:sz w:val="22"/>
        </w:rPr>
        <w:t>时间右侧显示坐标模式快捷切换按钮：% | log | 自动。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3.4 深度图视图</w:t>
      </w:r>
      <w:bookmarkEnd w:id="1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3.4.1 功能概述</w:t>
      </w:r>
    </w:p>
    <w:p>
      <w:pPr>
        <w:spacing w:before="120" w:after="120" w:line="288" w:lineRule="auto"/>
        <w:ind w:left="0"/>
        <w:jc w:val="left"/>
      </w:pPr>
      <w:r>
        <w:rPr>
          <w:rFonts w:eastAsia="等线" w:ascii="Arial" w:cs="Arial" w:hAnsi="Arial"/>
          <w:sz w:val="22"/>
        </w:rPr>
        <w:t>以可视化方式展示当前交易对的买卖盘深度分布，帮助用户评估市场流动性。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3.4.2 图表构成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（1）买盘区域（Bids）</w:t>
      </w:r>
    </w:p>
    <w:p>
      <w:pPr>
        <w:numPr>
          <w:numId w:val="97"/>
        </w:numPr>
        <w:spacing w:before="120" w:after="120" w:line="288" w:lineRule="auto"/>
        <w:ind w:left="0"/>
        <w:jc w:val="left"/>
      </w:pPr>
      <w:r>
        <w:rPr>
          <w:rFonts w:eastAsia="等线" w:ascii="Arial" w:cs="Arial" w:hAnsi="Arial"/>
          <w:sz w:val="22"/>
        </w:rPr>
        <w:t>位于图表左侧，以绿色渐变填充区域表示买方挂单累计量。</w:t>
      </w:r>
    </w:p>
    <w:p>
      <w:pPr>
        <w:numPr>
          <w:numId w:val="98"/>
        </w:numPr>
        <w:spacing w:before="120" w:after="120" w:line="288" w:lineRule="auto"/>
        <w:ind w:left="0"/>
        <w:jc w:val="left"/>
      </w:pPr>
      <w:r>
        <w:rPr>
          <w:rFonts w:eastAsia="等线" w:ascii="Arial" w:cs="Arial" w:hAnsi="Arial"/>
          <w:sz w:val="22"/>
        </w:rPr>
        <w:t>横轴为累计挂单数量（以BTC等基础资产为单位），纵轴为价格。</w:t>
      </w:r>
    </w:p>
    <w:p>
      <w:pPr>
        <w:numPr>
          <w:numId w:val="99"/>
        </w:numPr>
        <w:spacing w:before="120" w:after="120" w:line="288" w:lineRule="auto"/>
        <w:ind w:left="0"/>
        <w:jc w:val="left"/>
      </w:pPr>
      <w:r>
        <w:rPr>
          <w:rFonts w:eastAsia="等线" w:ascii="Arial" w:cs="Arial" w:hAnsi="Arial"/>
          <w:sz w:val="22"/>
        </w:rPr>
        <w:t>曲线从中间向左侧延伸：越靠近当前价格的深度越厚，越远越薄。</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（2）卖盘区域（Asks）</w:t>
      </w:r>
    </w:p>
    <w:p>
      <w:pPr>
        <w:numPr>
          <w:numId w:val="100"/>
        </w:numPr>
        <w:spacing w:before="120" w:after="120" w:line="288" w:lineRule="auto"/>
        <w:ind w:left="0"/>
        <w:jc w:val="left"/>
      </w:pPr>
      <w:r>
        <w:rPr>
          <w:rFonts w:eastAsia="等线" w:ascii="Arial" w:cs="Arial" w:hAnsi="Arial"/>
          <w:sz w:val="22"/>
        </w:rPr>
        <w:t>位于图表右侧，以红色渐变填充区域表示卖方挂单累计量。</w:t>
      </w:r>
    </w:p>
    <w:p>
      <w:pPr>
        <w:numPr>
          <w:numId w:val="101"/>
        </w:numPr>
        <w:spacing w:before="120" w:after="120" w:line="288" w:lineRule="auto"/>
        <w:ind w:left="0"/>
        <w:jc w:val="left"/>
      </w:pPr>
      <w:r>
        <w:rPr>
          <w:rFonts w:eastAsia="等线" w:ascii="Arial" w:cs="Arial" w:hAnsi="Arial"/>
          <w:sz w:val="22"/>
        </w:rPr>
        <w:t>曲线从中间向右侧延伸：越靠近当前价格的深度越厚，越远越薄。</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（3）中间价标识</w:t>
      </w:r>
    </w:p>
    <w:p>
      <w:pPr>
        <w:numPr>
          <w:numId w:val="102"/>
        </w:numPr>
        <w:spacing w:before="120" w:after="120" w:line="288" w:lineRule="auto"/>
        <w:ind w:left="0"/>
        <w:jc w:val="left"/>
      </w:pPr>
      <w:r>
        <w:rPr>
          <w:rFonts w:eastAsia="等线" w:ascii="Arial" w:cs="Arial" w:hAnsi="Arial"/>
          <w:sz w:val="22"/>
        </w:rPr>
        <w:t>买卖盘曲线交汇处显示当前中间价格（最新成交价）。</w:t>
      </w:r>
    </w:p>
    <w:p>
      <w:pPr>
        <w:numPr>
          <w:numId w:val="103"/>
        </w:numPr>
        <w:spacing w:before="120" w:after="120" w:line="288" w:lineRule="auto"/>
        <w:ind w:left="0"/>
        <w:jc w:val="left"/>
      </w:pPr>
      <w:r>
        <w:rPr>
          <w:rFonts w:eastAsia="等线" w:ascii="Arial" w:cs="Arial" w:hAnsi="Arial"/>
          <w:sz w:val="22"/>
        </w:rPr>
        <w:t>中间价以标签形式居中展示，下方有一条垂直线指向价格位置。</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（4）坐标轴</w:t>
      </w:r>
    </w:p>
    <w:p>
      <w:pPr>
        <w:numPr>
          <w:numId w:val="104"/>
        </w:numPr>
        <w:spacing w:before="120" w:after="120" w:line="288" w:lineRule="auto"/>
        <w:ind w:left="0"/>
        <w:jc w:val="left"/>
      </w:pPr>
      <w:r>
        <w:rPr>
          <w:rFonts w:eastAsia="等线" w:ascii="Arial" w:cs="Arial" w:hAnsi="Arial"/>
          <w:sz w:val="22"/>
        </w:rPr>
        <w:t>左侧纵轴显示数量刻度（如 0 / 100 BTC / 200 BTC）。</w:t>
      </w:r>
    </w:p>
    <w:p>
      <w:pPr>
        <w:numPr>
          <w:numId w:val="105"/>
        </w:numPr>
        <w:spacing w:before="120" w:after="120" w:line="288" w:lineRule="auto"/>
        <w:ind w:left="0"/>
        <w:jc w:val="left"/>
      </w:pPr>
      <w:r>
        <w:rPr>
          <w:rFonts w:eastAsia="等线" w:ascii="Arial" w:cs="Arial" w:hAnsi="Arial"/>
          <w:sz w:val="22"/>
        </w:rPr>
        <w:t>买盘区域底部显示买一价，卖盘区域底部显示卖一价。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（5）悬浮Tooltip</w:t>
      </w:r>
    </w:p>
    <w:p>
      <w:pPr>
        <w:numPr>
          <w:numId w:val="106"/>
        </w:numPr>
        <w:spacing w:before="120" w:after="120" w:line="288" w:lineRule="auto"/>
        <w:ind w:left="0"/>
        <w:jc w:val="left"/>
      </w:pPr>
      <w:r>
        <w:rPr>
          <w:rFonts w:eastAsia="等线" w:ascii="Arial" w:cs="Arial" w:hAnsi="Arial"/>
          <w:sz w:val="22"/>
        </w:rPr>
        <w:t>鼠标悬停在深度图上方时，显示十字光标定位线。</w:t>
      </w:r>
    </w:p>
    <w:p>
      <w:pPr>
        <w:numPr>
          <w:numId w:val="107"/>
        </w:numPr>
        <w:spacing w:before="120" w:after="120" w:line="288" w:lineRule="auto"/>
        <w:ind w:left="0"/>
        <w:jc w:val="left"/>
      </w:pPr>
      <w:r>
        <w:rPr>
          <w:rFonts w:eastAsia="等线" w:ascii="Arial" w:cs="Arial" w:hAnsi="Arial"/>
          <w:sz w:val="22"/>
        </w:rPr>
        <w:t>弹出一个信息浮层，包含：</w:t>
      </w:r>
    </w:p>
    <w:p>
      <w:pPr>
        <w:numPr>
          <w:numId w:val="108"/>
        </w:numPr>
        <w:spacing w:before="120" w:after="120" w:line="288" w:lineRule="auto"/>
        <w:ind w:left="453"/>
        <w:jc w:val="left"/>
      </w:pPr>
      <w:r>
        <w:rPr>
          <w:rFonts w:eastAsia="等线" w:ascii="Arial" w:cs="Arial" w:hAnsi="Arial"/>
          <w:sz w:val="22"/>
        </w:rPr>
        <w:t>当前定位点价格。</w:t>
      </w:r>
    </w:p>
    <w:p>
      <w:pPr>
        <w:numPr>
          <w:numId w:val="109"/>
        </w:numPr>
        <w:spacing w:before="120" w:after="120" w:line="288" w:lineRule="auto"/>
        <w:ind w:left="453"/>
        <w:jc w:val="left"/>
      </w:pPr>
      <w:r>
        <w:rPr>
          <w:rFonts w:eastAsia="等线" w:ascii="Arial" w:cs="Arial" w:hAnsi="Arial"/>
          <w:sz w:val="22"/>
        </w:rPr>
        <w:t>累计挂单数量（以基础资产为单位）。</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（6）底部标识</w:t>
      </w:r>
    </w:p>
    <w:p>
      <w:pPr>
        <w:numPr>
          <w:numId w:val="110"/>
        </w:numPr>
        <w:spacing w:before="120" w:after="120" w:line="288" w:lineRule="auto"/>
        <w:ind w:left="0"/>
        <w:jc w:val="left"/>
      </w:pPr>
      <w:r>
        <w:rPr>
          <w:rFonts w:eastAsia="等线" w:ascii="Arial" w:cs="Arial" w:hAnsi="Arial"/>
          <w:sz w:val="22"/>
        </w:rPr>
        <w:t>左侧显示“Bid Depth”（买盘深度），右侧显示“Ask Depth”（卖盘深度）。</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3.4.3 数据更新</w:t>
      </w:r>
    </w:p>
    <w:p>
      <w:pPr>
        <w:numPr>
          <w:numId w:val="111"/>
        </w:numPr>
        <w:spacing w:before="120" w:after="120" w:line="288" w:lineRule="auto"/>
        <w:ind w:left="0"/>
        <w:jc w:val="left"/>
      </w:pPr>
      <w:r>
        <w:rPr>
          <w:rFonts w:eastAsia="等线" w:ascii="Arial" w:cs="Arial" w:hAnsi="Arial"/>
          <w:sz w:val="22"/>
        </w:rPr>
        <w:t>深度图数据基于订单簿实时更新。</w:t>
      </w:r>
    </w:p>
    <w:p>
      <w:pPr>
        <w:numPr>
          <w:numId w:val="112"/>
        </w:numPr>
        <w:spacing w:before="120" w:after="120" w:line="288" w:lineRule="auto"/>
        <w:ind w:left="0"/>
        <w:jc w:val="left"/>
      </w:pPr>
      <w:r>
        <w:rPr>
          <w:rFonts w:eastAsia="等线" w:ascii="Arial" w:cs="Arial" w:hAnsi="Arial"/>
          <w:sz w:val="22"/>
        </w:rPr>
        <w:t>当订单簿数据变化时，曲线平滑过渡变化，不出现突兀跳动。</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3.5 合约详情视图</w:t>
      </w:r>
      <w:bookmarkEnd w:id="13"/>
    </w:p>
    <w:p>
      <w:pPr>
        <w:spacing w:before="120" w:after="120" w:line="288" w:lineRule="auto"/>
        <w:ind w:left="0"/>
        <w:jc w:val="left"/>
      </w:pPr>
      <w:r>
        <w:rPr>
          <w:rFonts w:eastAsia="等线" w:ascii="Arial" w:cs="Arial" w:hAnsi="Arial"/>
          <w:b w:val="true"/>
          <w:sz w:val="22"/>
        </w:rPr>
        <w:t>3.5.1 功能概述</w:t>
      </w:r>
    </w:p>
    <w:p>
      <w:pPr>
        <w:spacing w:before="120" w:after="120" w:line="288" w:lineRule="auto"/>
        <w:ind w:left="0"/>
        <w:jc w:val="left"/>
      </w:pPr>
      <w:r>
        <w:rPr>
          <w:rFonts w:eastAsia="等线" w:ascii="Arial" w:cs="Arial" w:hAnsi="Arial"/>
          <w:sz w:val="22"/>
        </w:rPr>
        <w:t>展示当前交易对的合约规格、交易规则及风险限额信息，供用户了解合约参数。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3.5.2 内容结构</w:t>
      </w:r>
    </w:p>
    <w:p>
      <w:pPr>
        <w:spacing w:before="120" w:after="120" w:line="288" w:lineRule="auto"/>
        <w:ind w:left="0"/>
        <w:jc w:val="left"/>
      </w:pPr>
      <w:r>
        <w:rPr>
          <w:rFonts w:eastAsia="等线" w:ascii="Arial" w:cs="Arial" w:hAnsi="Arial"/>
          <w:b w:val="true"/>
          <w:sz w:val="22"/>
        </w:rPr>
        <w:t>（1）标题区</w:t>
      </w:r>
    </w:p>
    <w:p>
      <w:pPr>
        <w:numPr>
          <w:numId w:val="113"/>
        </w:numPr>
        <w:spacing w:before="120" w:after="120" w:line="288" w:lineRule="auto"/>
        <w:ind w:left="0"/>
        <w:jc w:val="left"/>
      </w:pPr>
      <w:r>
        <w:rPr>
          <w:rFonts w:eastAsia="等线" w:ascii="Arial" w:cs="Arial" w:hAnsi="Arial"/>
          <w:sz w:val="22"/>
        </w:rPr>
        <w:t>显示合约名称（如“BTCUSDC 永续”）。</w:t>
      </w:r>
    </w:p>
    <w:p>
      <w:pPr>
        <w:numPr>
          <w:numId w:val="114"/>
        </w:numPr>
        <w:spacing w:before="120" w:after="120" w:line="288" w:lineRule="auto"/>
        <w:ind w:left="0"/>
        <w:jc w:val="left"/>
      </w:pPr>
      <w:r>
        <w:rPr>
          <w:rFonts w:eastAsia="等线" w:ascii="Arial" w:cs="Arial" w:hAnsi="Arial"/>
          <w:sz w:val="22"/>
        </w:rPr>
        <w:t>右侧显示“交易规则”标签按钮，点击可查看完整规则文档。</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（2）基础市场信息</w:t>
      </w:r>
    </w:p>
    <w:p>
      <w:pPr>
        <w:spacing w:before="120" w:after="120" w:line="288" w:lineRule="auto"/>
        <w:ind w:left="0"/>
        <w:jc w:val="left"/>
      </w:pPr>
      <w:r>
        <w:rPr>
          <w:rFonts w:eastAsia="等线" w:ascii="Arial" w:cs="Arial" w:hAnsi="Arial"/>
          <w:sz w:val="22"/>
        </w:rPr>
        <w:t>以两列表格形式展示：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441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合约名称（如 BTCUSDC）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最大杠杆</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该合约支持的最大杠杆倍数（如 100x）</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最小价格增量</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价格最小变动单位（如 $0.1）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限价单单笔最大订单数量</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单笔限价单的最大下单量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最小交易单位</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最小开仓数量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市价单单笔最大订单数量</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单笔市价单的最大下单量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清算费率</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强平清算时收取的费用比例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最大仓位</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单个账户在该合约可持有的最大仓位</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（3）风险限额表格</w:t>
      </w:r>
    </w:p>
    <w:p>
      <w:pPr>
        <w:numPr>
          <w:numId w:val="115"/>
        </w:numPr>
        <w:spacing w:before="120" w:after="120" w:line="288" w:lineRule="auto"/>
        <w:ind w:left="0"/>
        <w:jc w:val="left"/>
      </w:pPr>
      <w:r>
        <w:rPr>
          <w:rFonts w:eastAsia="等线" w:ascii="Arial" w:cs="Arial" w:hAnsi="Arial"/>
          <w:sz w:val="22"/>
        </w:rPr>
        <w:t>以表格形式展示仓位价值与保证金要求的关系。</w:t>
      </w:r>
    </w:p>
    <w:p>
      <w:pPr>
        <w:numPr>
          <w:numId w:val="116"/>
        </w:numPr>
        <w:spacing w:before="120" w:after="120" w:line="288" w:lineRule="auto"/>
        <w:ind w:left="0"/>
        <w:jc w:val="left"/>
      </w:pPr>
      <w:r>
        <w:rPr>
          <w:rFonts w:eastAsia="等线" w:ascii="Arial" w:cs="Arial" w:hAnsi="Arial"/>
          <w:sz w:val="22"/>
        </w:rPr>
        <w:t>列定义：</w:t>
      </w:r>
    </w:p>
    <w:p>
      <w:pPr>
        <w:numPr>
          <w:numId w:val="117"/>
        </w:numPr>
        <w:spacing w:before="120" w:after="120" w:line="288" w:lineRule="auto"/>
        <w:ind w:left="453"/>
        <w:jc w:val="left"/>
      </w:pPr>
      <w:r>
        <w:rPr>
          <w:rFonts w:eastAsia="等线" w:ascii="Arial" w:cs="Arial" w:hAnsi="Arial"/>
          <w:sz w:val="22"/>
        </w:rPr>
        <w:t>仓位价值（USDC）：仓位名义价值区间。</w:t>
      </w:r>
    </w:p>
    <w:p>
      <w:pPr>
        <w:numPr>
          <w:numId w:val="118"/>
        </w:numPr>
        <w:spacing w:before="120" w:after="120" w:line="288" w:lineRule="auto"/>
        <w:ind w:left="453"/>
        <w:jc w:val="left"/>
      </w:pPr>
      <w:r>
        <w:rPr>
          <w:rFonts w:eastAsia="等线" w:ascii="Arial" w:cs="Arial" w:hAnsi="Arial"/>
          <w:sz w:val="22"/>
        </w:rPr>
        <w:t>维持保证金率：不同区间对应的维持保证金比例。</w:t>
      </w:r>
    </w:p>
    <w:p>
      <w:pPr>
        <w:numPr>
          <w:numId w:val="119"/>
        </w:numPr>
        <w:spacing w:before="120" w:after="120" w:line="288" w:lineRule="auto"/>
        <w:ind w:left="453"/>
        <w:jc w:val="left"/>
      </w:pPr>
      <w:r>
        <w:rPr>
          <w:rFonts w:eastAsia="等线" w:ascii="Arial" w:cs="Arial" w:hAnsi="Arial"/>
          <w:sz w:val="22"/>
        </w:rPr>
        <w:t>起始保证金率：不同区间对应的起始保证金比例。</w:t>
      </w:r>
    </w:p>
    <w:p>
      <w:pPr>
        <w:numPr>
          <w:numId w:val="120"/>
        </w:numPr>
        <w:spacing w:before="120" w:after="120" w:line="288" w:lineRule="auto"/>
        <w:ind w:left="453"/>
        <w:jc w:val="left"/>
      </w:pPr>
      <w:r>
        <w:rPr>
          <w:rFonts w:eastAsia="等线" w:ascii="Arial" w:cs="Arial" w:hAnsi="Arial"/>
          <w:sz w:val="22"/>
        </w:rPr>
        <w:t>杠杆：对应区间可用的最大杠杆倍数。</w:t>
      </w:r>
    </w:p>
    <w:p>
      <w:pPr>
        <w:numPr>
          <w:numId w:val="121"/>
        </w:numPr>
        <w:spacing w:before="120" w:after="120" w:line="288" w:lineRule="auto"/>
        <w:ind w:left="0"/>
        <w:jc w:val="left"/>
      </w:pPr>
      <w:r>
        <w:rPr>
          <w:rFonts w:eastAsia="等线" w:ascii="Arial" w:cs="Arial" w:hAnsi="Arial"/>
          <w:sz w:val="22"/>
        </w:rPr>
        <w:t>表格按仓位价值从低到高排列，最后一行为“XXXXX - ∞”表示无上限。</w:t>
      </w:r>
    </w:p>
    <w:p>
      <w:pPr>
        <w:numPr>
          <w:numId w:val="122"/>
        </w:numPr>
        <w:spacing w:before="120" w:after="120" w:line="288" w:lineRule="auto"/>
        <w:ind w:left="0"/>
        <w:jc w:val="left"/>
      </w:pPr>
      <w:r>
        <w:rPr>
          <w:rFonts w:eastAsia="等线" w:ascii="Arial" w:cs="Arial" w:hAnsi="Arial"/>
          <w:sz w:val="22"/>
        </w:rPr>
        <w:t>风险限额由平台统一配置，非用户可调。</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3.6 资金费率视图</w:t>
      </w:r>
      <w:bookmarkEnd w:id="14"/>
    </w:p>
    <w:p>
      <w:pPr>
        <w:spacing w:before="120" w:after="120" w:line="288" w:lineRule="auto"/>
        <w:ind w:left="0"/>
        <w:jc w:val="left"/>
      </w:pPr>
      <w:r>
        <w:rPr>
          <w:rFonts w:eastAsia="等线" w:ascii="Arial" w:cs="Arial" w:hAnsi="Arial"/>
          <w:b w:val="true"/>
          <w:sz w:val="22"/>
        </w:rPr>
        <w:t>3.6.1 功能概述</w:t>
      </w:r>
    </w:p>
    <w:p>
      <w:pPr>
        <w:spacing w:before="120" w:after="120" w:line="288" w:lineRule="auto"/>
        <w:ind w:left="0"/>
        <w:jc w:val="left"/>
      </w:pPr>
      <w:r>
        <w:rPr>
          <w:rFonts w:eastAsia="等线" w:ascii="Arial" w:cs="Arial" w:hAnsi="Arial"/>
          <w:sz w:val="22"/>
        </w:rPr>
        <w:t>展示当前合约的资金费率相关信息，包括实时费率、历史趋势及预测，帮助用户了解持仓成本。</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3.6.2 内容结构</w:t>
      </w:r>
    </w:p>
    <w:p>
      <w:pPr>
        <w:spacing w:before="120" w:after="120" w:line="288" w:lineRule="auto"/>
        <w:ind w:left="0"/>
        <w:jc w:val="left"/>
      </w:pPr>
      <w:r>
        <w:rPr>
          <w:rFonts w:eastAsia="等线" w:ascii="Arial" w:cs="Arial" w:hAnsi="Arial"/>
          <w:b w:val="true"/>
          <w:sz w:val="22"/>
        </w:rPr>
        <w:t>（1）即时费率概览</w:t>
      </w:r>
    </w:p>
    <w:p>
      <w:pPr>
        <w:spacing w:before="120" w:after="120" w:line="288" w:lineRule="auto"/>
        <w:ind w:left="0"/>
        <w:jc w:val="left"/>
      </w:pPr>
      <w:r>
        <w:rPr>
          <w:rFonts w:eastAsia="等线" w:ascii="Arial" w:cs="Arial" w:hAnsi="Arial"/>
          <w:sz w:val="22"/>
        </w:rPr>
        <w:t>以卡片形式展示：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指标</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即时资金费率</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当前结算周期的资金费率，带正负号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结算周期</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资金费率结算间隔（如 8h）</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下次结算倒计时</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距离下次结算的倒计时（格式：01:26:27），实时更新</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7天周期</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近7天平均资金费率</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30天周期</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近30天平均资金费率</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年化利率</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(24/间隔小时)* 下一次收取的资金费率 * 365，显示成年化百分比</w:t>
            </w:r>
          </w:p>
        </w:tc>
      </w:tr>
    </w:tbl>
    <w:p>
      <w:pPr>
        <w:numPr>
          <w:numId w:val="123"/>
        </w:numPr>
        <w:spacing w:before="120" w:after="120" w:line="288" w:lineRule="auto"/>
        <w:ind w:left="0"/>
        <w:jc w:val="left"/>
      </w:pPr>
      <w:r>
        <w:rPr>
          <w:rFonts w:eastAsia="等线" w:ascii="Arial" w:cs="Arial" w:hAnsi="Arial"/>
          <w:sz w:val="22"/>
        </w:rPr>
        <w:t>正值以绿色显示，负值以红色显示。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（2）历史趋势图表</w:t>
      </w:r>
    </w:p>
    <w:p>
      <w:pPr>
        <w:numPr>
          <w:numId w:val="124"/>
        </w:numPr>
        <w:spacing w:before="120" w:after="120" w:line="288" w:lineRule="auto"/>
        <w:ind w:left="0"/>
        <w:jc w:val="left"/>
      </w:pPr>
      <w:r>
        <w:rPr>
          <w:rFonts w:eastAsia="等线" w:ascii="Arial" w:cs="Arial" w:hAnsi="Arial"/>
          <w:sz w:val="22"/>
        </w:rPr>
        <w:t>折线图展示资金费率的历史变化趋势。</w:t>
      </w:r>
    </w:p>
    <w:p>
      <w:pPr>
        <w:numPr>
          <w:numId w:val="125"/>
        </w:numPr>
        <w:spacing w:before="120" w:after="120" w:line="288" w:lineRule="auto"/>
        <w:ind w:left="0"/>
        <w:jc w:val="left"/>
      </w:pPr>
      <w:r>
        <w:rPr>
          <w:rFonts w:eastAsia="等线" w:ascii="Arial" w:cs="Arial" w:hAnsi="Arial"/>
          <w:sz w:val="22"/>
        </w:rPr>
        <w:t>中间有一条水平虚线标记0.00%基准线。</w:t>
      </w:r>
    </w:p>
    <w:p>
      <w:pPr>
        <w:numPr>
          <w:numId w:val="126"/>
        </w:numPr>
        <w:spacing w:before="120" w:after="120" w:line="288" w:lineRule="auto"/>
        <w:ind w:left="0"/>
        <w:jc w:val="left"/>
      </w:pPr>
      <w:r>
        <w:rPr>
          <w:rFonts w:eastAsia="等线" w:ascii="Arial" w:cs="Arial" w:hAnsi="Arial"/>
          <w:sz w:val="22"/>
        </w:rPr>
        <w:t>上方为正值区域，下方为负值区域。</w:t>
      </w:r>
    </w:p>
    <w:p>
      <w:pPr>
        <w:numPr>
          <w:numId w:val="127"/>
        </w:numPr>
        <w:spacing w:before="120" w:after="120" w:line="288" w:lineRule="auto"/>
        <w:ind w:left="0"/>
        <w:jc w:val="left"/>
      </w:pPr>
      <w:r>
        <w:rPr>
          <w:rFonts w:eastAsia="等线" w:ascii="Arial" w:cs="Arial" w:hAnsi="Arial"/>
          <w:sz w:val="22"/>
        </w:rPr>
        <w:t>纵轴显示费率百分比刻度，横轴显示时间。</w:t>
      </w:r>
    </w:p>
    <w:p>
      <w:pPr>
        <w:numPr>
          <w:numId w:val="128"/>
        </w:numPr>
        <w:spacing w:before="120" w:after="120" w:line="288" w:lineRule="auto"/>
        <w:ind w:left="0"/>
        <w:jc w:val="left"/>
      </w:pPr>
      <w:r>
        <w:rPr>
          <w:rFonts w:eastAsia="等线" w:ascii="Arial" w:cs="Arial" w:hAnsi="Arial"/>
          <w:sz w:val="22"/>
        </w:rPr>
        <w:t>图表右上角提供时间范围切换按钮：1D（1天）、1W（1周）、1M（1月），默认选中1D。</w:t>
      </w:r>
    </w:p>
    <w:p>
      <w:pPr>
        <w:numPr>
          <w:numId w:val="129"/>
        </w:numPr>
        <w:spacing w:before="120" w:after="120" w:line="288" w:lineRule="auto"/>
        <w:ind w:left="0"/>
        <w:jc w:val="left"/>
      </w:pPr>
      <w:r>
        <w:rPr>
          <w:rFonts w:eastAsia="等线" w:ascii="Arial" w:cs="Arial" w:hAnsi="Arial"/>
          <w:sz w:val="22"/>
        </w:rPr>
        <w:t>图表底部有说明文案：“资金费率由市场多空持仓平衡情况决定，每（资金费率结算间隔如 8）小时结算一次。”</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（3）数据更新</w:t>
      </w:r>
    </w:p>
    <w:p>
      <w:pPr>
        <w:numPr>
          <w:numId w:val="130"/>
        </w:numPr>
        <w:spacing w:before="120" w:after="120" w:line="288" w:lineRule="auto"/>
        <w:ind w:left="0"/>
        <w:jc w:val="left"/>
      </w:pPr>
      <w:r>
        <w:rPr>
          <w:rFonts w:eastAsia="等线" w:ascii="Arial" w:cs="Arial" w:hAnsi="Arial"/>
          <w:sz w:val="22"/>
        </w:rPr>
        <w:t>当前结算周期的倒计时需每秒更新。</w:t>
      </w:r>
    </w:p>
    <w:p>
      <w:pPr>
        <w:numPr>
          <w:numId w:val="131"/>
        </w:numPr>
        <w:spacing w:before="120" w:after="120" w:line="288" w:lineRule="auto"/>
        <w:ind w:left="0"/>
        <w:jc w:val="left"/>
      </w:pPr>
      <w:r>
        <w:rPr>
          <w:rFonts w:eastAsia="等线" w:ascii="Arial" w:cs="Arial" w:hAnsi="Arial"/>
          <w:sz w:val="22"/>
        </w:rPr>
        <w:t>历史趋势数据根据所选时间范围动态加载。</w:t>
      </w:r>
    </w:p>
    <w:p>
      <w:pPr>
        <w:numPr>
          <w:numId w:val="132"/>
        </w:numPr>
        <w:spacing w:before="120" w:after="120" w:line="288" w:lineRule="auto"/>
        <w:ind w:left="0"/>
        <w:jc w:val="left"/>
      </w:pPr>
      <w:r>
        <w:rPr>
          <w:rFonts w:eastAsia="等线" w:ascii="Arial" w:cs="Arial" w:hAnsi="Arial"/>
          <w:sz w:val="22"/>
        </w:rPr>
        <w:t>即时费率数据可实时或准实时更新。</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5" w:id="15"/>
      <w:r>
        <w:rPr>
          <w:rFonts w:eastAsia="等线" w:ascii="Arial" w:cs="Arial" w:hAnsi="Arial"/>
          <w:b w:val="true"/>
          <w:sz w:val="36"/>
        </w:rPr>
        <w:t>4. 订单簿与最新成交</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4.1 功能概述</w:t>
      </w:r>
      <w:bookmarkEnd w:id="16"/>
    </w:p>
    <w:p>
      <w:pPr>
        <w:spacing w:before="120" w:after="120" w:line="288" w:lineRule="auto"/>
        <w:ind w:left="0"/>
        <w:jc w:val="left"/>
      </w:pPr>
      <w:r>
        <w:rPr>
          <w:rFonts w:eastAsia="等线" w:ascii="Arial" w:cs="Arial" w:hAnsi="Arial"/>
          <w:sz w:val="22"/>
        </w:rPr>
        <w:t>订单簿区域位于图表区右侧，以紧凑的纵向布局展示当前交易对的实时买卖挂单深度和最新成交记录。用户可在此观察市场供需情况，并切换查看订单簿或最新成交。</w:t>
      </w: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4.2 顶部切换标签</w:t>
      </w:r>
      <w:bookmarkEnd w:id="17"/>
    </w:p>
    <w:p>
      <w:pPr>
        <w:numPr>
          <w:numId w:val="133"/>
        </w:numPr>
        <w:spacing w:before="120" w:after="120" w:line="288" w:lineRule="auto"/>
        <w:ind w:left="0"/>
        <w:jc w:val="left"/>
      </w:pPr>
      <w:r>
        <w:rPr>
          <w:rFonts w:eastAsia="等线" w:ascii="Arial" w:cs="Arial" w:hAnsi="Arial"/>
          <w:sz w:val="22"/>
        </w:rPr>
        <w:t>提供“订单簿”和“最新成交”两个标签按钮。</w:t>
      </w:r>
    </w:p>
    <w:p>
      <w:pPr>
        <w:numPr>
          <w:numId w:val="134"/>
        </w:numPr>
        <w:spacing w:before="120" w:after="120" w:line="288" w:lineRule="auto"/>
        <w:ind w:left="0"/>
        <w:jc w:val="left"/>
      </w:pPr>
      <w:r>
        <w:rPr>
          <w:rFonts w:eastAsia="等线" w:ascii="Arial" w:cs="Arial" w:hAnsi="Arial"/>
          <w:sz w:val="22"/>
        </w:rPr>
        <w:t>默认选中“订单簿”，对应标签文字加粗黑色并带有下划线；未选中的标签为灰色。</w:t>
      </w:r>
    </w:p>
    <w:p>
      <w:pPr>
        <w:numPr>
          <w:numId w:val="135"/>
        </w:numPr>
        <w:spacing w:before="120" w:after="120" w:line="288" w:lineRule="auto"/>
        <w:ind w:left="0"/>
        <w:jc w:val="left"/>
      </w:pPr>
      <w:r>
        <w:rPr>
          <w:rFonts w:eastAsia="等线" w:ascii="Arial" w:cs="Arial" w:hAnsi="Arial"/>
          <w:sz w:val="22"/>
        </w:rPr>
        <w:t>点击标签切换下方显示内容，互斥切换。</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4.3 订单簿视图</w:t>
      </w:r>
      <w:bookmarkEnd w:id="18"/>
    </w:p>
    <w:p>
      <w:pPr>
        <w:spacing w:before="120" w:after="120" w:line="288" w:lineRule="auto"/>
        <w:ind w:left="0"/>
        <w:jc w:val="left"/>
      </w:pPr>
      <w:r>
        <w:rPr>
          <w:rFonts w:eastAsia="等线" w:ascii="Arial" w:cs="Arial" w:hAnsi="Arial"/>
          <w:b w:val="true"/>
          <w:sz w:val="22"/>
        </w:rPr>
        <w:t>4.3.1 表头</w:t>
      </w:r>
    </w:p>
    <w:p>
      <w:pPr>
        <w:numPr>
          <w:numId w:val="136"/>
        </w:numPr>
        <w:spacing w:before="120" w:after="120" w:line="288" w:lineRule="auto"/>
        <w:ind w:left="0"/>
        <w:jc w:val="left"/>
      </w:pPr>
      <w:r>
        <w:rPr>
          <w:rFonts w:eastAsia="等线" w:ascii="Arial" w:cs="Arial" w:hAnsi="Arial"/>
          <w:sz w:val="22"/>
        </w:rPr>
        <w:t>三列布局：价格(USDT) | 数量(USDT) | 累计(USDT)</w:t>
      </w:r>
    </w:p>
    <w:p>
      <w:pPr>
        <w:numPr>
          <w:numId w:val="137"/>
        </w:numPr>
        <w:spacing w:before="120" w:after="120" w:line="288" w:lineRule="auto"/>
        <w:ind w:left="453"/>
        <w:jc w:val="left"/>
      </w:pPr>
      <w:r>
        <w:rPr>
          <w:rFonts w:eastAsia="等线" w:ascii="Arial" w:cs="Arial" w:hAnsi="Arial"/>
          <w:sz w:val="22"/>
        </w:rPr>
        <w:t>数量 和 累计括号里面的 USDT，会随着交易单位类型切换，而变更成计价币种/交易币种</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4.3.2 卖单挂单区（Asks）</w:t>
      </w:r>
    </w:p>
    <w:p>
      <w:pPr>
        <w:numPr>
          <w:numId w:val="138"/>
        </w:numPr>
        <w:spacing w:before="120" w:after="120" w:line="288" w:lineRule="auto"/>
        <w:ind w:left="0"/>
        <w:jc w:val="left"/>
      </w:pPr>
      <w:r>
        <w:rPr>
          <w:rFonts w:eastAsia="等线" w:ascii="Arial" w:cs="Arial" w:hAnsi="Arial"/>
          <w:sz w:val="22"/>
        </w:rPr>
        <w:t>位于订单簿上半部分，以红色系表示卖方挂单。</w:t>
      </w:r>
    </w:p>
    <w:p>
      <w:pPr>
        <w:numPr>
          <w:numId w:val="139"/>
        </w:numPr>
        <w:spacing w:before="120" w:after="120" w:line="288" w:lineRule="auto"/>
        <w:ind w:left="0"/>
        <w:jc w:val="left"/>
      </w:pPr>
      <w:r>
        <w:rPr>
          <w:rFonts w:eastAsia="等线" w:ascii="Arial" w:cs="Arial" w:hAnsi="Arial"/>
          <w:sz w:val="22"/>
        </w:rPr>
        <w:t>每行显示：挂单价格（红色）、挂单数量、该价位以上的累计挂单量。</w:t>
      </w:r>
    </w:p>
    <w:p>
      <w:pPr>
        <w:numPr>
          <w:numId w:val="140"/>
        </w:numPr>
        <w:spacing w:before="120" w:after="120" w:line="288" w:lineRule="auto"/>
        <w:ind w:left="0"/>
        <w:jc w:val="left"/>
      </w:pPr>
      <w:r>
        <w:rPr>
          <w:rFonts w:eastAsia="等线" w:ascii="Arial" w:cs="Arial" w:hAnsi="Arial"/>
          <w:sz w:val="22"/>
        </w:rPr>
        <w:t>挂单价格从高到低排列（最上方为距离当前价最远的卖价，往下逐渐靠近当前价）。</w:t>
      </w:r>
    </w:p>
    <w:p>
      <w:pPr>
        <w:numPr>
          <w:numId w:val="141"/>
        </w:numPr>
        <w:spacing w:before="120" w:after="120" w:line="288" w:lineRule="auto"/>
        <w:ind w:left="0"/>
        <w:jc w:val="left"/>
      </w:pPr>
      <w:r>
        <w:rPr>
          <w:rFonts w:eastAsia="等线" w:ascii="Arial" w:cs="Arial" w:hAnsi="Arial"/>
          <w:sz w:val="22"/>
        </w:rPr>
        <w:t>每一行背景以从右向左的红色渐变条表示该价位累计深度的占比：</w:t>
      </w:r>
    </w:p>
    <w:p>
      <w:pPr>
        <w:numPr>
          <w:numId w:val="142"/>
        </w:numPr>
        <w:spacing w:before="120" w:after="120" w:line="288" w:lineRule="auto"/>
        <w:ind w:left="453"/>
        <w:jc w:val="left"/>
      </w:pPr>
      <w:r>
        <w:rPr>
          <w:rFonts w:eastAsia="等线" w:ascii="Arial" w:cs="Arial" w:hAnsi="Arial"/>
          <w:sz w:val="22"/>
        </w:rPr>
        <w:t>累计量越大，渐变条越长。</w:t>
      </w:r>
    </w:p>
    <w:p>
      <w:pPr>
        <w:numPr>
          <w:numId w:val="143"/>
        </w:numPr>
        <w:spacing w:before="120" w:after="120" w:line="288" w:lineRule="auto"/>
        <w:ind w:left="453"/>
        <w:jc w:val="left"/>
      </w:pPr>
      <w:r>
        <w:rPr>
          <w:rFonts w:eastAsia="等线" w:ascii="Arial" w:cs="Arial" w:hAnsi="Arial"/>
          <w:sz w:val="22"/>
        </w:rPr>
        <w:t>越靠近当前价格的挂单累计量最大，渐变条最长；越远累计量越小，渐变条越短。</w:t>
      </w:r>
    </w:p>
    <w:p>
      <w:pPr>
        <w:numPr>
          <w:numId w:val="144"/>
        </w:numPr>
        <w:spacing w:before="120" w:after="120" w:line="288" w:lineRule="auto"/>
        <w:ind w:left="0"/>
        <w:jc w:val="left"/>
      </w:pPr>
      <w:r>
        <w:rPr>
          <w:rFonts w:eastAsia="等线" w:ascii="Arial" w:cs="Arial" w:hAnsi="Arial"/>
          <w:sz w:val="22"/>
        </w:rPr>
        <w:t>数据实时更新，当前价格变动或订单簿变化时重新渲染各行的数量和累计值。</w:t>
      </w:r>
    </w:p>
    <w:p>
      <w:pPr>
        <w:numPr>
          <w:numId w:val="145"/>
        </w:numPr>
        <w:spacing w:before="120" w:after="120" w:line="288" w:lineRule="auto"/>
        <w:ind w:left="0"/>
        <w:jc w:val="left"/>
      </w:pPr>
      <w:r>
        <w:rPr>
          <w:rFonts w:eastAsia="等线" w:ascii="Arial" w:cs="Arial" w:hAnsi="Arial"/>
          <w:sz w:val="22"/>
        </w:rPr>
        <w:t>数量与累计值使用 K/M/B 缩写显示大额数值。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4.3.3 中间价格区</w:t>
      </w:r>
    </w:p>
    <w:p>
      <w:pPr>
        <w:numPr>
          <w:numId w:val="146"/>
        </w:numPr>
        <w:spacing w:before="120" w:after="120" w:line="288" w:lineRule="auto"/>
        <w:ind w:left="0"/>
        <w:jc w:val="left"/>
      </w:pPr>
      <w:r>
        <w:rPr>
          <w:rFonts w:eastAsia="等线" w:ascii="Arial" w:cs="Arial" w:hAnsi="Arial"/>
          <w:sz w:val="22"/>
        </w:rPr>
        <w:t>居中显示当前最新成交价（大字体，绿色）。</w:t>
      </w:r>
    </w:p>
    <w:p>
      <w:pPr>
        <w:numPr>
          <w:numId w:val="147"/>
        </w:numPr>
        <w:spacing w:before="120" w:after="120" w:line="288" w:lineRule="auto"/>
        <w:ind w:left="0"/>
        <w:jc w:val="left"/>
      </w:pPr>
      <w:r>
        <w:rPr>
          <w:rFonts w:eastAsia="等线" w:ascii="Arial" w:cs="Arial" w:hAnsi="Arial"/>
          <w:sz w:val="22"/>
        </w:rPr>
        <w:t>右侧同时显示“标记价格”（灰色字体），下方有虚线下划线。鼠标悬停标记价格时弹出 tooltip 解释：“标记价格是根据现货指数和资金费率计算出的合理价格，用于计算未实现盈亏和强平”。</w:t>
      </w:r>
    </w:p>
    <w:p>
      <w:pPr>
        <w:numPr>
          <w:numId w:val="148"/>
        </w:numPr>
        <w:spacing w:before="120" w:after="120" w:line="288" w:lineRule="auto"/>
        <w:ind w:left="0"/>
        <w:jc w:val="left"/>
      </w:pPr>
      <w:r>
        <w:rPr>
          <w:rFonts w:eastAsia="等线" w:ascii="Arial" w:cs="Arial" w:hAnsi="Arial"/>
          <w:sz w:val="22"/>
        </w:rPr>
        <w:t>标记价格数值跟随行情更新。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4.3.4 买单挂单区（Bids）</w:t>
      </w:r>
    </w:p>
    <w:p>
      <w:pPr>
        <w:numPr>
          <w:numId w:val="149"/>
        </w:numPr>
        <w:spacing w:before="120" w:after="120" w:line="288" w:lineRule="auto"/>
        <w:ind w:left="0"/>
        <w:jc w:val="left"/>
      </w:pPr>
      <w:r>
        <w:rPr>
          <w:rFonts w:eastAsia="等线" w:ascii="Arial" w:cs="Arial" w:hAnsi="Arial"/>
          <w:sz w:val="22"/>
        </w:rPr>
        <w:t>位于订单簿下半部分，以绿色系表示买方挂单。</w:t>
      </w:r>
    </w:p>
    <w:p>
      <w:pPr>
        <w:numPr>
          <w:numId w:val="150"/>
        </w:numPr>
        <w:spacing w:before="120" w:after="120" w:line="288" w:lineRule="auto"/>
        <w:ind w:left="0"/>
        <w:jc w:val="left"/>
      </w:pPr>
      <w:r>
        <w:rPr>
          <w:rFonts w:eastAsia="等线" w:ascii="Arial" w:cs="Arial" w:hAnsi="Arial"/>
          <w:sz w:val="22"/>
        </w:rPr>
        <w:t>每行显示：挂单价格（绿色）、挂单数量、该价位以下的累计挂单量。</w:t>
      </w:r>
    </w:p>
    <w:p>
      <w:pPr>
        <w:numPr>
          <w:numId w:val="151"/>
        </w:numPr>
        <w:spacing w:before="120" w:after="120" w:line="288" w:lineRule="auto"/>
        <w:ind w:left="0"/>
        <w:jc w:val="left"/>
      </w:pPr>
      <w:r>
        <w:rPr>
          <w:rFonts w:eastAsia="等线" w:ascii="Arial" w:cs="Arial" w:hAnsi="Arial"/>
          <w:sz w:val="22"/>
        </w:rPr>
        <w:t>挂单价格从高到低排列（最上方为最靠近当前价格的买价，往下逐渐远离当前价）。</w:t>
      </w:r>
    </w:p>
    <w:p>
      <w:pPr>
        <w:numPr>
          <w:numId w:val="152"/>
        </w:numPr>
        <w:spacing w:before="120" w:after="120" w:line="288" w:lineRule="auto"/>
        <w:ind w:left="0"/>
        <w:jc w:val="left"/>
      </w:pPr>
      <w:r>
        <w:rPr>
          <w:rFonts w:eastAsia="等线" w:ascii="Arial" w:cs="Arial" w:hAnsi="Arial"/>
          <w:sz w:val="22"/>
        </w:rPr>
        <w:t>每一行背景以从右向左的绿色渐变条表示该价位累计深度的占比，规则同卖单：越靠近当前价累计量越大，渐变条越长；越远离越短。</w:t>
      </w:r>
    </w:p>
    <w:p>
      <w:pPr>
        <w:numPr>
          <w:numId w:val="153"/>
        </w:numPr>
        <w:spacing w:before="120" w:after="120" w:line="288" w:lineRule="auto"/>
        <w:ind w:left="0"/>
        <w:jc w:val="left"/>
      </w:pPr>
      <w:r>
        <w:rPr>
          <w:rFonts w:eastAsia="等线" w:ascii="Arial" w:cs="Arial" w:hAnsi="Arial"/>
          <w:sz w:val="22"/>
        </w:rPr>
        <w:t>数据更新方式同卖单。</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4.3.5 底部工具栏</w:t>
      </w:r>
    </w:p>
    <w:p>
      <w:pPr>
        <w:spacing w:before="120" w:after="120" w:line="288" w:lineRule="auto"/>
        <w:ind w:left="0"/>
        <w:jc w:val="left"/>
      </w:pPr>
      <w:r>
        <w:rPr>
          <w:rFonts w:eastAsia="等线" w:ascii="Arial" w:cs="Arial" w:hAnsi="Arial"/>
          <w:sz w:val="22"/>
        </w:rPr>
        <w:t>订单簿底部固定一行操作项：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（1）精度选择</w:t>
      </w:r>
    </w:p>
    <w:p>
      <w:pPr>
        <w:numPr>
          <w:numId w:val="154"/>
        </w:numPr>
        <w:spacing w:before="120" w:after="120" w:line="288" w:lineRule="auto"/>
        <w:ind w:left="0"/>
        <w:jc w:val="left"/>
      </w:pPr>
      <w:r>
        <w:rPr>
          <w:rFonts w:eastAsia="等线" w:ascii="Arial" w:cs="Arial" w:hAnsi="Arial"/>
          <w:sz w:val="22"/>
        </w:rPr>
        <w:t>默认显示当前生效的精度值（如“0.01”），旁边有下拉三角图标。</w:t>
      </w:r>
    </w:p>
    <w:p>
      <w:pPr>
        <w:numPr>
          <w:numId w:val="155"/>
        </w:numPr>
        <w:spacing w:before="120" w:after="120" w:line="288" w:lineRule="auto"/>
        <w:ind w:left="0"/>
        <w:jc w:val="left"/>
      </w:pPr>
      <w:r>
        <w:rPr>
          <w:rFonts w:eastAsia="等线" w:ascii="Arial" w:cs="Arial" w:hAnsi="Arial"/>
          <w:sz w:val="22"/>
        </w:rPr>
        <w:t xml:space="preserve">点击展开下拉菜单，菜单内提供 </w:t>
      </w:r>
      <w:r>
        <w:rPr>
          <w:rFonts w:eastAsia="等线" w:ascii="Arial" w:cs="Arial" w:hAnsi="Arial"/>
          <w:b w:val="true"/>
          <w:sz w:val="22"/>
        </w:rPr>
        <w:t>4 个可选精度档位</w:t>
      </w:r>
      <w:r>
        <w:rPr>
          <w:rFonts w:eastAsia="等线" w:ascii="Arial" w:cs="Arial" w:hAnsi="Arial"/>
          <w:sz w:val="22"/>
        </w:rPr>
        <w:t>，具体档位由当前交易对的基础价格精度动态决定：</w:t>
      </w:r>
    </w:p>
    <w:p>
      <w:pPr>
        <w:numPr>
          <w:numId w:val="156"/>
        </w:numPr>
        <w:spacing w:before="120" w:after="120" w:line="288" w:lineRule="auto"/>
        <w:ind w:left="453"/>
        <w:jc w:val="left"/>
      </w:pPr>
      <w:r>
        <w:rPr>
          <w:rFonts w:eastAsia="等线" w:ascii="Arial" w:cs="Arial" w:hAnsi="Arial"/>
          <w:sz w:val="22"/>
        </w:rPr>
        <w:t>第一档：基础精度（即该交易对的最小价格变动单位，由后台配置，如“0.01”）。</w:t>
      </w:r>
    </w:p>
    <w:p>
      <w:pPr>
        <w:numPr>
          <w:numId w:val="157"/>
        </w:numPr>
        <w:spacing w:before="120" w:after="120" w:line="288" w:lineRule="auto"/>
        <w:ind w:left="453"/>
        <w:jc w:val="left"/>
      </w:pPr>
      <w:r>
        <w:rPr>
          <w:rFonts w:eastAsia="等线" w:ascii="Arial" w:cs="Arial" w:hAnsi="Arial"/>
          <w:sz w:val="22"/>
        </w:rPr>
        <w:t>第二档：基础精度 × 10（如“0.1”）。</w:t>
      </w:r>
    </w:p>
    <w:p>
      <w:pPr>
        <w:numPr>
          <w:numId w:val="158"/>
        </w:numPr>
        <w:spacing w:before="120" w:after="120" w:line="288" w:lineRule="auto"/>
        <w:ind w:left="453"/>
        <w:jc w:val="left"/>
      </w:pPr>
      <w:r>
        <w:rPr>
          <w:rFonts w:eastAsia="等线" w:ascii="Arial" w:cs="Arial" w:hAnsi="Arial"/>
          <w:sz w:val="22"/>
        </w:rPr>
        <w:t>第三档：基础精度 × 100（如“1”）。</w:t>
      </w:r>
    </w:p>
    <w:p>
      <w:pPr>
        <w:numPr>
          <w:numId w:val="159"/>
        </w:numPr>
        <w:spacing w:before="120" w:after="120" w:line="288" w:lineRule="auto"/>
        <w:ind w:left="453"/>
        <w:jc w:val="left"/>
      </w:pPr>
      <w:r>
        <w:rPr>
          <w:rFonts w:eastAsia="等线" w:ascii="Arial" w:cs="Arial" w:hAnsi="Arial"/>
          <w:sz w:val="22"/>
        </w:rPr>
        <w:t>第四档：基础精度 × 1000（如“10”）。</w:t>
      </w:r>
    </w:p>
    <w:p>
      <w:pPr>
        <w:numPr>
          <w:numId w:val="160"/>
        </w:numPr>
        <w:spacing w:before="120" w:after="120" w:line="288" w:lineRule="auto"/>
        <w:ind w:left="0"/>
        <w:jc w:val="left"/>
      </w:pPr>
      <w:r>
        <w:rPr>
          <w:rFonts w:eastAsia="等线" w:ascii="Arial" w:cs="Arial" w:hAnsi="Arial"/>
          <w:sz w:val="22"/>
        </w:rPr>
        <w:t>每个档位的显示文本即为计算后的精度数值（如“0.01”“0.1”“1”“10”）。</w:t>
      </w:r>
    </w:p>
    <w:p>
      <w:pPr>
        <w:numPr>
          <w:numId w:val="161"/>
        </w:numPr>
        <w:spacing w:before="120" w:after="120" w:line="288" w:lineRule="auto"/>
        <w:ind w:left="0"/>
        <w:jc w:val="left"/>
      </w:pPr>
      <w:r>
        <w:rPr>
          <w:rFonts w:eastAsia="等线" w:ascii="Arial" w:cs="Arial" w:hAnsi="Arial"/>
          <w:sz w:val="22"/>
        </w:rPr>
        <w:t>用户选择任意档位后，订单簿内的挂单价格将按该精度进行聚合显示，同时订单簿重新渲染。</w:t>
      </w:r>
    </w:p>
    <w:p>
      <w:pPr>
        <w:numPr>
          <w:numId w:val="162"/>
        </w:numPr>
        <w:spacing w:before="120" w:after="120" w:line="288" w:lineRule="auto"/>
        <w:ind w:left="0"/>
        <w:jc w:val="left"/>
      </w:pPr>
      <w:r>
        <w:rPr>
          <w:rFonts w:eastAsia="等线" w:ascii="Arial" w:cs="Arial" w:hAnsi="Arial"/>
          <w:sz w:val="22"/>
        </w:rPr>
        <w:t>下拉菜单采用绝对定位，点击外部自动关闭。</w:t>
      </w:r>
    </w:p>
    <w:p>
      <w:pPr>
        <w:numPr>
          <w:numId w:val="163"/>
        </w:numPr>
        <w:spacing w:before="120" w:after="120" w:line="288" w:lineRule="auto"/>
        <w:ind w:left="0"/>
        <w:jc w:val="left"/>
      </w:pPr>
      <w:r>
        <w:rPr>
          <w:rFonts w:eastAsia="等线" w:ascii="Arial" w:cs="Arial" w:hAnsi="Arial"/>
          <w:sz w:val="22"/>
        </w:rPr>
        <w:t>若交易对价格精度发生变更（例如切换交易对），精度档位自动重新计算，并重置为第一档（基础精度）。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（2）计价资产选择</w:t>
      </w:r>
    </w:p>
    <w:p>
      <w:pPr>
        <w:numPr>
          <w:numId w:val="164"/>
        </w:numPr>
        <w:spacing w:before="120" w:after="120" w:line="288" w:lineRule="auto"/>
        <w:ind w:left="0"/>
        <w:jc w:val="left"/>
      </w:pPr>
      <w:r>
        <w:rPr>
          <w:rFonts w:eastAsia="等线" w:ascii="Arial" w:cs="Arial" w:hAnsi="Arial"/>
          <w:sz w:val="22"/>
        </w:rPr>
        <w:t>显示当前计价单位（如“USDT”），旁边有下拉三角图标。</w:t>
      </w:r>
    </w:p>
    <w:p>
      <w:pPr>
        <w:numPr>
          <w:numId w:val="165"/>
        </w:numPr>
        <w:spacing w:before="120" w:after="120" w:line="288" w:lineRule="auto"/>
        <w:ind w:left="0"/>
        <w:jc w:val="left"/>
      </w:pPr>
      <w:r>
        <w:rPr>
          <w:rFonts w:eastAsia="等线" w:ascii="Arial" w:cs="Arial" w:hAnsi="Arial"/>
          <w:sz w:val="22"/>
        </w:rPr>
        <w:t>点击展开下拉菜单，可选计价资产：计价币种 / 交易币种</w:t>
      </w:r>
    </w:p>
    <w:p>
      <w:pPr>
        <w:numPr>
          <w:numId w:val="166"/>
        </w:numPr>
        <w:spacing w:before="120" w:after="120" w:line="288" w:lineRule="auto"/>
        <w:ind w:left="0"/>
        <w:jc w:val="left"/>
      </w:pPr>
      <w:r>
        <w:rPr>
          <w:rFonts w:eastAsia="等线" w:ascii="Arial" w:cs="Arial" w:hAnsi="Arial"/>
          <w:sz w:val="22"/>
        </w:rPr>
        <w:t>切换后订单簿的价格显示单位、数量单位同步变更；同时影响最新成交记录中的数量单位。</w:t>
      </w:r>
    </w:p>
    <w:p>
      <w:pPr>
        <w:numPr>
          <w:numId w:val="167"/>
        </w:numPr>
        <w:spacing w:before="120" w:after="120" w:line="288" w:lineRule="auto"/>
        <w:ind w:left="0"/>
        <w:jc w:val="left"/>
      </w:pPr>
      <w:r>
        <w:rPr>
          <w:rFonts w:eastAsia="等线" w:ascii="Arial" w:cs="Arial" w:hAnsi="Arial"/>
          <w:sz w:val="22"/>
        </w:rPr>
        <w:t>下拉菜单同样采用绝对定位，点击外部自动关闭。</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4.4 最新成交视图</w:t>
      </w:r>
      <w:bookmarkEnd w:id="1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4.4.1 表头</w:t>
      </w:r>
    </w:p>
    <w:p>
      <w:pPr>
        <w:numPr>
          <w:numId w:val="168"/>
        </w:numPr>
        <w:spacing w:before="120" w:after="120" w:line="288" w:lineRule="auto"/>
        <w:ind w:left="0"/>
        <w:jc w:val="left"/>
      </w:pPr>
      <w:r>
        <w:rPr>
          <w:rFonts w:eastAsia="等线" w:ascii="Arial" w:cs="Arial" w:hAnsi="Arial"/>
          <w:sz w:val="22"/>
        </w:rPr>
        <w:t>三列布局：时间 | 价格（单位）| 数量。</w:t>
      </w:r>
    </w:p>
    <w:p>
      <w:pPr>
        <w:numPr>
          <w:numId w:val="169"/>
        </w:numPr>
        <w:spacing w:before="120" w:after="120" w:line="288" w:lineRule="auto"/>
        <w:ind w:left="0"/>
        <w:jc w:val="left"/>
      </w:pPr>
      <w:r>
        <w:rPr>
          <w:rFonts w:eastAsia="等线" w:ascii="Arial" w:cs="Arial" w:hAnsi="Arial"/>
          <w:sz w:val="22"/>
        </w:rPr>
        <w:t>价格列标题括号内显示当前计价资产单位（如“USDT”），该单位与订单簿底部选择的计价资产联动。</w:t>
      </w:r>
    </w:p>
    <w:p>
      <w:pPr>
        <w:numPr>
          <w:numId w:val="170"/>
        </w:numPr>
        <w:spacing w:before="120" w:after="120" w:line="288" w:lineRule="auto"/>
        <w:ind w:left="0"/>
        <w:jc w:val="left"/>
      </w:pPr>
      <w:r>
        <w:rPr>
          <w:rFonts w:eastAsia="等线" w:ascii="Arial" w:cs="Arial" w:hAnsi="Arial"/>
          <w:sz w:val="22"/>
        </w:rPr>
        <w:t>数量单位同样联动显示基础资产（如 BTC）。</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4.4.2 成交记录列表</w:t>
      </w:r>
    </w:p>
    <w:p>
      <w:pPr>
        <w:numPr>
          <w:numId w:val="171"/>
        </w:numPr>
        <w:spacing w:before="120" w:after="120" w:line="288" w:lineRule="auto"/>
        <w:ind w:left="0"/>
        <w:jc w:val="left"/>
      </w:pPr>
      <w:r>
        <w:rPr>
          <w:rFonts w:eastAsia="等线" w:ascii="Arial" w:cs="Arial" w:hAnsi="Arial"/>
          <w:sz w:val="22"/>
        </w:rPr>
        <w:t>按时间倒序展示最近 20 笔成交记录。</w:t>
      </w:r>
    </w:p>
    <w:p>
      <w:pPr>
        <w:numPr>
          <w:numId w:val="172"/>
        </w:numPr>
        <w:spacing w:before="120" w:after="120" w:line="288" w:lineRule="auto"/>
        <w:ind w:left="0"/>
        <w:jc w:val="left"/>
      </w:pPr>
      <w:r>
        <w:rPr>
          <w:rFonts w:eastAsia="等线" w:ascii="Arial" w:cs="Arial" w:hAnsi="Arial"/>
          <w:sz w:val="22"/>
        </w:rPr>
        <w:t>每行包含：</w:t>
      </w:r>
    </w:p>
    <w:p>
      <w:pPr>
        <w:numPr>
          <w:numId w:val="173"/>
        </w:numPr>
        <w:spacing w:before="120" w:after="120" w:line="288" w:lineRule="auto"/>
        <w:ind w:left="453"/>
        <w:jc w:val="left"/>
      </w:pPr>
      <w:r>
        <w:rPr>
          <w:rFonts w:eastAsia="等线" w:ascii="Arial" w:cs="Arial" w:hAnsi="Arial"/>
          <w:sz w:val="22"/>
        </w:rPr>
        <w:t>成交时间（格式：HH:mm）。</w:t>
      </w:r>
    </w:p>
    <w:p>
      <w:pPr>
        <w:numPr>
          <w:numId w:val="174"/>
        </w:numPr>
        <w:spacing w:before="120" w:after="120" w:line="288" w:lineRule="auto"/>
        <w:ind w:left="453"/>
        <w:jc w:val="left"/>
      </w:pPr>
      <w:r>
        <w:rPr>
          <w:rFonts w:eastAsia="等线" w:ascii="Arial" w:cs="Arial" w:hAnsi="Arial"/>
          <w:sz w:val="22"/>
        </w:rPr>
        <w:t>成交价格（颜色：买方主动吃单为绿色，卖方主动吃单为红色）。</w:t>
      </w:r>
    </w:p>
    <w:p>
      <w:pPr>
        <w:numPr>
          <w:numId w:val="175"/>
        </w:numPr>
        <w:spacing w:before="120" w:after="120" w:line="288" w:lineRule="auto"/>
        <w:ind w:left="453"/>
        <w:jc w:val="left"/>
      </w:pPr>
      <w:r>
        <w:rPr>
          <w:rFonts w:eastAsia="等线" w:ascii="Arial" w:cs="Arial" w:hAnsi="Arial"/>
          <w:sz w:val="22"/>
        </w:rPr>
        <w:t>成交数量（带基础资产单位，大额使用 K/M/B 缩写）。</w:t>
      </w:r>
    </w:p>
    <w:p>
      <w:pPr>
        <w:numPr>
          <w:numId w:val="176"/>
        </w:numPr>
        <w:spacing w:before="120" w:after="120" w:line="288" w:lineRule="auto"/>
        <w:ind w:left="0"/>
        <w:jc w:val="left"/>
      </w:pPr>
      <w:r>
        <w:rPr>
          <w:rFonts w:eastAsia="等线" w:ascii="Arial" w:cs="Arial" w:hAnsi="Arial"/>
          <w:sz w:val="22"/>
        </w:rPr>
        <w:t>新成交出现时自动插入列表顶部，并平滑移除最旧记录。</w:t>
      </w:r>
    </w:p>
    <w:p>
      <w:pPr>
        <w:numPr>
          <w:numId w:val="177"/>
        </w:numPr>
        <w:spacing w:before="120" w:after="120" w:line="288" w:lineRule="auto"/>
        <w:ind w:left="0"/>
        <w:jc w:val="left"/>
      </w:pPr>
      <w:r>
        <w:rPr>
          <w:rFonts w:eastAsia="等线" w:ascii="Arial" w:cs="Arial" w:hAnsi="Arial"/>
          <w:sz w:val="22"/>
        </w:rPr>
        <w:t>若切换到订单簿再切回，列表重新渲染最新数据。</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4.4.3 数据更新</w:t>
      </w:r>
    </w:p>
    <w:p>
      <w:pPr>
        <w:numPr>
          <w:numId w:val="178"/>
        </w:numPr>
        <w:spacing w:before="120" w:after="120" w:line="288" w:lineRule="auto"/>
        <w:ind w:left="0"/>
        <w:jc w:val="left"/>
      </w:pPr>
      <w:r>
        <w:rPr>
          <w:rFonts w:eastAsia="等线" w:ascii="Arial" w:cs="Arial" w:hAnsi="Arial"/>
          <w:sz w:val="22"/>
        </w:rPr>
        <w:t>通过 WebSocket 或轮询实时获取成交数据。</w:t>
      </w:r>
    </w:p>
    <w:p>
      <w:pPr>
        <w:numPr>
          <w:numId w:val="179"/>
        </w:numPr>
        <w:spacing w:before="120" w:after="120" w:line="288" w:lineRule="auto"/>
        <w:ind w:left="0"/>
        <w:jc w:val="left"/>
      </w:pPr>
      <w:r>
        <w:rPr>
          <w:rFonts w:eastAsia="等线" w:ascii="Arial" w:cs="Arial" w:hAnsi="Arial"/>
          <w:sz w:val="22"/>
        </w:rPr>
        <w:t>订单簿深度数据和最新成交数据在同一数据通道中更新，保证一致性。</w:t>
      </w:r>
    </w:p>
    <w:p>
      <w:pPr>
        <w:numPr>
          <w:numId w:val="180"/>
        </w:numPr>
        <w:spacing w:before="120" w:after="120" w:line="288" w:lineRule="auto"/>
        <w:ind w:left="0"/>
        <w:jc w:val="left"/>
      </w:pPr>
      <w:r>
        <w:rPr>
          <w:rFonts w:eastAsia="等线" w:ascii="Arial" w:cs="Arial" w:hAnsi="Arial"/>
          <w:sz w:val="22"/>
        </w:rPr>
        <w:t>当用户切换计价资产或精度时，列表即刻按新设置重新格式化显示。</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0" w:id="20"/>
      <w:r>
        <w:rPr>
          <w:rFonts w:eastAsia="等线" w:ascii="Arial" w:cs="Arial" w:hAnsi="Arial"/>
          <w:b w:val="true"/>
          <w:sz w:val="36"/>
        </w:rPr>
        <w:t>5. 交易终端</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5.1 功能概述</w:t>
      </w:r>
      <w:bookmarkEnd w:id="21"/>
    </w:p>
    <w:p>
      <w:pPr>
        <w:spacing w:before="120" w:after="120" w:line="288" w:lineRule="auto"/>
        <w:ind w:left="0"/>
        <w:jc w:val="left"/>
      </w:pPr>
      <w:r>
        <w:rPr>
          <w:rFonts w:eastAsia="等线" w:ascii="Arial" w:cs="Arial" w:hAnsi="Arial"/>
          <w:sz w:val="22"/>
        </w:rPr>
        <w:t>交易终端位于页面右侧，是用户执行下单操作的核心区域。支持开仓/平仓切换、限价/市价下单、止盈止损设置、保证金模式与杠杆调整，并提供下单确认与结果反馈。</w:t>
      </w: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5.2 仓位模式与杠杆</w:t>
      </w:r>
      <w:bookmarkEnd w:id="2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5.2.1 仓位模式切换</w:t>
      </w:r>
    </w:p>
    <w:p>
      <w:pPr>
        <w:spacing w:before="120" w:after="120" w:line="288" w:lineRule="auto"/>
        <w:ind w:left="0"/>
        <w:jc w:val="left"/>
      </w:pPr>
      <w:r>
        <w:rPr>
          <w:rFonts w:eastAsia="等线" w:ascii="Arial" w:cs="Arial" w:hAnsi="Arial"/>
          <w:b w:val="true"/>
          <w:sz w:val="22"/>
        </w:rPr>
        <w:t>（1）独立设置原则</w:t>
      </w:r>
    </w:p>
    <w:p>
      <w:pPr>
        <w:numPr>
          <w:numId w:val="181"/>
        </w:numPr>
        <w:spacing w:before="120" w:after="120" w:line="288" w:lineRule="auto"/>
        <w:ind w:left="0"/>
        <w:jc w:val="left"/>
      </w:pPr>
      <w:r>
        <w:rPr>
          <w:rFonts w:eastAsia="等线" w:ascii="Arial" w:cs="Arial" w:hAnsi="Arial"/>
          <w:sz w:val="22"/>
        </w:rPr>
        <w:t>每个交易对的仓位模式（全仓/逐仓）独立设置，互不影响。</w:t>
      </w:r>
    </w:p>
    <w:p>
      <w:pPr>
        <w:numPr>
          <w:numId w:val="182"/>
        </w:numPr>
        <w:spacing w:before="120" w:after="120" w:line="288" w:lineRule="auto"/>
        <w:ind w:left="0"/>
        <w:jc w:val="left"/>
      </w:pPr>
      <w:r>
        <w:rPr>
          <w:rFonts w:eastAsia="等线" w:ascii="Arial" w:cs="Arial" w:hAnsi="Arial"/>
          <w:sz w:val="22"/>
        </w:rPr>
        <w:t>切换交易对时，仓位模式自动切换为该交易对已保存的设置；若首次交易该合约，默认全仓。</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（2）切换触发</w:t>
      </w:r>
    </w:p>
    <w:p>
      <w:pPr>
        <w:numPr>
          <w:numId w:val="183"/>
        </w:numPr>
        <w:spacing w:before="120" w:after="120" w:line="288" w:lineRule="auto"/>
        <w:ind w:left="0"/>
        <w:jc w:val="left"/>
      </w:pPr>
      <w:r>
        <w:rPr>
          <w:rFonts w:eastAsia="等线" w:ascii="Arial" w:cs="Arial" w:hAnsi="Arial"/>
          <w:sz w:val="22"/>
        </w:rPr>
        <w:t>点击仓位模式按钮（显示当前模式，如“全仓”），弹出保证金模式选择弹窗。</w:t>
      </w:r>
    </w:p>
    <w:p>
      <w:pPr>
        <w:numPr>
          <w:numId w:val="184"/>
        </w:numPr>
        <w:spacing w:before="120" w:after="120" w:line="288" w:lineRule="auto"/>
        <w:ind w:left="0"/>
        <w:jc w:val="left"/>
      </w:pPr>
      <w:r>
        <w:rPr>
          <w:rFonts w:eastAsia="等线" w:ascii="Arial" w:cs="Arial" w:hAnsi="Arial"/>
          <w:sz w:val="22"/>
        </w:rPr>
        <w:t>弹窗内两个卡片式选项：全仓 / 逐仓。</w:t>
      </w:r>
    </w:p>
    <w:p>
      <w:pPr>
        <w:numPr>
          <w:numId w:val="185"/>
        </w:numPr>
        <w:spacing w:before="120" w:after="120" w:line="288" w:lineRule="auto"/>
        <w:ind w:left="0"/>
        <w:jc w:val="left"/>
      </w:pPr>
      <w:r>
        <w:rPr>
          <w:rFonts w:eastAsia="等线" w:ascii="Arial" w:cs="Arial" w:hAnsi="Arial"/>
          <w:sz w:val="22"/>
        </w:rPr>
        <w:t>选中卡片高亮</w:t>
      </w:r>
    </w:p>
    <w:p>
      <w:pPr>
        <w:numPr>
          <w:numId w:val="186"/>
        </w:numPr>
        <w:spacing w:before="120" w:after="120" w:line="288" w:lineRule="auto"/>
        <w:ind w:left="0"/>
        <w:jc w:val="left"/>
      </w:pPr>
      <w:r>
        <w:rPr>
          <w:rFonts w:eastAsia="等线" w:ascii="Arial" w:cs="Arial" w:hAnsi="Arial"/>
          <w:sz w:val="22"/>
        </w:rPr>
        <w:t>弹窗内说明文案：</w:t>
      </w:r>
    </w:p>
    <w:p>
      <w:pPr>
        <w:numPr>
          <w:numId w:val="187"/>
        </w:numPr>
        <w:spacing w:before="120" w:after="120" w:line="288" w:lineRule="auto"/>
        <w:ind w:left="453"/>
        <w:jc w:val="left"/>
      </w:pPr>
      <w:r>
        <w:rPr>
          <w:rFonts w:eastAsia="等线" w:ascii="Arial" w:cs="Arial" w:hAnsi="Arial"/>
          <w:sz w:val="22"/>
        </w:rPr>
        <w:t>全仓：保证金资产相同的全仓仓位共享该资产的全仓保证金。在强平事件中，交易者可能损失全部该保证金和该保证金资产下的所有全仓仓位。</w:t>
      </w:r>
    </w:p>
    <w:p>
      <w:pPr>
        <w:numPr>
          <w:numId w:val="188"/>
        </w:numPr>
        <w:spacing w:before="120" w:after="120" w:line="288" w:lineRule="auto"/>
        <w:ind w:left="453"/>
        <w:jc w:val="left"/>
      </w:pPr>
      <w:r>
        <w:rPr>
          <w:rFonts w:eastAsia="等线" w:ascii="Arial" w:cs="Arial" w:hAnsi="Arial"/>
          <w:sz w:val="22"/>
        </w:rPr>
        <w:t>逐仓：一定数量保证金被分配到仓位上。如果仓位保证金亏损到低于维持保证金的水平，仓位将被强平。</w:t>
      </w:r>
    </w:p>
    <w:p>
      <w:pPr>
        <w:numPr>
          <w:numId w:val="189"/>
        </w:numPr>
        <w:spacing w:before="120" w:after="120" w:line="288" w:lineRule="auto"/>
        <w:ind w:left="453"/>
        <w:jc w:val="left"/>
      </w:pPr>
      <w:r>
        <w:rPr>
          <w:rFonts w:eastAsia="等线" w:ascii="Arial" w:cs="Arial" w:hAnsi="Arial"/>
          <w:sz w:val="22"/>
        </w:rPr>
        <w:t>底部提示：“调整保证金模式仅对当前合约生效”。</w:t>
      </w:r>
    </w:p>
    <w:p>
      <w:pPr>
        <w:numPr>
          <w:numId w:val="190"/>
        </w:numPr>
        <w:spacing w:before="120" w:after="120" w:line="288" w:lineRule="auto"/>
        <w:ind w:left="0"/>
        <w:jc w:val="left"/>
      </w:pPr>
      <w:r>
        <w:rPr>
          <w:rFonts w:eastAsia="等线" w:ascii="Arial" w:cs="Arial" w:hAnsi="Arial"/>
          <w:sz w:val="22"/>
        </w:rPr>
        <w:t>点击“确认”保存设置并关闭弹窗。</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（3）切换限制</w:t>
      </w:r>
    </w:p>
    <w:p>
      <w:pPr>
        <w:numPr>
          <w:numId w:val="191"/>
        </w:numPr>
        <w:spacing w:before="120" w:after="120" w:line="288" w:lineRule="auto"/>
        <w:ind w:left="0"/>
        <w:jc w:val="left"/>
      </w:pPr>
      <w:r>
        <w:rPr>
          <w:rFonts w:eastAsia="等线" w:ascii="Arial" w:cs="Arial" w:hAnsi="Arial"/>
          <w:b w:val="true"/>
          <w:sz w:val="22"/>
        </w:rPr>
        <w:t>当前交易对存在未平仓持仓时，不允许切换仓位模式。</w:t>
      </w:r>
    </w:p>
    <w:p>
      <w:pPr>
        <w:numPr>
          <w:numId w:val="192"/>
        </w:numPr>
        <w:spacing w:before="120" w:after="120" w:line="288" w:lineRule="auto"/>
        <w:ind w:left="0"/>
        <w:jc w:val="left"/>
      </w:pPr>
      <w:r>
        <w:rPr>
          <w:rFonts w:eastAsia="等线" w:ascii="Arial" w:cs="Arial" w:hAnsi="Arial"/>
          <w:sz w:val="22"/>
        </w:rPr>
        <w:t>若用户在持有仓位时尝试切换，点击“确认”后弹窗不关闭，并弹出错误提示：“当前合约存在持仓，无法切换保证金模式。”</w:t>
      </w:r>
    </w:p>
    <w:p>
      <w:pPr>
        <w:numPr>
          <w:numId w:val="193"/>
        </w:numPr>
        <w:spacing w:before="120" w:after="120" w:line="288" w:lineRule="auto"/>
        <w:ind w:left="0"/>
        <w:jc w:val="left"/>
      </w:pPr>
      <w:r>
        <w:rPr>
          <w:rFonts w:eastAsia="等线" w:ascii="Arial" w:cs="Arial" w:hAnsi="Arial"/>
          <w:sz w:val="22"/>
        </w:rPr>
        <w:t>无持仓时正常切换。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5.2.2 杠杆倍数设置</w:t>
      </w:r>
    </w:p>
    <w:p>
      <w:pPr>
        <w:spacing w:before="120" w:after="120" w:line="288" w:lineRule="auto"/>
        <w:ind w:left="0"/>
        <w:jc w:val="left"/>
      </w:pPr>
      <w:r>
        <w:rPr>
          <w:rFonts w:eastAsia="等线" w:ascii="Arial" w:cs="Arial" w:hAnsi="Arial"/>
          <w:b w:val="true"/>
          <w:sz w:val="22"/>
        </w:rPr>
        <w:t>（1）多空杠杆独立设置</w:t>
      </w:r>
    </w:p>
    <w:p>
      <w:pPr>
        <w:numPr>
          <w:numId w:val="194"/>
        </w:numPr>
        <w:spacing w:before="120" w:after="120" w:line="288" w:lineRule="auto"/>
        <w:ind w:left="0"/>
        <w:jc w:val="left"/>
      </w:pPr>
      <w:r>
        <w:rPr>
          <w:rFonts w:eastAsia="等线" w:ascii="Arial" w:cs="Arial" w:hAnsi="Arial"/>
          <w:sz w:val="22"/>
        </w:rPr>
        <w:t>每个交易对的</w:t>
      </w:r>
      <w:r>
        <w:rPr>
          <w:rFonts w:eastAsia="等线" w:ascii="Arial" w:cs="Arial" w:hAnsi="Arial"/>
          <w:b w:val="true"/>
          <w:sz w:val="22"/>
        </w:rPr>
        <w:t>做多杠杆</w:t>
      </w:r>
      <w:r>
        <w:rPr>
          <w:rFonts w:eastAsia="等线" w:ascii="Arial" w:cs="Arial" w:hAnsi="Arial"/>
          <w:sz w:val="22"/>
        </w:rPr>
        <w:t>和</w:t>
      </w:r>
      <w:r>
        <w:rPr>
          <w:rFonts w:eastAsia="等线" w:ascii="Arial" w:cs="Arial" w:hAnsi="Arial"/>
          <w:b w:val="true"/>
          <w:sz w:val="22"/>
        </w:rPr>
        <w:t>做空杠杆</w:t>
      </w:r>
      <w:r>
        <w:rPr>
          <w:rFonts w:eastAsia="等线" w:ascii="Arial" w:cs="Arial" w:hAnsi="Arial"/>
          <w:sz w:val="22"/>
        </w:rPr>
        <w:t>可以</w:t>
      </w:r>
      <w:r>
        <w:rPr>
          <w:rFonts w:eastAsia="等线" w:ascii="Arial" w:cs="Arial" w:hAnsi="Arial"/>
          <w:b w:val="true"/>
          <w:sz w:val="22"/>
        </w:rPr>
        <w:t>独立设置</w:t>
      </w:r>
      <w:r>
        <w:rPr>
          <w:rFonts w:eastAsia="等线" w:ascii="Arial" w:cs="Arial" w:hAnsi="Arial"/>
          <w:sz w:val="22"/>
        </w:rPr>
        <w:t>，互不影响。</w:t>
      </w:r>
    </w:p>
    <w:p>
      <w:pPr>
        <w:numPr>
          <w:numId w:val="195"/>
        </w:numPr>
        <w:spacing w:before="120" w:after="120" w:line="288" w:lineRule="auto"/>
        <w:ind w:left="0"/>
        <w:jc w:val="left"/>
      </w:pPr>
      <w:r>
        <w:rPr>
          <w:rFonts w:eastAsia="等线" w:ascii="Arial" w:cs="Arial" w:hAnsi="Arial"/>
          <w:sz w:val="22"/>
        </w:rPr>
        <w:t>用户可为同一交易对的不同方向设置不同的杠杆倍数（如做多 100x，做空 50x）。</w:t>
      </w:r>
    </w:p>
    <w:p>
      <w:pPr>
        <w:numPr>
          <w:numId w:val="196"/>
        </w:numPr>
        <w:spacing w:before="120" w:after="120" w:line="288" w:lineRule="auto"/>
        <w:ind w:left="0"/>
        <w:jc w:val="left"/>
      </w:pPr>
      <w:r>
        <w:rPr>
          <w:rFonts w:eastAsia="等线" w:ascii="Arial" w:cs="Arial" w:hAnsi="Arial"/>
          <w:sz w:val="22"/>
        </w:rPr>
        <w:t>切换交易对时，多空杠杆分别恢复为该交易对已保存的设置；若首次交易该合约，默认均为后台配置的最低杠杆倍数（或用户上次在该交易对设置的值）。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（2）杠杆阶梯由后台配置决定</w:t>
      </w:r>
    </w:p>
    <w:p>
      <w:pPr>
        <w:numPr>
          <w:numId w:val="197"/>
        </w:numPr>
        <w:spacing w:before="120" w:after="120" w:line="288" w:lineRule="auto"/>
        <w:ind w:left="0"/>
        <w:jc w:val="left"/>
      </w:pPr>
      <w:r>
        <w:rPr>
          <w:rFonts w:eastAsia="等线" w:ascii="Arial" w:cs="Arial" w:hAnsi="Arial"/>
          <w:sz w:val="22"/>
        </w:rPr>
        <w:t>每个交易对的杠杆配置独立，由后台风控系统配置。</w:t>
      </w:r>
    </w:p>
    <w:p>
      <w:pPr>
        <w:numPr>
          <w:numId w:val="198"/>
        </w:numPr>
        <w:spacing w:before="120" w:after="120" w:line="288" w:lineRule="auto"/>
        <w:ind w:left="0"/>
        <w:jc w:val="left"/>
      </w:pPr>
      <w:r>
        <w:rPr>
          <w:rFonts w:eastAsia="等线" w:ascii="Arial" w:cs="Arial" w:hAnsi="Arial"/>
          <w:sz w:val="22"/>
        </w:rPr>
        <w:t>杠杆不是随意输入的任意值，而是由后台配置的</w:t>
      </w:r>
      <w:r>
        <w:rPr>
          <w:rFonts w:eastAsia="等线" w:ascii="Arial" w:cs="Arial" w:hAnsi="Arial"/>
          <w:b w:val="true"/>
          <w:sz w:val="22"/>
        </w:rPr>
        <w:t>杠杆阶梯</w:t>
      </w:r>
      <w:r>
        <w:rPr>
          <w:rFonts w:eastAsia="等线" w:ascii="Arial" w:cs="Arial" w:hAnsi="Arial"/>
          <w:sz w:val="22"/>
        </w:rPr>
        <w:t>决定。</w:t>
      </w:r>
    </w:p>
    <w:p>
      <w:pPr>
        <w:numPr>
          <w:numId w:val="199"/>
        </w:numPr>
        <w:spacing w:before="120" w:after="120" w:line="288" w:lineRule="auto"/>
        <w:ind w:left="0"/>
        <w:jc w:val="left"/>
      </w:pPr>
      <w:r>
        <w:rPr>
          <w:rFonts w:eastAsia="等线" w:ascii="Arial" w:cs="Arial" w:hAnsi="Arial"/>
          <w:sz w:val="22"/>
        </w:rPr>
        <w:t>后台配置包括：</w:t>
      </w:r>
    </w:p>
    <w:p>
      <w:pPr>
        <w:numPr>
          <w:numId w:val="200"/>
        </w:numPr>
        <w:spacing w:before="120" w:after="120" w:line="288" w:lineRule="auto"/>
        <w:ind w:left="453"/>
        <w:jc w:val="left"/>
      </w:pPr>
      <w:r>
        <w:rPr>
          <w:rFonts w:eastAsia="等线" w:ascii="Arial" w:cs="Arial" w:hAnsi="Arial"/>
          <w:sz w:val="22"/>
        </w:rPr>
        <w:t>该交易对允许的最大杠杆倍数（如 100x）。</w:t>
      </w:r>
    </w:p>
    <w:p>
      <w:pPr>
        <w:numPr>
          <w:numId w:val="201"/>
        </w:numPr>
        <w:spacing w:before="120" w:after="120" w:line="288" w:lineRule="auto"/>
        <w:ind w:left="453"/>
        <w:jc w:val="left"/>
      </w:pPr>
      <w:r>
        <w:rPr>
          <w:rFonts w:eastAsia="等线" w:ascii="Arial" w:cs="Arial" w:hAnsi="Arial"/>
          <w:sz w:val="22"/>
        </w:rPr>
        <w:t>该交易对多空方向是否支持不同杠杆阶梯（通常一致，但支持独立配置）。</w:t>
      </w:r>
    </w:p>
    <w:p>
      <w:pPr>
        <w:numPr>
          <w:numId w:val="202"/>
        </w:numPr>
        <w:spacing w:before="120" w:after="120" w:line="288" w:lineRule="auto"/>
        <w:ind w:left="453"/>
        <w:jc w:val="left"/>
      </w:pPr>
      <w:r>
        <w:rPr>
          <w:rFonts w:eastAsia="等线" w:ascii="Arial" w:cs="Arial" w:hAnsi="Arial"/>
          <w:sz w:val="22"/>
        </w:rPr>
        <w:t>每个杠杆阶梯对应的最大可开仓位名义价值（即仓位价值上限）。</w:t>
      </w:r>
    </w:p>
    <w:p>
      <w:pPr>
        <w:numPr>
          <w:numId w:val="203"/>
        </w:numPr>
        <w:spacing w:before="120" w:after="120" w:line="288" w:lineRule="auto"/>
        <w:ind w:left="0"/>
        <w:jc w:val="left"/>
      </w:pPr>
      <w:r>
        <w:rPr>
          <w:rFonts w:eastAsia="等线" w:ascii="Arial" w:cs="Arial" w:hAnsi="Arial"/>
          <w:sz w:val="22"/>
        </w:rPr>
        <w:t>示例阶梯（多空可共用同一套阶梯，也可独立配置）：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杠杆倍数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最大名义价值（USDT）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50,000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100,000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200,000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500,000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1,000,000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2,000,000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1x</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无上限</w:t>
            </w:r>
          </w:p>
        </w:tc>
      </w:tr>
    </w:tbl>
    <w:p>
      <w:pPr>
        <w:numPr>
          <w:numId w:val="204"/>
        </w:numPr>
        <w:spacing w:before="120" w:after="120" w:line="288" w:lineRule="auto"/>
        <w:ind w:left="0"/>
        <w:jc w:val="left"/>
      </w:pPr>
      <w:r>
        <w:rPr>
          <w:rFonts w:eastAsia="等线" w:ascii="Arial" w:cs="Arial" w:hAnsi="Arial"/>
          <w:sz w:val="22"/>
        </w:rPr>
        <w:t>前端从后台接口获取当前交易对的杠杆阶梯配置，渲染滑块可用档位。</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（3）杠杆调整弹窗</w:t>
      </w:r>
    </w:p>
    <w:p>
      <w:pPr>
        <w:numPr>
          <w:numId w:val="205"/>
        </w:numPr>
        <w:spacing w:before="120" w:after="120" w:line="288" w:lineRule="auto"/>
        <w:ind w:left="0"/>
        <w:jc w:val="left"/>
      </w:pPr>
      <w:r>
        <w:rPr>
          <w:rFonts w:eastAsia="等线" w:ascii="Arial" w:cs="Arial" w:hAnsi="Arial"/>
          <w:sz w:val="22"/>
        </w:rPr>
        <w:t>点击交易终端顶部的杠杆倍数按钮，弹出杠杆调整弹窗。</w:t>
      </w:r>
    </w:p>
    <w:p>
      <w:pPr>
        <w:numPr>
          <w:numId w:val="206"/>
        </w:numPr>
        <w:spacing w:before="120" w:after="120" w:line="288" w:lineRule="auto"/>
        <w:ind w:left="0"/>
        <w:jc w:val="left"/>
      </w:pPr>
      <w:r>
        <w:rPr>
          <w:rFonts w:eastAsia="等线" w:ascii="Arial" w:cs="Arial" w:hAnsi="Arial"/>
          <w:sz w:val="22"/>
        </w:rPr>
        <w:t>弹窗内分为两个区域：</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【做多杠杆】区域：</w:t>
      </w:r>
    </w:p>
    <w:p>
      <w:pPr>
        <w:numPr>
          <w:numId w:val="207"/>
        </w:numPr>
        <w:spacing w:before="120" w:after="120" w:line="288" w:lineRule="auto"/>
        <w:ind w:left="0"/>
        <w:jc w:val="left"/>
      </w:pPr>
      <w:r>
        <w:rPr>
          <w:rFonts w:eastAsia="等线" w:ascii="Arial" w:cs="Arial" w:hAnsi="Arial"/>
          <w:sz w:val="22"/>
        </w:rPr>
        <w:t>显示当前做多杠杆倍数。</w:t>
      </w:r>
    </w:p>
    <w:p>
      <w:pPr>
        <w:numPr>
          <w:numId w:val="208"/>
        </w:numPr>
        <w:spacing w:before="120" w:after="120" w:line="288" w:lineRule="auto"/>
        <w:ind w:left="0"/>
        <w:jc w:val="left"/>
      </w:pPr>
      <w:r>
        <w:rPr>
          <w:rFonts w:eastAsia="等线" w:ascii="Arial" w:cs="Arial" w:hAnsi="Arial"/>
          <w:sz w:val="22"/>
        </w:rPr>
        <w:t>步进输入器（- / 输入框 / +）和滑块，档位由后台杠杆阶梯配置决定。</w:t>
      </w:r>
    </w:p>
    <w:p>
      <w:pPr>
        <w:numPr>
          <w:numId w:val="209"/>
        </w:numPr>
        <w:spacing w:before="120" w:after="120" w:line="288" w:lineRule="auto"/>
        <w:ind w:left="0"/>
        <w:jc w:val="left"/>
      </w:pPr>
      <w:r>
        <w:rPr>
          <w:rFonts w:eastAsia="等线" w:ascii="Arial" w:cs="Arial" w:hAnsi="Arial"/>
          <w:sz w:val="22"/>
        </w:rPr>
        <w:t>下方显示当前做多杠杆阶梯下的最大可开名义价值。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【做空杠杆】区域：</w:t>
      </w:r>
    </w:p>
    <w:p>
      <w:pPr>
        <w:numPr>
          <w:numId w:val="210"/>
        </w:numPr>
        <w:spacing w:before="120" w:after="120" w:line="288" w:lineRule="auto"/>
        <w:ind w:left="0"/>
        <w:jc w:val="left"/>
      </w:pPr>
      <w:r>
        <w:rPr>
          <w:rFonts w:eastAsia="等线" w:ascii="Arial" w:cs="Arial" w:hAnsi="Arial"/>
          <w:sz w:val="22"/>
        </w:rPr>
        <w:t>显示当前做空杠杆倍数。</w:t>
      </w:r>
    </w:p>
    <w:p>
      <w:pPr>
        <w:numPr>
          <w:numId w:val="211"/>
        </w:numPr>
        <w:spacing w:before="120" w:after="120" w:line="288" w:lineRule="auto"/>
        <w:ind w:left="0"/>
        <w:jc w:val="left"/>
      </w:pPr>
      <w:r>
        <w:rPr>
          <w:rFonts w:eastAsia="等线" w:ascii="Arial" w:cs="Arial" w:hAnsi="Arial"/>
          <w:sz w:val="22"/>
        </w:rPr>
        <w:t>步进输入器和滑块，与做多区域交互一致。</w:t>
      </w:r>
    </w:p>
    <w:p>
      <w:pPr>
        <w:numPr>
          <w:numId w:val="212"/>
        </w:numPr>
        <w:spacing w:before="120" w:after="120" w:line="288" w:lineRule="auto"/>
        <w:ind w:left="0"/>
        <w:jc w:val="left"/>
      </w:pPr>
      <w:r>
        <w:rPr>
          <w:rFonts w:eastAsia="等线" w:ascii="Arial" w:cs="Arial" w:hAnsi="Arial"/>
          <w:sz w:val="22"/>
        </w:rPr>
        <w:t>下方显示当前做空杠杆阶梯下的最大可开名义价值。</w:t>
      </w:r>
    </w:p>
    <w:p>
      <w:pPr>
        <w:spacing w:before="120" w:after="120" w:line="288" w:lineRule="auto"/>
        <w:ind w:left="453"/>
        <w:jc w:val="left"/>
      </w:pPr>
    </w:p>
    <w:p>
      <w:pPr>
        <w:numPr>
          <w:numId w:val="213"/>
        </w:numPr>
        <w:spacing w:before="120" w:after="120" w:line="288" w:lineRule="auto"/>
        <w:ind w:left="0"/>
        <w:jc w:val="left"/>
      </w:pPr>
      <w:r>
        <w:rPr>
          <w:rFonts w:eastAsia="等线" w:ascii="Arial" w:cs="Arial" w:hAnsi="Arial"/>
          <w:sz w:val="22"/>
        </w:rPr>
        <w:t>两个区域的杠杆可分别调整，互不影响。</w:t>
      </w:r>
    </w:p>
    <w:p>
      <w:pPr>
        <w:numPr>
          <w:numId w:val="214"/>
        </w:numPr>
        <w:spacing w:before="120" w:after="120" w:line="288" w:lineRule="auto"/>
        <w:ind w:left="0"/>
        <w:jc w:val="left"/>
      </w:pPr>
      <w:r>
        <w:rPr>
          <w:rFonts w:eastAsia="等线" w:ascii="Arial" w:cs="Arial" w:hAnsi="Arial"/>
          <w:sz w:val="22"/>
        </w:rPr>
        <w:t>底部“确认”按钮，点击保存多空杠杆设置并关闭弹窗。</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（4）可开仓位的联动计算</w:t>
      </w:r>
    </w:p>
    <w:p>
      <w:pPr>
        <w:numPr>
          <w:numId w:val="215"/>
        </w:numPr>
        <w:spacing w:before="120" w:after="120" w:line="288" w:lineRule="auto"/>
        <w:ind w:left="0"/>
        <w:jc w:val="left"/>
      </w:pPr>
      <w:r>
        <w:rPr>
          <w:rFonts w:eastAsia="等线" w:ascii="Arial" w:cs="Arial" w:hAnsi="Arial"/>
          <w:sz w:val="22"/>
        </w:rPr>
        <w:t>用户选择不同杠杆倍数时，底部数据面板的“可开”数值联动更新。</w:t>
      </w:r>
    </w:p>
    <w:p>
      <w:pPr>
        <w:numPr>
          <w:numId w:val="216"/>
        </w:numPr>
        <w:spacing w:before="120" w:after="120" w:line="288" w:lineRule="auto"/>
        <w:ind w:left="0"/>
        <w:jc w:val="left"/>
      </w:pPr>
      <w:r>
        <w:rPr>
          <w:rFonts w:eastAsia="等线" w:ascii="Arial" w:cs="Arial" w:hAnsi="Arial"/>
          <w:sz w:val="22"/>
        </w:rPr>
        <w:t>计算逻辑按</w:t>
      </w:r>
      <w:r>
        <w:rPr>
          <w:rFonts w:eastAsia="等线" w:ascii="Arial" w:cs="Arial" w:hAnsi="Arial"/>
          <w:b w:val="true"/>
          <w:sz w:val="22"/>
        </w:rPr>
        <w:t>方向</w:t>
      </w:r>
      <w:r>
        <w:rPr>
          <w:rFonts w:eastAsia="等线" w:ascii="Arial" w:cs="Arial" w:hAnsi="Arial"/>
          <w:sz w:val="22"/>
        </w:rPr>
        <w:t>分别计算：</w:t>
      </w:r>
    </w:p>
    <w:p>
      <w:pPr>
        <w:numPr>
          <w:numId w:val="217"/>
        </w:numPr>
        <w:spacing w:before="120" w:after="120" w:line="288" w:lineRule="auto"/>
        <w:ind w:left="453"/>
        <w:jc w:val="left"/>
      </w:pPr>
      <w:r>
        <w:rPr>
          <w:rFonts w:eastAsia="等线" w:ascii="Arial" w:cs="Arial" w:hAnsi="Arial"/>
          <w:b w:val="true"/>
          <w:sz w:val="22"/>
        </w:rPr>
        <w:t>做多可开</w:t>
      </w:r>
      <w:r>
        <w:rPr>
          <w:rFonts w:eastAsia="等线" w:ascii="Arial" w:cs="Arial" w:hAnsi="Arial"/>
          <w:sz w:val="22"/>
        </w:rPr>
        <w:t>：做多杠杆阶梯对应的仓位价值上限 - 当前该合约</w:t>
      </w:r>
      <w:r>
        <w:rPr>
          <w:rFonts w:eastAsia="等线" w:ascii="Arial" w:cs="Arial" w:hAnsi="Arial"/>
          <w:b w:val="true"/>
          <w:sz w:val="22"/>
        </w:rPr>
        <w:t>做多方向已开名义价值之和</w:t>
      </w:r>
      <w:r>
        <w:rPr>
          <w:rFonts w:eastAsia="等线" w:ascii="Arial" w:cs="Arial" w:hAnsi="Arial"/>
          <w:sz w:val="22"/>
        </w:rPr>
        <w:t>（含挂单冻结保证金对应的名义价值）。若结果 ≤ 0，则显示 0。</w:t>
      </w:r>
    </w:p>
    <w:p>
      <w:pPr>
        <w:numPr>
          <w:numId w:val="218"/>
        </w:numPr>
        <w:spacing w:before="120" w:after="120" w:line="288" w:lineRule="auto"/>
        <w:ind w:left="453"/>
        <w:jc w:val="left"/>
      </w:pPr>
      <w:r>
        <w:rPr>
          <w:rFonts w:eastAsia="等线" w:ascii="Arial" w:cs="Arial" w:hAnsi="Arial"/>
          <w:b w:val="true"/>
          <w:sz w:val="22"/>
        </w:rPr>
        <w:t>做空可开</w:t>
      </w:r>
      <w:r>
        <w:rPr>
          <w:rFonts w:eastAsia="等线" w:ascii="Arial" w:cs="Arial" w:hAnsi="Arial"/>
          <w:sz w:val="22"/>
        </w:rPr>
        <w:t>：做空杠杆阶梯对应的仓位价值上限 - 当前该合约</w:t>
      </w:r>
      <w:r>
        <w:rPr>
          <w:rFonts w:eastAsia="等线" w:ascii="Arial" w:cs="Arial" w:hAnsi="Arial"/>
          <w:b w:val="true"/>
          <w:sz w:val="22"/>
        </w:rPr>
        <w:t>做空方向已开名义价值之和</w:t>
      </w:r>
      <w:r>
        <w:rPr>
          <w:rFonts w:eastAsia="等线" w:ascii="Arial" w:cs="Arial" w:hAnsi="Arial"/>
          <w:sz w:val="22"/>
        </w:rPr>
        <w:t>（含挂单冻结保证金对应的名义价值）。若结果 ≤ 0，则显示 0。</w:t>
      </w:r>
    </w:p>
    <w:p>
      <w:pPr>
        <w:numPr>
          <w:numId w:val="219"/>
        </w:numPr>
        <w:spacing w:before="120" w:after="120" w:line="288" w:lineRule="auto"/>
        <w:ind w:left="0"/>
        <w:jc w:val="left"/>
      </w:pPr>
      <w:r>
        <w:rPr>
          <w:rFonts w:eastAsia="等线" w:ascii="Arial" w:cs="Arial" w:hAnsi="Arial"/>
          <w:sz w:val="22"/>
        </w:rPr>
        <w:t>底部数据面板的“可开”字段按方向分别展示：</w:t>
      </w:r>
    </w:p>
    <w:p>
      <w:pPr>
        <w:numPr>
          <w:numId w:val="220"/>
        </w:numPr>
        <w:spacing w:before="120" w:after="120" w:line="288" w:lineRule="auto"/>
        <w:ind w:left="453"/>
        <w:jc w:val="left"/>
      </w:pPr>
      <w:r>
        <w:rPr>
          <w:rFonts w:eastAsia="等线" w:ascii="Arial" w:cs="Arial" w:hAnsi="Arial"/>
          <w:sz w:val="22"/>
        </w:rPr>
        <w:t>开多模式下：显示做多可开。</w:t>
      </w:r>
    </w:p>
    <w:p>
      <w:pPr>
        <w:numPr>
          <w:numId w:val="221"/>
        </w:numPr>
        <w:spacing w:before="120" w:after="120" w:line="288" w:lineRule="auto"/>
        <w:ind w:left="453"/>
        <w:jc w:val="left"/>
      </w:pPr>
      <w:r>
        <w:rPr>
          <w:rFonts w:eastAsia="等线" w:ascii="Arial" w:cs="Arial" w:hAnsi="Arial"/>
          <w:sz w:val="22"/>
        </w:rPr>
        <w:t>开空模式下：显示做空可开。</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（5）有持仓时的杠杆调整限制</w:t>
      </w:r>
    </w:p>
    <w:p>
      <w:pPr>
        <w:numPr>
          <w:numId w:val="222"/>
        </w:numPr>
        <w:spacing w:before="120" w:after="120" w:line="288" w:lineRule="auto"/>
        <w:ind w:left="0"/>
        <w:jc w:val="left"/>
      </w:pPr>
      <w:r>
        <w:rPr>
          <w:rFonts w:eastAsia="等线" w:ascii="Arial" w:cs="Arial" w:hAnsi="Arial"/>
          <w:b w:val="true"/>
          <w:sz w:val="22"/>
        </w:rPr>
        <w:t>做多杠杆</w:t>
      </w:r>
      <w:r>
        <w:rPr>
          <w:rFonts w:eastAsia="等线" w:ascii="Arial" w:cs="Arial" w:hAnsi="Arial"/>
          <w:sz w:val="22"/>
        </w:rPr>
        <w:t>：当前合约存在</w:t>
      </w:r>
      <w:r>
        <w:rPr>
          <w:rFonts w:eastAsia="等线" w:ascii="Arial" w:cs="Arial" w:hAnsi="Arial"/>
          <w:b w:val="true"/>
          <w:sz w:val="22"/>
        </w:rPr>
        <w:t>做多仓位</w:t>
      </w:r>
      <w:r>
        <w:rPr>
          <w:rFonts w:eastAsia="等线" w:ascii="Arial" w:cs="Arial" w:hAnsi="Arial"/>
          <w:sz w:val="22"/>
        </w:rPr>
        <w:t>时，做多杠杆只允许调高，不允许调低。无做多仓位时可自由调整。</w:t>
      </w:r>
    </w:p>
    <w:p>
      <w:pPr>
        <w:numPr>
          <w:numId w:val="223"/>
        </w:numPr>
        <w:spacing w:before="120" w:after="120" w:line="288" w:lineRule="auto"/>
        <w:ind w:left="0"/>
        <w:jc w:val="left"/>
      </w:pPr>
      <w:r>
        <w:rPr>
          <w:rFonts w:eastAsia="等线" w:ascii="Arial" w:cs="Arial" w:hAnsi="Arial"/>
          <w:b w:val="true"/>
          <w:sz w:val="22"/>
        </w:rPr>
        <w:t>做空杠杆</w:t>
      </w:r>
      <w:r>
        <w:rPr>
          <w:rFonts w:eastAsia="等线" w:ascii="Arial" w:cs="Arial" w:hAnsi="Arial"/>
          <w:sz w:val="22"/>
        </w:rPr>
        <w:t>：当前合约存在</w:t>
      </w:r>
      <w:r>
        <w:rPr>
          <w:rFonts w:eastAsia="等线" w:ascii="Arial" w:cs="Arial" w:hAnsi="Arial"/>
          <w:b w:val="true"/>
          <w:sz w:val="22"/>
        </w:rPr>
        <w:t>做空仓位</w:t>
      </w:r>
      <w:r>
        <w:rPr>
          <w:rFonts w:eastAsia="等线" w:ascii="Arial" w:cs="Arial" w:hAnsi="Arial"/>
          <w:sz w:val="22"/>
        </w:rPr>
        <w:t>时，做空杠杆只允许调高，不允许调低。无做空仓位时可自由调整。</w:t>
      </w:r>
    </w:p>
    <w:p>
      <w:pPr>
        <w:numPr>
          <w:numId w:val="224"/>
        </w:numPr>
        <w:spacing w:before="120" w:after="120" w:line="288" w:lineRule="auto"/>
        <w:ind w:left="0"/>
        <w:jc w:val="left"/>
      </w:pPr>
      <w:r>
        <w:rPr>
          <w:rFonts w:eastAsia="等线" w:ascii="Arial" w:cs="Arial" w:hAnsi="Arial"/>
          <w:sz w:val="22"/>
        </w:rPr>
        <w:t>杠杆调高后，对应方向仓位的杠杆标记同步更新为新高倍数。</w:t>
      </w:r>
    </w:p>
    <w:p>
      <w:pPr>
        <w:numPr>
          <w:numId w:val="225"/>
        </w:numPr>
        <w:spacing w:before="120" w:after="120" w:line="288" w:lineRule="auto"/>
        <w:ind w:left="0"/>
        <w:jc w:val="left"/>
      </w:pPr>
      <w:r>
        <w:rPr>
          <w:rFonts w:eastAsia="等线" w:ascii="Arial" w:cs="Arial" w:hAnsi="Arial"/>
          <w:sz w:val="22"/>
        </w:rPr>
        <w:t>调低时，滑块或输入框禁止操作低于当前杠杆倍数的值，并提示：</w:t>
      </w:r>
    </w:p>
    <w:p>
      <w:pPr>
        <w:spacing w:before="120" w:after="120" w:line="288" w:lineRule="auto"/>
        <w:ind w:left="0"/>
        <w:jc w:val="left"/>
      </w:pPr>
      <w:r>
        <w:rPr>
          <w:rFonts w:eastAsia="等线" w:ascii="Arial" w:cs="Arial" w:hAnsi="Arial"/>
          <w:sz w:val="22"/>
        </w:rPr>
        <w:t>&gt; “当前合约存在持仓，无法调低杠杆。请先平仓后再操作。”</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（6）杠杆调整的生效范围</w:t>
      </w:r>
    </w:p>
    <w:p>
      <w:pPr>
        <w:numPr>
          <w:numId w:val="226"/>
        </w:numPr>
        <w:spacing w:before="120" w:after="120" w:line="288" w:lineRule="auto"/>
        <w:ind w:left="0"/>
        <w:jc w:val="left"/>
      </w:pPr>
      <w:r>
        <w:rPr>
          <w:rFonts w:eastAsia="等线" w:ascii="Arial" w:cs="Arial" w:hAnsi="Arial"/>
          <w:sz w:val="22"/>
        </w:rPr>
        <w:t>杠杆调整仅更新对应方向持仓和挂单的</w:t>
      </w:r>
      <w:r>
        <w:rPr>
          <w:rFonts w:eastAsia="等线" w:ascii="Arial" w:cs="Arial" w:hAnsi="Arial"/>
          <w:b w:val="true"/>
          <w:sz w:val="22"/>
        </w:rPr>
        <w:t>杠杆标记信息</w:t>
      </w:r>
      <w:r>
        <w:rPr>
          <w:rFonts w:eastAsia="等线" w:ascii="Arial" w:cs="Arial" w:hAnsi="Arial"/>
          <w:sz w:val="22"/>
        </w:rPr>
        <w:t>，用于展示和后续开仓限额计算。</w:t>
      </w:r>
    </w:p>
    <w:p>
      <w:pPr>
        <w:numPr>
          <w:numId w:val="227"/>
        </w:numPr>
        <w:spacing w:before="120" w:after="120" w:line="288" w:lineRule="auto"/>
        <w:ind w:left="0"/>
        <w:jc w:val="left"/>
      </w:pPr>
      <w:r>
        <w:rPr>
          <w:rFonts w:eastAsia="等线" w:ascii="Arial" w:cs="Arial" w:hAnsi="Arial"/>
          <w:b w:val="true"/>
          <w:sz w:val="22"/>
        </w:rPr>
        <w:t>实际杠杆率</w:t>
      </w:r>
      <w:r>
        <w:rPr>
          <w:rFonts w:eastAsia="等线" w:ascii="Arial" w:cs="Arial" w:hAnsi="Arial"/>
          <w:sz w:val="22"/>
        </w:rPr>
        <w:t xml:space="preserve"> = 持仓名义价值 / 保证金，由保证金和持仓金额的实际比例决定，不受杠杆标记直接影响。</w:t>
      </w:r>
    </w:p>
    <w:p>
      <w:pPr>
        <w:numPr>
          <w:numId w:val="228"/>
        </w:numPr>
        <w:spacing w:before="120" w:after="120" w:line="288" w:lineRule="auto"/>
        <w:ind w:left="0"/>
        <w:jc w:val="left"/>
      </w:pPr>
      <w:r>
        <w:rPr>
          <w:rFonts w:eastAsia="等线" w:ascii="Arial" w:cs="Arial" w:hAnsi="Arial"/>
          <w:sz w:val="22"/>
        </w:rPr>
        <w:t>调整后，前端以下位置的杠杆倍数显示同步刷新：</w:t>
      </w:r>
    </w:p>
    <w:p>
      <w:pPr>
        <w:numPr>
          <w:numId w:val="229"/>
        </w:numPr>
        <w:spacing w:before="120" w:after="120" w:line="288" w:lineRule="auto"/>
        <w:ind w:left="453"/>
        <w:jc w:val="left"/>
      </w:pPr>
      <w:r>
        <w:rPr>
          <w:rFonts w:eastAsia="等线" w:ascii="Arial" w:cs="Arial" w:hAnsi="Arial"/>
          <w:sz w:val="22"/>
        </w:rPr>
        <w:t>交易终端顶部的杠杆倍数按钮。</w:t>
      </w:r>
    </w:p>
    <w:p>
      <w:pPr>
        <w:numPr>
          <w:numId w:val="230"/>
        </w:numPr>
        <w:spacing w:before="120" w:after="120" w:line="288" w:lineRule="auto"/>
        <w:ind w:left="453"/>
        <w:jc w:val="left"/>
      </w:pPr>
      <w:r>
        <w:rPr>
          <w:rFonts w:eastAsia="等线" w:ascii="Arial" w:cs="Arial" w:hAnsi="Arial"/>
          <w:sz w:val="22"/>
        </w:rPr>
        <w:t>“当前持仓”表格中对应方向仓位的杠杆标签。</w:t>
      </w:r>
    </w:p>
    <w:p>
      <w:pPr>
        <w:numPr>
          <w:numId w:val="231"/>
        </w:numPr>
        <w:spacing w:before="120" w:after="120" w:line="288" w:lineRule="auto"/>
        <w:ind w:left="453"/>
        <w:jc w:val="left"/>
      </w:pPr>
      <w:r>
        <w:rPr>
          <w:rFonts w:eastAsia="等线" w:ascii="Arial" w:cs="Arial" w:hAnsi="Arial"/>
          <w:sz w:val="22"/>
        </w:rPr>
        <w:t>“当前委托”表格中对应方向挂单的杠杆标签。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5.3 开仓/平仓切换</w:t>
      </w:r>
      <w:bookmarkEnd w:id="23"/>
    </w:p>
    <w:p>
      <w:pPr>
        <w:spacing w:before="120" w:after="120" w:line="288" w:lineRule="auto"/>
        <w:ind w:left="0"/>
        <w:jc w:val="left"/>
      </w:pPr>
      <w:r>
        <w:rPr>
          <w:rFonts w:eastAsia="等线" w:ascii="Arial" w:cs="Arial" w:hAnsi="Arial"/>
          <w:b w:val="true"/>
          <w:sz w:val="22"/>
        </w:rPr>
        <w:t>（1）切换按钮</w:t>
      </w:r>
    </w:p>
    <w:p>
      <w:pPr>
        <w:numPr>
          <w:numId w:val="232"/>
        </w:numPr>
        <w:spacing w:before="120" w:after="120" w:line="288" w:lineRule="auto"/>
        <w:ind w:left="0"/>
        <w:jc w:val="left"/>
      </w:pPr>
      <w:r>
        <w:rPr>
          <w:rFonts w:eastAsia="等线" w:ascii="Arial" w:cs="Arial" w:hAnsi="Arial"/>
          <w:sz w:val="22"/>
        </w:rPr>
        <w:t>两个互斥按钮：「开仓」（默认选中，白底加阴影）、「平仓」（灰色文字）。</w:t>
      </w:r>
    </w:p>
    <w:p>
      <w:pPr>
        <w:numPr>
          <w:numId w:val="233"/>
        </w:numPr>
        <w:spacing w:before="120" w:after="120" w:line="288" w:lineRule="auto"/>
        <w:ind w:left="0"/>
        <w:jc w:val="left"/>
      </w:pPr>
      <w:r>
        <w:rPr>
          <w:rFonts w:eastAsia="等线" w:ascii="Arial" w:cs="Arial" w:hAnsi="Arial"/>
          <w:sz w:val="22"/>
        </w:rPr>
        <w:t>切换至平仓时，止盈止损勾选框区域（跟随止盈止损）完全隐藏。</w:t>
      </w:r>
    </w:p>
    <w:p>
      <w:pPr>
        <w:numPr>
          <w:numId w:val="234"/>
        </w:numPr>
        <w:spacing w:before="120" w:after="120" w:line="288" w:lineRule="auto"/>
        <w:ind w:left="0"/>
        <w:jc w:val="left"/>
      </w:pPr>
      <w:r>
        <w:rPr>
          <w:rFonts w:eastAsia="等线" w:ascii="Arial" w:cs="Arial" w:hAnsi="Arial"/>
          <w:sz w:val="22"/>
        </w:rPr>
        <w:t>切换回开仓时，止盈止损勾选框区域恢复显示。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（2）下单按钮联动</w:t>
      </w:r>
    </w:p>
    <w:p>
      <w:pPr>
        <w:numPr>
          <w:numId w:val="235"/>
        </w:numPr>
        <w:spacing w:before="120" w:after="120" w:line="288" w:lineRule="auto"/>
        <w:ind w:left="0"/>
        <w:jc w:val="left"/>
      </w:pPr>
      <w:r>
        <w:rPr>
          <w:rFonts w:eastAsia="等线" w:ascii="Arial" w:cs="Arial" w:hAnsi="Arial"/>
          <w:sz w:val="22"/>
        </w:rPr>
        <w:t>开仓模式：底部显示绿色「开多」和红色「开空」两个按钮。</w:t>
      </w:r>
    </w:p>
    <w:p>
      <w:pPr>
        <w:numPr>
          <w:numId w:val="236"/>
        </w:numPr>
        <w:spacing w:before="120" w:after="120" w:line="288" w:lineRule="auto"/>
        <w:ind w:left="0"/>
        <w:jc w:val="left"/>
      </w:pPr>
      <w:r>
        <w:rPr>
          <w:rFonts w:eastAsia="等线" w:ascii="Arial" w:cs="Arial" w:hAnsi="Arial"/>
          <w:sz w:val="22"/>
        </w:rPr>
        <w:t>平仓模式：底部按钮根据当前持仓方向动态变化：</w:t>
      </w:r>
    </w:p>
    <w:p>
      <w:pPr>
        <w:numPr>
          <w:numId w:val="237"/>
        </w:numPr>
        <w:spacing w:before="120" w:after="120" w:line="288" w:lineRule="auto"/>
        <w:ind w:left="453"/>
        <w:jc w:val="left"/>
      </w:pPr>
      <w:r>
        <w:rPr>
          <w:rFonts w:eastAsia="等线" w:ascii="Arial" w:cs="Arial" w:hAnsi="Arial"/>
          <w:sz w:val="22"/>
        </w:rPr>
        <w:t>持多仓时：显示橙色「市价平多」和「限价平多」。</w:t>
      </w:r>
    </w:p>
    <w:p>
      <w:pPr>
        <w:numPr>
          <w:numId w:val="238"/>
        </w:numPr>
        <w:spacing w:before="120" w:after="120" w:line="288" w:lineRule="auto"/>
        <w:ind w:left="453"/>
        <w:jc w:val="left"/>
      </w:pPr>
      <w:r>
        <w:rPr>
          <w:rFonts w:eastAsia="等线" w:ascii="Arial" w:cs="Arial" w:hAnsi="Arial"/>
          <w:sz w:val="22"/>
        </w:rPr>
        <w:t>持空仓时：显示橙色「市价平空」和「限价平空」。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5.4 订单类型与下单参数配置</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三种订单类型（限价、市价、止盈止损）的下单参数各有不同，以下按订单类型逐一说明其参数构成、输入框交互与前端验证规则。</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5.4.1 限价单</w:t>
      </w:r>
      <w:bookmarkEnd w:id="25"/>
    </w:p>
    <w:p>
      <w:pPr>
        <w:spacing w:before="120" w:after="120" w:line="288" w:lineRule="auto"/>
        <w:ind w:left="0"/>
        <w:jc w:val="left"/>
      </w:pPr>
      <w:r>
        <w:rPr>
          <w:rFonts w:eastAsia="等线" w:ascii="Arial" w:cs="Arial" w:hAnsi="Arial"/>
          <w:b w:val="true"/>
          <w:sz w:val="22"/>
        </w:rPr>
        <w:t>（1）订单参数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20"/>
        <w:gridCol w:w="5460"/>
      </w:tblGrid>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下单价格</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用户手动输入期望的委托价格</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用户输入开仓/平仓数量</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订单有效期</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GTC / FOK / IOC（详见 5.7）</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止盈/止损（可选）</w:t>
            </w:r>
          </w:p>
        </w:tc>
        <w:tc>
          <w:tcPr>
            <w:tcW w:w="5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勾选后可附加跟随止盈止损条件单（详见 5.8）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（2）价格输入框交互</w:t>
      </w:r>
    </w:p>
    <w:p>
      <w:pPr>
        <w:numPr>
          <w:numId w:val="239"/>
        </w:numPr>
        <w:spacing w:before="120" w:after="120" w:line="288" w:lineRule="auto"/>
        <w:ind w:left="0"/>
        <w:jc w:val="left"/>
      </w:pPr>
      <w:r>
        <w:rPr>
          <w:rFonts w:eastAsia="等线" w:ascii="Arial" w:cs="Arial" w:hAnsi="Arial"/>
          <w:sz w:val="22"/>
        </w:rPr>
        <w:t>输入框默认显示当前最新成交价，可编辑。</w:t>
      </w:r>
    </w:p>
    <w:p>
      <w:pPr>
        <w:numPr>
          <w:numId w:val="240"/>
        </w:numPr>
        <w:spacing w:before="120" w:after="120" w:line="288" w:lineRule="auto"/>
        <w:ind w:left="0"/>
        <w:jc w:val="left"/>
      </w:pPr>
      <w:r>
        <w:rPr>
          <w:rFonts w:eastAsia="等线" w:ascii="Arial" w:cs="Arial" w:hAnsi="Arial"/>
          <w:sz w:val="22"/>
        </w:rPr>
        <w:t>输入框右侧显示计价单位（如 USDT）。</w:t>
      </w:r>
    </w:p>
    <w:p>
      <w:pPr>
        <w:numPr>
          <w:numId w:val="241"/>
        </w:numPr>
        <w:spacing w:before="120" w:after="120" w:line="288" w:lineRule="auto"/>
        <w:ind w:left="0"/>
        <w:jc w:val="left"/>
      </w:pPr>
      <w:r>
        <w:rPr>
          <w:rFonts w:eastAsia="等线" w:ascii="Arial" w:cs="Arial" w:hAnsi="Arial"/>
          <w:sz w:val="22"/>
        </w:rPr>
        <w:t>输入框右侧有「最优价」按钮（功能详见 5.5.1）。</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（3）数量输入框交互</w:t>
      </w:r>
    </w:p>
    <w:p>
      <w:pPr>
        <w:numPr>
          <w:numId w:val="242"/>
        </w:numPr>
        <w:spacing w:before="120" w:after="120" w:line="288" w:lineRule="auto"/>
        <w:ind w:left="0"/>
        <w:jc w:val="left"/>
      </w:pPr>
      <w:r>
        <w:rPr>
          <w:rFonts w:eastAsia="等线" w:ascii="Arial" w:cs="Arial" w:hAnsi="Arial"/>
          <w:sz w:val="22"/>
        </w:rPr>
        <w:t>手动输入数量。</w:t>
      </w:r>
    </w:p>
    <w:p>
      <w:pPr>
        <w:numPr>
          <w:numId w:val="243"/>
        </w:numPr>
        <w:spacing w:before="120" w:after="120" w:line="288" w:lineRule="auto"/>
        <w:ind w:left="0"/>
        <w:jc w:val="left"/>
      </w:pPr>
      <w:r>
        <w:rPr>
          <w:rFonts w:eastAsia="等线" w:ascii="Arial" w:cs="Arial" w:hAnsi="Arial"/>
          <w:sz w:val="22"/>
        </w:rPr>
        <w:t>右侧显示下单单位（默认 USDT），点击可切换为 BTC 等基础资产。</w:t>
      </w:r>
    </w:p>
    <w:p>
      <w:pPr>
        <w:numPr>
          <w:numId w:val="244"/>
        </w:numPr>
        <w:spacing w:before="120" w:after="120" w:line="288" w:lineRule="auto"/>
        <w:ind w:left="0"/>
        <w:jc w:val="left"/>
      </w:pPr>
      <w:r>
        <w:rPr>
          <w:rFonts w:eastAsia="等线" w:ascii="Arial" w:cs="Arial" w:hAnsi="Arial"/>
          <w:sz w:val="22"/>
        </w:rPr>
        <w:t>切换单位后，数量值按当前市价自动换算并清空原有输入。</w:t>
      </w:r>
    </w:p>
    <w:p>
      <w:pPr>
        <w:numPr>
          <w:numId w:val="245"/>
        </w:numPr>
        <w:spacing w:before="120" w:after="120" w:line="288" w:lineRule="auto"/>
        <w:ind w:left="0"/>
        <w:jc w:val="left"/>
      </w:pPr>
      <w:r>
        <w:rPr>
          <w:rFonts w:eastAsia="等线" w:ascii="Arial" w:cs="Arial" w:hAnsi="Arial"/>
          <w:sz w:val="22"/>
        </w:rPr>
        <w:t>数量滑块：0% / 25% / 50% / 75% / 100%，拖动或点击档位自动填入对应比例的可用余额。</w:t>
      </w:r>
    </w:p>
    <w:p>
      <w:pPr>
        <w:numPr>
          <w:numId w:val="246"/>
        </w:numPr>
        <w:spacing w:before="120" w:after="120" w:line="288" w:lineRule="auto"/>
        <w:ind w:left="0"/>
        <w:jc w:val="left"/>
      </w:pPr>
      <w:r>
        <w:rPr>
          <w:rFonts w:eastAsia="等线" w:ascii="Arial" w:cs="Arial" w:hAnsi="Arial"/>
          <w:sz w:val="22"/>
        </w:rPr>
        <w:t>可用余额展示：格式“12,450.00 USDT”，旁有“+”按钮（充币弹窗入口）。</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（4）前端验证规则</w:t>
      </w:r>
    </w:p>
    <w:p>
      <w:pPr>
        <w:spacing w:before="120" w:after="120" w:line="288" w:lineRule="auto"/>
        <w:ind w:left="0"/>
        <w:jc w:val="left"/>
      </w:pPr>
      <w:r>
        <w:rPr>
          <w:rFonts w:eastAsia="等线" w:ascii="Arial" w:cs="Arial" w:hAnsi="Arial"/>
          <w:b w:val="true"/>
          <w:sz w:val="22"/>
        </w:rPr>
        <w:t>价格验证：</w:t>
      </w:r>
    </w:p>
    <w:p>
      <w:pPr>
        <w:numPr>
          <w:numId w:val="247"/>
        </w:numPr>
        <w:spacing w:before="120" w:after="120" w:line="288" w:lineRule="auto"/>
        <w:ind w:left="0"/>
        <w:jc w:val="left"/>
      </w:pPr>
      <w:r>
        <w:rPr>
          <w:rFonts w:eastAsia="等线" w:ascii="Arial" w:cs="Arial" w:hAnsi="Arial"/>
          <w:sz w:val="22"/>
        </w:rPr>
        <w:t>只能输入数字，禁止字母和特殊字符。</w:t>
      </w:r>
    </w:p>
    <w:p>
      <w:pPr>
        <w:numPr>
          <w:numId w:val="248"/>
        </w:numPr>
        <w:spacing w:before="120" w:after="120" w:line="288" w:lineRule="auto"/>
        <w:ind w:left="0"/>
        <w:jc w:val="left"/>
      </w:pPr>
      <w:r>
        <w:rPr>
          <w:rFonts w:eastAsia="等线" w:ascii="Arial" w:cs="Arial" w:hAnsi="Arial"/>
          <w:sz w:val="22"/>
        </w:rPr>
        <w:t>价格必须 &gt; 0。</w:t>
      </w:r>
    </w:p>
    <w:p>
      <w:pPr>
        <w:numPr>
          <w:numId w:val="249"/>
        </w:numPr>
        <w:spacing w:before="120" w:after="120" w:line="288" w:lineRule="auto"/>
        <w:ind w:left="0"/>
        <w:jc w:val="left"/>
      </w:pPr>
      <w:r>
        <w:rPr>
          <w:rFonts w:eastAsia="等线" w:ascii="Arial" w:cs="Arial" w:hAnsi="Arial"/>
          <w:sz w:val="22"/>
        </w:rPr>
        <w:t>小数精度：不超过当前交易对的价格精度（如 BTCUSDT 精度 0.1，则最多输入一位小数）。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数量验证：</w:t>
      </w:r>
    </w:p>
    <w:p>
      <w:pPr>
        <w:numPr>
          <w:numId w:val="250"/>
        </w:numPr>
        <w:spacing w:before="120" w:after="120" w:line="288" w:lineRule="auto"/>
        <w:ind w:left="0"/>
        <w:jc w:val="left"/>
      </w:pPr>
      <w:r>
        <w:rPr>
          <w:rFonts w:eastAsia="等线" w:ascii="Arial" w:cs="Arial" w:hAnsi="Arial"/>
          <w:sz w:val="22"/>
        </w:rPr>
        <w:t>只能输入数字。</w:t>
      </w:r>
    </w:p>
    <w:p>
      <w:pPr>
        <w:numPr>
          <w:numId w:val="251"/>
        </w:numPr>
        <w:spacing w:before="120" w:after="120" w:line="288" w:lineRule="auto"/>
        <w:ind w:left="0"/>
        <w:jc w:val="left"/>
      </w:pPr>
      <w:r>
        <w:rPr>
          <w:rFonts w:eastAsia="等线" w:ascii="Arial" w:cs="Arial" w:hAnsi="Arial"/>
          <w:sz w:val="22"/>
        </w:rPr>
        <w:t>小数精度：</w:t>
      </w:r>
    </w:p>
    <w:p>
      <w:pPr>
        <w:numPr>
          <w:numId w:val="252"/>
        </w:numPr>
        <w:spacing w:before="120" w:after="120" w:line="288" w:lineRule="auto"/>
        <w:ind w:left="453"/>
        <w:jc w:val="left"/>
      </w:pPr>
      <w:r>
        <w:rPr>
          <w:rFonts w:eastAsia="等线" w:ascii="Arial" w:cs="Arial" w:hAnsi="Arial"/>
          <w:sz w:val="22"/>
        </w:rPr>
        <w:t>单位为 USDT（计价资产）时：精度与交易对价格精度一致。</w:t>
      </w:r>
    </w:p>
    <w:p>
      <w:pPr>
        <w:numPr>
          <w:numId w:val="253"/>
        </w:numPr>
        <w:spacing w:before="120" w:after="120" w:line="288" w:lineRule="auto"/>
        <w:ind w:left="453"/>
        <w:jc w:val="left"/>
      </w:pPr>
      <w:r>
        <w:rPr>
          <w:rFonts w:eastAsia="等线" w:ascii="Arial" w:cs="Arial" w:hAnsi="Arial"/>
          <w:sz w:val="22"/>
        </w:rPr>
        <w:t>单位为基础资产（如 BTC）时：精度遵循后台配置的下单最小单位。</w:t>
      </w:r>
    </w:p>
    <w:p>
      <w:pPr>
        <w:numPr>
          <w:numId w:val="254"/>
        </w:numPr>
        <w:spacing w:before="120" w:after="120" w:line="288" w:lineRule="auto"/>
        <w:ind w:left="0"/>
        <w:jc w:val="left"/>
      </w:pPr>
      <w:r>
        <w:rPr>
          <w:rFonts w:eastAsia="等线" w:ascii="Arial" w:cs="Arial" w:hAnsi="Arial"/>
          <w:sz w:val="22"/>
        </w:rPr>
        <w:t>数量 × 市价（名义价值）不可超过当前杠杆阶梯的最大可开仓位金额（含已持仓和挂单占用的额度）。</w:t>
      </w:r>
    </w:p>
    <w:p>
      <w:pPr>
        <w:numPr>
          <w:numId w:val="255"/>
        </w:numPr>
        <w:spacing w:before="120" w:after="120" w:line="288" w:lineRule="auto"/>
        <w:ind w:left="0"/>
        <w:jc w:val="left"/>
      </w:pPr>
      <w:r>
        <w:rPr>
          <w:rFonts w:eastAsia="等线" w:ascii="Arial" w:cs="Arial" w:hAnsi="Arial"/>
          <w:sz w:val="22"/>
        </w:rPr>
        <w:t>数量不可小于该交易对的最小交易单位。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5.4.2 市价单</w:t>
      </w:r>
      <w:bookmarkEnd w:id="2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（1）订单参数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522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下单价格</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默认为“市价”，用户无需输入</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用户输入开仓/平仓数量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订单有效期</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市价单默认 IOC（立即成交或取消），不可更改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止盈/止损（可选）</w:t>
            </w:r>
          </w:p>
        </w:tc>
        <w:tc>
          <w:tcPr>
            <w:tcW w:w="5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勾选后可附加跟随止盈止损条件单（详见 5.8）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（2）价格展示</w:t>
      </w:r>
    </w:p>
    <w:p>
      <w:pPr>
        <w:numPr>
          <w:numId w:val="256"/>
        </w:numPr>
        <w:spacing w:before="120" w:after="120" w:line="288" w:lineRule="auto"/>
        <w:ind w:left="0"/>
        <w:jc w:val="left"/>
      </w:pPr>
      <w:r>
        <w:rPr>
          <w:rFonts w:eastAsia="等线" w:ascii="Arial" w:cs="Arial" w:hAnsi="Arial"/>
          <w:sz w:val="22"/>
        </w:rPr>
        <w:t>价格输入框置灰不可编辑，居中显示“市价”灰色文字。</w:t>
      </w:r>
    </w:p>
    <w:p>
      <w:pPr>
        <w:numPr>
          <w:numId w:val="257"/>
        </w:numPr>
        <w:spacing w:before="120" w:after="120" w:line="288" w:lineRule="auto"/>
        <w:ind w:left="0"/>
        <w:jc w:val="left"/>
      </w:pPr>
      <w:r>
        <w:rPr>
          <w:rFonts w:eastAsia="等线" w:ascii="Arial" w:cs="Arial" w:hAnsi="Arial"/>
          <w:sz w:val="22"/>
        </w:rPr>
        <w:t>价格单位（如 USDT）隐藏。</w:t>
      </w:r>
    </w:p>
    <w:p>
      <w:pPr>
        <w:numPr>
          <w:numId w:val="258"/>
        </w:numPr>
        <w:spacing w:before="120" w:after="120" w:line="288" w:lineRule="auto"/>
        <w:ind w:left="0"/>
        <w:jc w:val="left"/>
      </w:pPr>
      <w:r>
        <w:rPr>
          <w:rFonts w:eastAsia="等线" w:ascii="Arial" w:cs="Arial" w:hAnsi="Arial"/>
          <w:sz w:val="22"/>
        </w:rPr>
        <w:t>「最优价」按钮隐藏。</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（3）数量输入框交互</w:t>
      </w:r>
    </w:p>
    <w:p>
      <w:pPr>
        <w:numPr>
          <w:numId w:val="259"/>
        </w:numPr>
        <w:spacing w:before="120" w:after="120" w:line="288" w:lineRule="auto"/>
        <w:ind w:left="0"/>
        <w:jc w:val="left"/>
      </w:pPr>
      <w:r>
        <w:rPr>
          <w:rFonts w:eastAsia="等线" w:ascii="Arial" w:cs="Arial" w:hAnsi="Arial"/>
          <w:sz w:val="22"/>
        </w:rPr>
        <w:t>与限价单的数量输入框完全一致。</w:t>
      </w:r>
    </w:p>
    <w:p>
      <w:pPr>
        <w:numPr>
          <w:numId w:val="260"/>
        </w:numPr>
        <w:spacing w:before="120" w:after="120" w:line="288" w:lineRule="auto"/>
        <w:ind w:left="0"/>
        <w:jc w:val="left"/>
      </w:pPr>
      <w:r>
        <w:rPr>
          <w:rFonts w:eastAsia="等线" w:ascii="Arial" w:cs="Arial" w:hAnsi="Arial"/>
          <w:sz w:val="22"/>
        </w:rPr>
        <w:t>数量滑块、可用余额展示、单位切换均保持一致。</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（4）前端验证规则</w:t>
      </w:r>
    </w:p>
    <w:p>
      <w:pPr>
        <w:spacing w:before="120" w:after="120" w:line="288" w:lineRule="auto"/>
        <w:ind w:left="0"/>
        <w:jc w:val="left"/>
      </w:pPr>
      <w:r>
        <w:rPr>
          <w:rFonts w:eastAsia="等线" w:ascii="Arial" w:cs="Arial" w:hAnsi="Arial"/>
          <w:b w:val="true"/>
          <w:sz w:val="22"/>
        </w:rPr>
        <w:t>数量验证：</w:t>
      </w:r>
    </w:p>
    <w:p>
      <w:pPr>
        <w:numPr>
          <w:numId w:val="261"/>
        </w:numPr>
        <w:spacing w:before="120" w:after="120" w:line="288" w:lineRule="auto"/>
        <w:ind w:left="0"/>
        <w:jc w:val="left"/>
      </w:pPr>
      <w:r>
        <w:rPr>
          <w:rFonts w:eastAsia="等线" w:ascii="Arial" w:cs="Arial" w:hAnsi="Arial"/>
          <w:sz w:val="22"/>
        </w:rPr>
        <w:t>与限价单的数量验证规则一致（精度、最大可开、最小交易单位）。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5.4.3 止盈止损单</w:t>
      </w:r>
      <w:bookmarkEnd w:id="27"/>
    </w:p>
    <w:p>
      <w:pPr>
        <w:spacing w:before="120" w:after="120" w:line="288" w:lineRule="auto"/>
        <w:ind w:left="0"/>
        <w:jc w:val="left"/>
      </w:pPr>
      <w:r>
        <w:rPr>
          <w:rFonts w:eastAsia="等线" w:ascii="Arial" w:cs="Arial" w:hAnsi="Arial"/>
          <w:b w:val="true"/>
          <w:sz w:val="22"/>
        </w:rPr>
        <w:t>（1）功能定位</w:t>
      </w:r>
    </w:p>
    <w:p>
      <w:pPr>
        <w:numPr>
          <w:numId w:val="262"/>
        </w:numPr>
        <w:spacing w:before="120" w:after="120" w:line="288" w:lineRule="auto"/>
        <w:ind w:left="0"/>
        <w:jc w:val="left"/>
      </w:pPr>
      <w:r>
        <w:rPr>
          <w:rFonts w:eastAsia="等线" w:ascii="Arial" w:cs="Arial" w:hAnsi="Arial"/>
          <w:sz w:val="22"/>
        </w:rPr>
        <w:t>止盈止损是一种</w:t>
      </w:r>
      <w:r>
        <w:rPr>
          <w:rFonts w:eastAsia="等线" w:ascii="Arial" w:cs="Arial" w:hAnsi="Arial"/>
          <w:b w:val="true"/>
          <w:sz w:val="22"/>
        </w:rPr>
        <w:t>条件订单</w:t>
      </w:r>
      <w:r>
        <w:rPr>
          <w:rFonts w:eastAsia="等线" w:ascii="Arial" w:cs="Arial" w:hAnsi="Arial"/>
          <w:sz w:val="22"/>
        </w:rPr>
        <w:t>：用户预设触发价格，当市场价格达到时，系统自动提交开仓或平仓委托。</w:t>
      </w:r>
    </w:p>
    <w:p>
      <w:pPr>
        <w:numPr>
          <w:numId w:val="263"/>
        </w:numPr>
        <w:spacing w:before="120" w:after="120" w:line="288" w:lineRule="auto"/>
        <w:ind w:left="0"/>
        <w:jc w:val="left"/>
      </w:pPr>
      <w:r>
        <w:rPr>
          <w:rFonts w:eastAsia="等线" w:ascii="Arial" w:cs="Arial" w:hAnsi="Arial"/>
          <w:sz w:val="22"/>
        </w:rPr>
        <w:t>支持</w:t>
      </w:r>
      <w:r>
        <w:rPr>
          <w:rFonts w:eastAsia="等线" w:ascii="Arial" w:cs="Arial" w:hAnsi="Arial"/>
          <w:b w:val="true"/>
          <w:sz w:val="22"/>
        </w:rPr>
        <w:t>开仓（开多/开空）和平仓（平多/平空）</w:t>
      </w:r>
      <w:r>
        <w:rPr>
          <w:rFonts w:eastAsia="等线" w:ascii="Arial" w:cs="Arial" w:hAnsi="Arial"/>
          <w:sz w:val="22"/>
        </w:rPr>
        <w:t>两种方向，方向由用户通过下单按钮主动选择。</w:t>
      </w:r>
    </w:p>
    <w:p>
      <w:pPr>
        <w:numPr>
          <w:numId w:val="264"/>
        </w:numPr>
        <w:spacing w:before="120" w:after="120" w:line="288" w:lineRule="auto"/>
        <w:ind w:left="0"/>
        <w:jc w:val="left"/>
      </w:pPr>
      <w:r>
        <w:rPr>
          <w:rFonts w:eastAsia="等线" w:ascii="Arial" w:cs="Arial" w:hAnsi="Arial"/>
          <w:sz w:val="22"/>
        </w:rPr>
        <w:t>与限价/市价单上的“止盈/止损勾选框”（跟随止盈止损，见 5.8）是</w:t>
      </w:r>
      <w:r>
        <w:rPr>
          <w:rFonts w:eastAsia="等线" w:ascii="Arial" w:cs="Arial" w:hAnsi="Arial"/>
          <w:b w:val="true"/>
          <w:sz w:val="22"/>
        </w:rPr>
        <w:t>两个不同功能</w:t>
      </w:r>
      <w:r>
        <w:rPr>
          <w:rFonts w:eastAsia="等线" w:ascii="Arial" w:cs="Arial" w:hAnsi="Arial"/>
          <w:sz w:val="22"/>
        </w:rPr>
        <w:t>。</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（2）方向选择</w:t>
      </w:r>
    </w:p>
    <w:p>
      <w:pPr>
        <w:spacing w:before="120" w:after="120" w:line="288" w:lineRule="auto"/>
        <w:ind w:left="0"/>
        <w:jc w:val="left"/>
      </w:pPr>
      <w:r>
        <w:rPr>
          <w:rFonts w:eastAsia="等线" w:ascii="Arial" w:cs="Arial" w:hAnsi="Arial"/>
          <w:sz w:val="22"/>
        </w:rPr>
        <w:t>止盈止损单的</w:t>
      </w:r>
      <w:r>
        <w:rPr>
          <w:rFonts w:eastAsia="等线" w:ascii="Arial" w:cs="Arial" w:hAnsi="Arial"/>
          <w:b w:val="true"/>
          <w:sz w:val="22"/>
        </w:rPr>
        <w:t>开多/开空/平多/平空</w:t>
      </w:r>
      <w:r>
        <w:rPr>
          <w:rFonts w:eastAsia="等线" w:ascii="Arial" w:cs="Arial" w:hAnsi="Arial"/>
          <w:sz w:val="22"/>
        </w:rPr>
        <w:t>方向由用户通过底部下单按钮主动选择，系统不做自动判断。</w:t>
      </w:r>
    </w:p>
    <w:p>
      <w:pPr>
        <w:spacing w:before="120" w:after="120" w:line="288" w:lineRule="auto"/>
        <w:ind w:left="0"/>
        <w:jc w:val="left"/>
      </w:pPr>
    </w:p>
    <w:p>
      <w:pPr>
        <w:numPr>
          <w:numId w:val="265"/>
        </w:numPr>
        <w:spacing w:before="120" w:after="120" w:line="288" w:lineRule="auto"/>
        <w:ind w:left="0"/>
        <w:jc w:val="left"/>
      </w:pPr>
      <w:r>
        <w:rPr>
          <w:rFonts w:eastAsia="等线" w:ascii="Arial" w:cs="Arial" w:hAnsi="Arial"/>
          <w:sz w:val="22"/>
        </w:rPr>
        <w:t>开仓时：用户先选择「双向」或「单向」模式，设置触发价格后，点击底部绿色「开多」或红色「开空」按钮提交订单。</w:t>
      </w:r>
    </w:p>
    <w:p>
      <w:pPr>
        <w:numPr>
          <w:numId w:val="266"/>
        </w:numPr>
        <w:spacing w:before="120" w:after="120" w:line="288" w:lineRule="auto"/>
        <w:ind w:left="0"/>
        <w:jc w:val="left"/>
      </w:pPr>
      <w:r>
        <w:rPr>
          <w:rFonts w:eastAsia="等线" w:ascii="Arial" w:cs="Arial" w:hAnsi="Arial"/>
          <w:sz w:val="22"/>
        </w:rPr>
        <w:t>平仓时：根据当前持仓方向，底部显示「平多」或「平空」按钮，用户点击提交。</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（3）双向/单向切换</w:t>
      </w:r>
    </w:p>
    <w:p>
      <w:pPr>
        <w:spacing w:before="120" w:after="120" w:line="288" w:lineRule="auto"/>
        <w:ind w:left="0"/>
        <w:jc w:val="left"/>
      </w:pPr>
      <w:r>
        <w:rPr>
          <w:rFonts w:eastAsia="等线" w:ascii="Arial" w:cs="Arial" w:hAnsi="Arial"/>
          <w:sz w:val="22"/>
        </w:rPr>
        <w:t>止盈止损单支持两种模式切换：「双向」与「单向」，由用户在下单前自行选择。</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3045"/>
        <w:gridCol w:w="322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模式</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适用场景</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同时设置两个触发价格，分别对应两个不同的触发条件</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用户想同时预设两个入场/出场条件</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单向</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仅设置一个触发价格</w:t>
            </w:r>
          </w:p>
        </w:tc>
        <w:tc>
          <w:tcPr>
            <w:tcW w:w="32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用户只想在一个特定价位入场/出场</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切换交互：</w:t>
      </w:r>
    </w:p>
    <w:p>
      <w:pPr>
        <w:numPr>
          <w:numId w:val="267"/>
        </w:numPr>
        <w:spacing w:before="120" w:after="120" w:line="288" w:lineRule="auto"/>
        <w:ind w:left="0"/>
        <w:jc w:val="left"/>
      </w:pPr>
      <w:r>
        <w:rPr>
          <w:rFonts w:eastAsia="等线" w:ascii="Arial" w:cs="Arial" w:hAnsi="Arial"/>
          <w:sz w:val="22"/>
        </w:rPr>
        <w:t>默认选中「双向」。</w:t>
      </w:r>
    </w:p>
    <w:p>
      <w:pPr>
        <w:numPr>
          <w:numId w:val="268"/>
        </w:numPr>
        <w:spacing w:before="120" w:after="120" w:line="288" w:lineRule="auto"/>
        <w:ind w:left="0"/>
        <w:jc w:val="left"/>
      </w:pPr>
      <w:r>
        <w:rPr>
          <w:rFonts w:eastAsia="等线" w:ascii="Arial" w:cs="Arial" w:hAnsi="Arial"/>
          <w:sz w:val="22"/>
        </w:rPr>
        <w:t>两个按钮互斥切换，选中项高亮（黑色文字+下划线），未选中为灰色。</w:t>
      </w:r>
    </w:p>
    <w:p>
      <w:pPr>
        <w:numPr>
          <w:numId w:val="269"/>
        </w:numPr>
        <w:spacing w:before="120" w:after="120" w:line="288" w:lineRule="auto"/>
        <w:ind w:left="0"/>
        <w:jc w:val="left"/>
      </w:pPr>
      <w:r>
        <w:rPr>
          <w:rFonts w:eastAsia="等线" w:ascii="Arial" w:cs="Arial" w:hAnsi="Arial"/>
          <w:sz w:val="22"/>
        </w:rPr>
        <w:t>切换时，下方输入区动态变化。</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（4）开仓止盈止损</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用户判断市场突破某个关键价位后将继续上涨或下跌，希望等价格到达目标位时自动开仓入场。</w:t>
      </w:r>
      <w:r>
        <w:rPr>
          <w:rFonts w:eastAsia="等线" w:ascii="Arial" w:cs="Arial" w:hAnsi="Arial"/>
          <w:b w:val="true"/>
          <w:sz w:val="22"/>
        </w:rPr>
        <w:t>用户自行选择做多或做空方向。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【双向模式】</w:t>
      </w:r>
    </w:p>
    <w:p>
      <w:pPr>
        <w:spacing w:before="120" w:after="120" w:line="288" w:lineRule="auto"/>
        <w:ind w:left="0"/>
        <w:jc w:val="left"/>
      </w:pPr>
      <w:r>
        <w:rPr>
          <w:rFonts w:eastAsia="等线" w:ascii="Arial" w:cs="Arial" w:hAnsi="Arial"/>
          <w:sz w:val="22"/>
        </w:rPr>
        <w:t>输入区显示两个触发价格设置区域：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435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设置项</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触发价格（上方）</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输入框上方文案为「触发价格」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触发价格（下方）</w:t>
            </w:r>
          </w:p>
        </w:tc>
        <w:tc>
          <w:tcPr>
            <w:tcW w:w="4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输入框上方文案为「触发价格」</w:t>
            </w:r>
          </w:p>
        </w:tc>
      </w:tr>
    </w:tbl>
    <w:p>
      <w:pPr>
        <w:spacing w:before="120" w:after="120" w:line="288" w:lineRule="auto"/>
        <w:ind w:left="0"/>
        <w:jc w:val="left"/>
      </w:pPr>
    </w:p>
    <w:p>
      <w:pPr>
        <w:numPr>
          <w:numId w:val="270"/>
        </w:numPr>
        <w:spacing w:before="120" w:after="120" w:line="288" w:lineRule="auto"/>
        <w:ind w:left="0"/>
        <w:jc w:val="left"/>
      </w:pPr>
      <w:r>
        <w:rPr>
          <w:rFonts w:eastAsia="等线" w:ascii="Arial" w:cs="Arial" w:hAnsi="Arial"/>
          <w:sz w:val="22"/>
        </w:rPr>
        <w:t>用户可为两个触发价格分别设置不同的数值。</w:t>
      </w:r>
    </w:p>
    <w:p>
      <w:pPr>
        <w:numPr>
          <w:numId w:val="271"/>
        </w:numPr>
        <w:spacing w:before="120" w:after="120" w:line="288" w:lineRule="auto"/>
        <w:ind w:left="0"/>
        <w:jc w:val="left"/>
      </w:pPr>
      <w:r>
        <w:rPr>
          <w:rFonts w:eastAsia="等线" w:ascii="Arial" w:cs="Arial" w:hAnsi="Arial"/>
          <w:sz w:val="22"/>
        </w:rPr>
        <w:t>用户可只填一个触发价（另一个留空），即仅设置一个方向的条件单。</w:t>
      </w:r>
    </w:p>
    <w:p>
      <w:pPr>
        <w:numPr>
          <w:numId w:val="272"/>
        </w:numPr>
        <w:spacing w:before="120" w:after="120" w:line="288" w:lineRule="auto"/>
        <w:ind w:left="0"/>
        <w:jc w:val="left"/>
      </w:pPr>
      <w:r>
        <w:rPr>
          <w:rFonts w:eastAsia="等线" w:ascii="Arial" w:cs="Arial" w:hAnsi="Arial"/>
          <w:sz w:val="22"/>
        </w:rPr>
        <w:t>每个触发价格输入框右侧内嵌下拉选择触发价格类型：最新成交价（默认）/ 标记价格 / 指数价格。</w:t>
      </w:r>
    </w:p>
    <w:p>
      <w:pPr>
        <w:numPr>
          <w:numId w:val="273"/>
        </w:numPr>
        <w:spacing w:before="120" w:after="120" w:line="288" w:lineRule="auto"/>
        <w:ind w:left="0"/>
        <w:jc w:val="left"/>
      </w:pPr>
      <w:r>
        <w:rPr>
          <w:rFonts w:eastAsia="等线" w:ascii="Arial" w:cs="Arial" w:hAnsi="Arial"/>
          <w:sz w:val="22"/>
        </w:rPr>
        <w:t>每个触发价格下方可选择委托方式：市价（默认）/ 限价。</w:t>
      </w:r>
    </w:p>
    <w:p>
      <w:pPr>
        <w:numPr>
          <w:numId w:val="274"/>
        </w:numPr>
        <w:spacing w:before="120" w:after="120" w:line="288" w:lineRule="auto"/>
        <w:ind w:left="453"/>
        <w:jc w:val="left"/>
      </w:pPr>
      <w:r>
        <w:rPr>
          <w:rFonts w:eastAsia="等线" w:ascii="Arial" w:cs="Arial" w:hAnsi="Arial"/>
          <w:sz w:val="22"/>
        </w:rPr>
        <w:t>若选限价，展开委托价格输入框。</w:t>
      </w:r>
    </w:p>
    <w:p>
      <w:pPr>
        <w:spacing w:before="120" w:after="120" w:line="288" w:lineRule="auto"/>
        <w:ind w:left="907"/>
        <w:jc w:val="left"/>
      </w:pPr>
    </w:p>
    <w:p>
      <w:pPr>
        <w:spacing w:before="120" w:after="120" w:line="288" w:lineRule="auto"/>
        <w:ind w:left="0"/>
        <w:jc w:val="left"/>
      </w:pPr>
      <w:r>
        <w:rPr>
          <w:rFonts w:eastAsia="等线" w:ascii="Arial" w:cs="Arial" w:hAnsi="Arial"/>
          <w:b w:val="true"/>
          <w:sz w:val="22"/>
        </w:rPr>
        <w:t>方向由用户选择：</w:t>
      </w:r>
    </w:p>
    <w:p>
      <w:pPr>
        <w:numPr>
          <w:numId w:val="275"/>
        </w:numPr>
        <w:spacing w:before="120" w:after="120" w:line="288" w:lineRule="auto"/>
        <w:ind w:left="0"/>
        <w:jc w:val="left"/>
      </w:pPr>
      <w:r>
        <w:rPr>
          <w:rFonts w:eastAsia="等线" w:ascii="Arial" w:cs="Arial" w:hAnsi="Arial"/>
          <w:sz w:val="22"/>
        </w:rPr>
        <w:t>用户填写触发价格后，点击底部「开多」或「开空」按钮提交订单。</w:t>
      </w:r>
    </w:p>
    <w:p>
      <w:pPr>
        <w:numPr>
          <w:numId w:val="276"/>
        </w:numPr>
        <w:spacing w:before="120" w:after="120" w:line="288" w:lineRule="auto"/>
        <w:ind w:left="0"/>
        <w:jc w:val="left"/>
      </w:pPr>
      <w:r>
        <w:rPr>
          <w:rFonts w:eastAsia="等线" w:ascii="Arial" w:cs="Arial" w:hAnsi="Arial"/>
          <w:sz w:val="22"/>
        </w:rPr>
        <w:t>若点击「开多」：两个触发条件均用于开多方向。</w:t>
      </w:r>
    </w:p>
    <w:p>
      <w:pPr>
        <w:numPr>
          <w:numId w:val="277"/>
        </w:numPr>
        <w:spacing w:before="120" w:after="120" w:line="288" w:lineRule="auto"/>
        <w:ind w:left="0"/>
        <w:jc w:val="left"/>
      </w:pPr>
      <w:r>
        <w:rPr>
          <w:rFonts w:eastAsia="等线" w:ascii="Arial" w:cs="Arial" w:hAnsi="Arial"/>
          <w:sz w:val="22"/>
        </w:rPr>
        <w:t>若点击「开空」：两个触发条件均用于开空方向。</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【单向模式】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输入区仅显示一个触发价格设置区域：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423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设置项</w:t>
            </w:r>
          </w:p>
        </w:tc>
        <w:tc>
          <w:tcPr>
            <w:tcW w:w="4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42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输入框上方文案为「触发价格」</w:t>
            </w:r>
          </w:p>
        </w:tc>
      </w:tr>
    </w:tbl>
    <w:p>
      <w:pPr>
        <w:spacing w:before="120" w:after="120" w:line="288" w:lineRule="auto"/>
        <w:ind w:left="0"/>
        <w:jc w:val="left"/>
      </w:pPr>
    </w:p>
    <w:p>
      <w:pPr>
        <w:numPr>
          <w:numId w:val="278"/>
        </w:numPr>
        <w:spacing w:before="120" w:after="120" w:line="288" w:lineRule="auto"/>
        <w:ind w:left="0"/>
        <w:jc w:val="left"/>
      </w:pPr>
      <w:r>
        <w:rPr>
          <w:rFonts w:eastAsia="等线" w:ascii="Arial" w:cs="Arial" w:hAnsi="Arial"/>
          <w:sz w:val="22"/>
        </w:rPr>
        <w:t>用户设置一个触发价格。</w:t>
      </w:r>
    </w:p>
    <w:p>
      <w:pPr>
        <w:numPr>
          <w:numId w:val="279"/>
        </w:numPr>
        <w:spacing w:before="120" w:after="120" w:line="288" w:lineRule="auto"/>
        <w:ind w:left="0"/>
        <w:jc w:val="left"/>
      </w:pPr>
      <w:r>
        <w:rPr>
          <w:rFonts w:eastAsia="等线" w:ascii="Arial" w:cs="Arial" w:hAnsi="Arial"/>
          <w:sz w:val="22"/>
        </w:rPr>
        <w:t>触发价格输入框右侧内嵌下拉选择触发价格类型：最新成交价（默认）/ 标记价格 / 指数价格。</w:t>
      </w:r>
    </w:p>
    <w:p>
      <w:pPr>
        <w:numPr>
          <w:numId w:val="280"/>
        </w:numPr>
        <w:spacing w:before="120" w:after="120" w:line="288" w:lineRule="auto"/>
        <w:ind w:left="0"/>
        <w:jc w:val="left"/>
      </w:pPr>
      <w:r>
        <w:rPr>
          <w:rFonts w:eastAsia="等线" w:ascii="Arial" w:cs="Arial" w:hAnsi="Arial"/>
          <w:sz w:val="22"/>
        </w:rPr>
        <w:t>下方可选择委托方式：市价（默认）/ 限价。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方向由用户选择：</w:t>
      </w:r>
    </w:p>
    <w:p>
      <w:pPr>
        <w:numPr>
          <w:numId w:val="281"/>
        </w:numPr>
        <w:spacing w:before="120" w:after="120" w:line="288" w:lineRule="auto"/>
        <w:ind w:left="0"/>
        <w:jc w:val="left"/>
      </w:pPr>
      <w:r>
        <w:rPr>
          <w:rFonts w:eastAsia="等线" w:ascii="Arial" w:cs="Arial" w:hAnsi="Arial"/>
          <w:sz w:val="22"/>
        </w:rPr>
        <w:t>用户填写触发价格后，点击底部「开多」或「开空」按钮提交订单。</w:t>
      </w:r>
    </w:p>
    <w:p>
      <w:pPr>
        <w:numPr>
          <w:numId w:val="282"/>
        </w:numPr>
        <w:spacing w:before="120" w:after="120" w:line="288" w:lineRule="auto"/>
        <w:ind w:left="0"/>
        <w:jc w:val="left"/>
      </w:pPr>
      <w:r>
        <w:rPr>
          <w:rFonts w:eastAsia="等线" w:ascii="Arial" w:cs="Arial" w:hAnsi="Arial"/>
          <w:sz w:val="22"/>
        </w:rPr>
        <w:t>点击「开多」→ 触发后自动开多。</w:t>
      </w:r>
    </w:p>
    <w:p>
      <w:pPr>
        <w:numPr>
          <w:numId w:val="283"/>
        </w:numPr>
        <w:spacing w:before="120" w:after="120" w:line="288" w:lineRule="auto"/>
        <w:ind w:left="0"/>
        <w:jc w:val="left"/>
      </w:pPr>
      <w:r>
        <w:rPr>
          <w:rFonts w:eastAsia="等线" w:ascii="Arial" w:cs="Arial" w:hAnsi="Arial"/>
          <w:sz w:val="22"/>
        </w:rPr>
        <w:t>点击「开空」→ 触发后自动开空。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（5）平仓止盈止损</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用户已持有仓位，希望预设止盈/止损出场条件。</w:t>
      </w:r>
      <w:r>
        <w:rPr>
          <w:rFonts w:eastAsia="等线" w:ascii="Arial" w:cs="Arial" w:hAnsi="Arial"/>
          <w:b w:val="true"/>
          <w:sz w:val="22"/>
        </w:rPr>
        <w:t>平仓方向由当前持仓方向决定，止盈/止损由触发价与持仓成本的关系自动判定。</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【双向模式】</w:t>
      </w:r>
    </w:p>
    <w:p>
      <w:pPr>
        <w:spacing w:before="120" w:after="120" w:line="288" w:lineRule="auto"/>
        <w:ind w:left="0"/>
        <w:jc w:val="left"/>
      </w:pPr>
      <w:r>
        <w:rPr>
          <w:rFonts w:eastAsia="等线" w:ascii="Arial" w:cs="Arial" w:hAnsi="Arial"/>
          <w:sz w:val="22"/>
        </w:rPr>
        <w:t>输入区显示两个设置区域：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5145"/>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设置项</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止盈（上方）</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输入框上方文案为「止盈」；设置止盈触发价格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止损（下方）</w:t>
            </w:r>
          </w:p>
        </w:tc>
        <w:tc>
          <w:tcPr>
            <w:tcW w:w="5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输入框上方文案为「止损」；设置止损触发价格</w:t>
            </w:r>
          </w:p>
        </w:tc>
      </w:tr>
    </w:tbl>
    <w:p>
      <w:pPr>
        <w:spacing w:before="120" w:after="120" w:line="288" w:lineRule="auto"/>
        <w:ind w:left="0"/>
        <w:jc w:val="left"/>
      </w:pPr>
    </w:p>
    <w:p>
      <w:pPr>
        <w:numPr>
          <w:numId w:val="284"/>
        </w:numPr>
        <w:spacing w:before="120" w:after="120" w:line="288" w:lineRule="auto"/>
        <w:ind w:left="0"/>
        <w:jc w:val="left"/>
      </w:pPr>
      <w:r>
        <w:rPr>
          <w:rFonts w:eastAsia="等线" w:ascii="Arial" w:cs="Arial" w:hAnsi="Arial"/>
          <w:sz w:val="22"/>
        </w:rPr>
        <w:t>用户分别设置止盈触发价和止损触发价。</w:t>
      </w:r>
    </w:p>
    <w:p>
      <w:pPr>
        <w:numPr>
          <w:numId w:val="285"/>
        </w:numPr>
        <w:spacing w:before="120" w:after="120" w:line="288" w:lineRule="auto"/>
        <w:ind w:left="0"/>
        <w:jc w:val="left"/>
      </w:pPr>
      <w:r>
        <w:rPr>
          <w:rFonts w:eastAsia="等线" w:ascii="Arial" w:cs="Arial" w:hAnsi="Arial"/>
          <w:sz w:val="22"/>
        </w:rPr>
        <w:t>每个触发价格输入框右侧内嵌下拉选择触发价格类型。</w:t>
      </w:r>
    </w:p>
    <w:p>
      <w:pPr>
        <w:numPr>
          <w:numId w:val="286"/>
        </w:numPr>
        <w:spacing w:before="120" w:after="120" w:line="288" w:lineRule="auto"/>
        <w:ind w:left="0"/>
        <w:jc w:val="left"/>
      </w:pPr>
      <w:r>
        <w:rPr>
          <w:rFonts w:eastAsia="等线" w:ascii="Arial" w:cs="Arial" w:hAnsi="Arial"/>
          <w:sz w:val="22"/>
        </w:rPr>
        <w:t>每个触发价格下方可选择委托方式：市价（默认）/ 限价。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方向自动确定：</w:t>
      </w:r>
    </w:p>
    <w:p>
      <w:pPr>
        <w:numPr>
          <w:numId w:val="287"/>
        </w:numPr>
        <w:spacing w:before="120" w:after="120" w:line="288" w:lineRule="auto"/>
        <w:ind w:left="0"/>
        <w:jc w:val="left"/>
      </w:pPr>
      <w:r>
        <w:rPr>
          <w:rFonts w:eastAsia="等线" w:ascii="Arial" w:cs="Arial" w:hAnsi="Arial"/>
          <w:sz w:val="22"/>
        </w:rPr>
        <w:t>当前持仓为多仓时，底部按钮为「平多」。</w:t>
      </w:r>
    </w:p>
    <w:p>
      <w:pPr>
        <w:numPr>
          <w:numId w:val="288"/>
        </w:numPr>
        <w:spacing w:before="120" w:after="120" w:line="288" w:lineRule="auto"/>
        <w:ind w:left="0"/>
        <w:jc w:val="left"/>
      </w:pPr>
      <w:r>
        <w:rPr>
          <w:rFonts w:eastAsia="等线" w:ascii="Arial" w:cs="Arial" w:hAnsi="Arial"/>
          <w:sz w:val="22"/>
        </w:rPr>
        <w:t>当前持仓为空仓时，底部按钮为「平空」。</w:t>
      </w:r>
    </w:p>
    <w:p>
      <w:pPr>
        <w:numPr>
          <w:numId w:val="289"/>
        </w:numPr>
        <w:spacing w:before="120" w:after="120" w:line="288" w:lineRule="auto"/>
        <w:ind w:left="0"/>
        <w:jc w:val="left"/>
      </w:pPr>
      <w:r>
        <w:rPr>
          <w:rFonts w:eastAsia="等线" w:ascii="Arial" w:cs="Arial" w:hAnsi="Arial"/>
          <w:sz w:val="22"/>
        </w:rPr>
        <w:t>止盈/止损的判定由触发价与持仓成本的关系自动决定，用户无需手动选择。</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【单向模式】</w:t>
      </w:r>
    </w:p>
    <w:p>
      <w:pPr>
        <w:spacing w:before="120" w:after="120" w:line="288" w:lineRule="auto"/>
        <w:ind w:left="0"/>
        <w:jc w:val="left"/>
      </w:pPr>
      <w:r>
        <w:rPr>
          <w:rFonts w:eastAsia="等线" w:ascii="Arial" w:cs="Arial" w:hAnsi="Arial"/>
          <w:sz w:val="22"/>
        </w:rPr>
        <w:t>输入区仅显示一个设置区域：</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输入框上方文案为「触发价格」</w:t>
            </w:r>
          </w:p>
        </w:tc>
      </w:tr>
    </w:tbl>
    <w:p>
      <w:pPr>
        <w:numPr>
          <w:numId w:val="290"/>
        </w:numPr>
        <w:spacing w:before="120" w:after="120" w:line="288" w:lineRule="auto"/>
        <w:ind w:left="0"/>
        <w:jc w:val="left"/>
      </w:pPr>
      <w:r>
        <w:rPr>
          <w:rFonts w:eastAsia="等线" w:ascii="Arial" w:cs="Arial" w:hAnsi="Arial"/>
          <w:sz w:val="22"/>
        </w:rPr>
        <w:t>用户仅设置一个触发价格。</w:t>
      </w:r>
    </w:p>
    <w:p>
      <w:pPr>
        <w:numPr>
          <w:numId w:val="291"/>
        </w:numPr>
        <w:spacing w:before="120" w:after="120" w:line="288" w:lineRule="auto"/>
        <w:ind w:left="0"/>
        <w:jc w:val="left"/>
      </w:pPr>
      <w:r>
        <w:rPr>
          <w:rFonts w:eastAsia="等线" w:ascii="Arial" w:cs="Arial" w:hAnsi="Arial"/>
          <w:sz w:val="22"/>
        </w:rPr>
        <w:t>触发价格输入框右侧内嵌下拉选择触发价格类型。</w:t>
      </w:r>
    </w:p>
    <w:p>
      <w:pPr>
        <w:numPr>
          <w:numId w:val="292"/>
        </w:numPr>
        <w:spacing w:before="120" w:after="120" w:line="288" w:lineRule="auto"/>
        <w:ind w:left="0"/>
        <w:jc w:val="left"/>
      </w:pPr>
      <w:r>
        <w:rPr>
          <w:rFonts w:eastAsia="等线" w:ascii="Arial" w:cs="Arial" w:hAnsi="Arial"/>
          <w:sz w:val="22"/>
        </w:rPr>
        <w:t>下方可选择委托方式：市价（默认）/ 限价。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方向自动确定，止盈/止损自动判定：</w:t>
      </w:r>
    </w:p>
    <w:p>
      <w:pPr>
        <w:numPr>
          <w:numId w:val="293"/>
        </w:numPr>
        <w:spacing w:before="120" w:after="120" w:line="288" w:lineRule="auto"/>
        <w:ind w:left="0"/>
        <w:jc w:val="left"/>
      </w:pPr>
      <w:r>
        <w:rPr>
          <w:rFonts w:eastAsia="等线" w:ascii="Arial" w:cs="Arial" w:hAnsi="Arial"/>
          <w:sz w:val="22"/>
        </w:rPr>
        <w:t>平仓方向由当前持仓方向决定（持多→平多，持空→平空），底部按钮自动显示。</w:t>
      </w:r>
    </w:p>
    <w:p>
      <w:pPr>
        <w:numPr>
          <w:numId w:val="294"/>
        </w:numPr>
        <w:spacing w:before="120" w:after="120" w:line="288" w:lineRule="auto"/>
        <w:ind w:left="0"/>
        <w:jc w:val="left"/>
      </w:pPr>
      <w:r>
        <w:rPr>
          <w:rFonts w:eastAsia="等线" w:ascii="Arial" w:cs="Arial" w:hAnsi="Arial"/>
          <w:sz w:val="22"/>
        </w:rPr>
        <w:t>系统根据触发价与持仓开仓均价的关系自动判定止盈还是止损：</w:t>
      </w:r>
    </w:p>
    <w:p>
      <w:pPr>
        <w:numPr>
          <w:numId w:val="295"/>
        </w:numPr>
        <w:spacing w:before="120" w:after="120" w:line="288" w:lineRule="auto"/>
        <w:ind w:left="453"/>
        <w:jc w:val="left"/>
      </w:pPr>
      <w:r>
        <w:rPr>
          <w:rFonts w:eastAsia="等线" w:ascii="Arial" w:cs="Arial" w:hAnsi="Arial"/>
          <w:sz w:val="22"/>
        </w:rPr>
        <w:t>持多仓时：触发价 &gt; 持仓开仓均价 → 止盈；触发价 &lt; 持仓开仓均价 → 止损。</w:t>
      </w:r>
    </w:p>
    <w:p>
      <w:pPr>
        <w:numPr>
          <w:numId w:val="296"/>
        </w:numPr>
        <w:spacing w:before="120" w:after="120" w:line="288" w:lineRule="auto"/>
        <w:ind w:left="453"/>
        <w:jc w:val="left"/>
      </w:pPr>
      <w:r>
        <w:rPr>
          <w:rFonts w:eastAsia="等线" w:ascii="Arial" w:cs="Arial" w:hAnsi="Arial"/>
          <w:sz w:val="22"/>
        </w:rPr>
        <w:t>持空仓时：触发价 &lt; 持仓开仓均价 → 止盈；触发价 &gt; 持仓开仓均价 → 止损。</w:t>
      </w:r>
    </w:p>
    <w:p>
      <w:pPr>
        <w:numPr>
          <w:numId w:val="297"/>
        </w:numPr>
        <w:spacing w:before="120" w:after="120" w:line="288" w:lineRule="auto"/>
        <w:ind w:left="0"/>
        <w:jc w:val="left"/>
      </w:pPr>
      <w:r>
        <w:rPr>
          <w:rFonts w:eastAsia="等线" w:ascii="Arial" w:cs="Arial" w:hAnsi="Arial"/>
          <w:sz w:val="22"/>
        </w:rPr>
        <w:t>用户点击底部「平多」或「平空」按钮提交订单。</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（6）数量输入</w:t>
      </w:r>
    </w:p>
    <w:p>
      <w:pPr>
        <w:spacing w:before="120" w:after="120" w:line="288" w:lineRule="auto"/>
        <w:ind w:left="0"/>
        <w:jc w:val="left"/>
      </w:pPr>
    </w:p>
    <w:p>
      <w:pPr>
        <w:numPr>
          <w:numId w:val="298"/>
        </w:numPr>
        <w:spacing w:before="120" w:after="120" w:line="288" w:lineRule="auto"/>
        <w:ind w:left="0"/>
        <w:jc w:val="left"/>
      </w:pPr>
      <w:r>
        <w:rPr>
          <w:rFonts w:eastAsia="等线" w:ascii="Arial" w:cs="Arial" w:hAnsi="Arial"/>
          <w:sz w:val="22"/>
        </w:rPr>
        <w:t>双向和单向模式共用同一个数量输入框。</w:t>
      </w:r>
    </w:p>
    <w:p>
      <w:pPr>
        <w:numPr>
          <w:numId w:val="299"/>
        </w:numPr>
        <w:spacing w:before="120" w:after="120" w:line="288" w:lineRule="auto"/>
        <w:ind w:left="0"/>
        <w:jc w:val="left"/>
      </w:pPr>
      <w:r>
        <w:rPr>
          <w:rFonts w:eastAsia="等线" w:ascii="Arial" w:cs="Arial" w:hAnsi="Arial"/>
          <w:sz w:val="22"/>
        </w:rPr>
        <w:t>交互逻辑与限价单的数量输入框完全一致（详见 5.4.1）。</w:t>
      </w:r>
    </w:p>
    <w:p>
      <w:pPr>
        <w:numPr>
          <w:numId w:val="300"/>
        </w:numPr>
        <w:spacing w:before="120" w:after="120" w:line="288" w:lineRule="auto"/>
        <w:ind w:left="0"/>
        <w:jc w:val="left"/>
      </w:pPr>
      <w:r>
        <w:rPr>
          <w:rFonts w:eastAsia="等线" w:ascii="Arial" w:cs="Arial" w:hAnsi="Arial"/>
          <w:sz w:val="22"/>
        </w:rPr>
        <w:t>在双向模式下，若两个触发价格均填写且生效，数量按同一数量分别生效（即两个条件单各自使用相同的数量）。</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（7）前端验证规则</w:t>
      </w:r>
    </w:p>
    <w:p>
      <w:pPr>
        <w:spacing w:before="120" w:after="120" w:line="288" w:lineRule="auto"/>
        <w:ind w:left="0"/>
        <w:jc w:val="left"/>
      </w:pPr>
      <w:r>
        <w:rPr>
          <w:rFonts w:eastAsia="等线" w:ascii="Arial" w:cs="Arial" w:hAnsi="Arial"/>
          <w:b w:val="true"/>
          <w:sz w:val="22"/>
        </w:rPr>
        <w:t>触发价验证：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验证规则</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开仓双向 + 开多</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两个触发价均须 &gt; 当前最新成交价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开仓双向 + 开空</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两个触发价均须 &lt; 当前最新成交价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开仓单向 + 开多</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触发价须 &gt; 当前最新成交价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开仓单向 + 开空</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触发价须 &lt; 当前最新成交价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平仓双向（持多）</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止盈触发价 &gt; 持仓开仓均价；止损触发价 &lt; 持仓开仓均价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平仓双向（持空）</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止盈触发价 &lt; 持仓开仓均价；止损触发价 &gt; 持仓开仓均价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平仓单向（持多）</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触发价须 ≠ 持仓开仓均价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平仓单向（持空）</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触发价须 ≠ 持仓开仓均价</w:t>
            </w:r>
          </w:p>
        </w:tc>
      </w:tr>
    </w:tbl>
    <w:p>
      <w:pPr>
        <w:numPr>
          <w:numId w:val="301"/>
        </w:numPr>
        <w:spacing w:before="120" w:after="120" w:line="288" w:lineRule="auto"/>
        <w:ind w:left="0"/>
        <w:jc w:val="left"/>
      </w:pPr>
      <w:r>
        <w:rPr>
          <w:rFonts w:eastAsia="等线" w:ascii="Arial" w:cs="Arial" w:hAnsi="Arial"/>
          <w:sz w:val="22"/>
        </w:rPr>
        <w:t>所有触发价不能等于当前最新成交价。</w:t>
      </w:r>
    </w:p>
    <w:p>
      <w:pPr>
        <w:numPr>
          <w:numId w:val="302"/>
        </w:numPr>
        <w:spacing w:before="120" w:after="120" w:line="288" w:lineRule="auto"/>
        <w:ind w:left="0"/>
        <w:jc w:val="left"/>
      </w:pPr>
      <w:r>
        <w:rPr>
          <w:rFonts w:eastAsia="等线" w:ascii="Arial" w:cs="Arial" w:hAnsi="Arial"/>
          <w:sz w:val="22"/>
        </w:rPr>
        <w:t>触发价小数精度须符合交易对价格精度。</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委托价验证（仅限价委托时）：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验证规则</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开多</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 ≥ 触发价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开空</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 ≤ 触发价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平多</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 ≥ 触发价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平空</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 ≤ 触发价</w:t>
            </w:r>
          </w:p>
        </w:tc>
      </w:tr>
    </w:tbl>
    <w:p>
      <w:pPr>
        <w:numPr>
          <w:numId w:val="303"/>
        </w:numPr>
        <w:spacing w:before="120" w:after="120" w:line="288" w:lineRule="auto"/>
        <w:ind w:left="0"/>
        <w:jc w:val="left"/>
      </w:pPr>
      <w:r>
        <w:rPr>
          <w:rFonts w:eastAsia="等线" w:ascii="Arial" w:cs="Arial" w:hAnsi="Arial"/>
          <w:sz w:val="22"/>
        </w:rPr>
        <w:t>委托价小数精度同触发价。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数量验证：</w:t>
      </w:r>
    </w:p>
    <w:p>
      <w:pPr>
        <w:numPr>
          <w:numId w:val="304"/>
        </w:numPr>
        <w:spacing w:before="120" w:after="120" w:line="288" w:lineRule="auto"/>
        <w:ind w:left="0"/>
        <w:jc w:val="left"/>
      </w:pPr>
      <w:r>
        <w:rPr>
          <w:rFonts w:eastAsia="等线" w:ascii="Arial" w:cs="Arial" w:hAnsi="Arial"/>
          <w:sz w:val="22"/>
        </w:rPr>
        <w:t>与限价单的数量验证规则一致（精度、最大可开、最小交易单位）。</w:t>
      </w:r>
    </w:p>
    <w:p>
      <w:pPr>
        <w:numPr>
          <w:numId w:val="305"/>
        </w:numPr>
        <w:spacing w:before="120" w:after="120" w:line="288" w:lineRule="auto"/>
        <w:ind w:left="0"/>
        <w:jc w:val="left"/>
      </w:pPr>
      <w:r>
        <w:rPr>
          <w:rFonts w:eastAsia="等线" w:ascii="Arial" w:cs="Arial" w:hAnsi="Arial"/>
          <w:sz w:val="22"/>
        </w:rPr>
        <w:t>开仓止盈止损需额外检查保证金是否充足。</w:t>
      </w: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（8）止盈止损订单的生命周期</w:t>
      </w:r>
    </w:p>
    <w:p>
      <w:pPr>
        <w:numPr>
          <w:numId w:val="306"/>
        </w:numPr>
        <w:spacing w:before="120" w:after="120" w:line="288" w:lineRule="auto"/>
        <w:ind w:left="0"/>
        <w:jc w:val="left"/>
      </w:pPr>
      <w:r>
        <w:rPr>
          <w:rFonts w:eastAsia="等线" w:ascii="Arial" w:cs="Arial" w:hAnsi="Arial"/>
          <w:sz w:val="22"/>
        </w:rPr>
        <w:t>已提交但未触发：显示在“当前委托”列表中，支持手动撤单和修改。</w:t>
      </w:r>
    </w:p>
    <w:p>
      <w:pPr>
        <w:numPr>
          <w:numId w:val="307"/>
        </w:numPr>
        <w:spacing w:before="120" w:after="120" w:line="288" w:lineRule="auto"/>
        <w:ind w:left="0"/>
        <w:jc w:val="left"/>
      </w:pPr>
      <w:r>
        <w:rPr>
          <w:rFonts w:eastAsia="等线" w:ascii="Arial" w:cs="Arial" w:hAnsi="Arial"/>
          <w:sz w:val="22"/>
        </w:rPr>
        <w:t>触发后：系统自动提交委托，止盈止损订单状态变为“已完成”，后续成交情况在“历史委托”中查看。</w:t>
      </w:r>
    </w:p>
    <w:p>
      <w:pPr>
        <w:numPr>
          <w:numId w:val="308"/>
        </w:numPr>
        <w:spacing w:before="120" w:after="120" w:line="288" w:lineRule="auto"/>
        <w:ind w:left="453"/>
        <w:jc w:val="left"/>
      </w:pPr>
      <w:r>
        <w:rPr>
          <w:rFonts w:eastAsia="等线" w:ascii="Arial" w:cs="Arial" w:hAnsi="Arial"/>
          <w:sz w:val="22"/>
        </w:rPr>
        <w:t>如果是双向委托单，另外一边成交了，系统取消订单，状态为“已取消”。</w:t>
      </w:r>
    </w:p>
    <w:p>
      <w:pPr>
        <w:numPr>
          <w:numId w:val="309"/>
        </w:numPr>
        <w:spacing w:before="120" w:after="120" w:line="288" w:lineRule="auto"/>
        <w:ind w:left="0"/>
        <w:jc w:val="left"/>
      </w:pPr>
      <w:r>
        <w:rPr>
          <w:rFonts w:eastAsia="等线" w:ascii="Arial" w:cs="Arial" w:hAnsi="Arial"/>
          <w:sz w:val="22"/>
        </w:rPr>
        <w:t>修改时：点击编辑图标回到设置状态，调整参数后重新提交。</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5.5 最优价功能（仅限价单可用）</w:t>
      </w:r>
      <w:bookmarkEnd w:id="2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（1）触发方式</w:t>
      </w:r>
    </w:p>
    <w:p>
      <w:pPr>
        <w:numPr>
          <w:numId w:val="310"/>
        </w:numPr>
        <w:spacing w:before="120" w:after="120" w:line="288" w:lineRule="auto"/>
        <w:ind w:left="0"/>
        <w:jc w:val="left"/>
      </w:pPr>
      <w:r>
        <w:rPr>
          <w:rFonts w:eastAsia="等线" w:ascii="Arial" w:cs="Arial" w:hAnsi="Arial"/>
          <w:sz w:val="22"/>
        </w:rPr>
        <w:t>限价单价格输入框右侧的「最优价」按钮。</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（2）按钮样式</w:t>
      </w:r>
    </w:p>
    <w:p>
      <w:pPr>
        <w:numPr>
          <w:numId w:val="311"/>
        </w:numPr>
        <w:spacing w:before="120" w:after="120" w:line="288" w:lineRule="auto"/>
        <w:ind w:left="0"/>
        <w:jc w:val="left"/>
      </w:pPr>
      <w:r>
        <w:rPr>
          <w:rFonts w:eastAsia="等线" w:ascii="Arial" w:cs="Arial" w:hAnsi="Arial"/>
          <w:sz w:val="22"/>
        </w:rPr>
        <w:t>按钮底部有虚线下划线，表示可交互。</w:t>
      </w:r>
    </w:p>
    <w:p>
      <w:pPr>
        <w:numPr>
          <w:numId w:val="312"/>
        </w:numPr>
        <w:spacing w:before="120" w:after="120" w:line="288" w:lineRule="auto"/>
        <w:ind w:left="0"/>
        <w:jc w:val="left"/>
      </w:pPr>
      <w:r>
        <w:rPr>
          <w:rFonts w:eastAsia="等线" w:ascii="Arial" w:cs="Arial" w:hAnsi="Arial"/>
          <w:sz w:val="22"/>
        </w:rPr>
        <w:t>鼠标悬停时弹出 tooltip 解释：</w:t>
      </w:r>
    </w:p>
    <w:p>
      <w:pPr>
        <w:spacing w:before="120" w:after="120" w:line="288" w:lineRule="auto"/>
        <w:ind w:left="0"/>
        <w:jc w:val="left"/>
      </w:pPr>
      <w:r>
        <w:rPr>
          <w:rFonts w:eastAsia="等线" w:ascii="Arial" w:cs="Arial" w:hAnsi="Arial"/>
          <w:sz w:val="22"/>
        </w:rPr>
        <w:t>&gt; “最优价 (BBO) 可为限价单快速设置订单簿上的最佳买入价或最佳卖出价。同向价指当前交易方向的最佳价格，对手价指相反交易方向的最佳价格。1 指订单表最佳价格，5 指订单表排序第 5 的最佳价格。”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（3）交互逻辑</w:t>
      </w:r>
    </w:p>
    <w:p>
      <w:pPr>
        <w:numPr>
          <w:numId w:val="313"/>
        </w:numPr>
        <w:spacing w:before="120" w:after="120" w:line="288" w:lineRule="auto"/>
        <w:ind w:left="0"/>
        <w:jc w:val="left"/>
      </w:pPr>
      <w:r>
        <w:rPr>
          <w:rFonts w:eastAsia="等线" w:ascii="Arial" w:cs="Arial" w:hAnsi="Arial"/>
          <w:b w:val="true"/>
          <w:sz w:val="22"/>
        </w:rPr>
        <w:t>点击「最优价」按钮</w:t>
      </w:r>
      <w:r>
        <w:rPr>
          <w:rFonts w:eastAsia="等线" w:ascii="Arial" w:cs="Arial" w:hAnsi="Arial"/>
          <w:sz w:val="22"/>
        </w:rPr>
        <w:t>：价格输入框切换为下拉选择框，显示以下选项：</w:t>
      </w:r>
    </w:p>
    <w:p>
      <w:pPr>
        <w:numPr>
          <w:numId w:val="314"/>
        </w:numPr>
        <w:spacing w:before="120" w:after="120" w:line="288" w:lineRule="auto"/>
        <w:ind w:left="453"/>
        <w:jc w:val="left"/>
      </w:pPr>
      <w:r>
        <w:rPr>
          <w:rFonts w:eastAsia="等线" w:ascii="Arial" w:cs="Arial" w:hAnsi="Arial"/>
          <w:sz w:val="22"/>
        </w:rPr>
        <w:t>对手价 1（默认选中）</w:t>
      </w:r>
    </w:p>
    <w:p>
      <w:pPr>
        <w:numPr>
          <w:numId w:val="315"/>
        </w:numPr>
        <w:spacing w:before="120" w:after="120" w:line="288" w:lineRule="auto"/>
        <w:ind w:left="453"/>
        <w:jc w:val="left"/>
      </w:pPr>
      <w:r>
        <w:rPr>
          <w:rFonts w:eastAsia="等线" w:ascii="Arial" w:cs="Arial" w:hAnsi="Arial"/>
          <w:sz w:val="22"/>
        </w:rPr>
        <w:t>对手价 5</w:t>
      </w:r>
    </w:p>
    <w:p>
      <w:pPr>
        <w:numPr>
          <w:numId w:val="316"/>
        </w:numPr>
        <w:spacing w:before="120" w:after="120" w:line="288" w:lineRule="auto"/>
        <w:ind w:left="453"/>
        <w:jc w:val="left"/>
      </w:pPr>
      <w:r>
        <w:rPr>
          <w:rFonts w:eastAsia="等线" w:ascii="Arial" w:cs="Arial" w:hAnsi="Arial"/>
          <w:sz w:val="22"/>
        </w:rPr>
        <w:t>同向价 1</w:t>
      </w:r>
    </w:p>
    <w:p>
      <w:pPr>
        <w:numPr>
          <w:numId w:val="317"/>
        </w:numPr>
        <w:spacing w:before="120" w:after="120" w:line="288" w:lineRule="auto"/>
        <w:ind w:left="453"/>
        <w:jc w:val="left"/>
      </w:pPr>
      <w:r>
        <w:rPr>
          <w:rFonts w:eastAsia="等线" w:ascii="Arial" w:cs="Arial" w:hAnsi="Arial"/>
          <w:sz w:val="22"/>
        </w:rPr>
        <w:t>同向价 5</w:t>
      </w:r>
    </w:p>
    <w:p>
      <w:pPr>
        <w:numPr>
          <w:numId w:val="318"/>
        </w:numPr>
        <w:spacing w:before="120" w:after="120" w:line="288" w:lineRule="auto"/>
        <w:ind w:left="0"/>
        <w:jc w:val="left"/>
      </w:pPr>
      <w:r>
        <w:rPr>
          <w:rFonts w:eastAsia="等线" w:ascii="Arial" w:cs="Arial" w:hAnsi="Arial"/>
          <w:sz w:val="22"/>
        </w:rPr>
        <w:t>选择后，下拉框保持显示所选文字（不自动切换回输入框），价格单位（USDT）隐藏。</w:t>
      </w:r>
    </w:p>
    <w:p>
      <w:pPr>
        <w:numPr>
          <w:numId w:val="319"/>
        </w:numPr>
        <w:spacing w:before="120" w:after="120" w:line="288" w:lineRule="auto"/>
        <w:ind w:left="0"/>
        <w:jc w:val="left"/>
      </w:pPr>
      <w:r>
        <w:rPr>
          <w:rFonts w:eastAsia="等线" w:ascii="Arial" w:cs="Arial" w:hAnsi="Arial"/>
          <w:b w:val="true"/>
          <w:sz w:val="22"/>
        </w:rPr>
        <w:t>再次点击「最优价」按钮</w:t>
      </w:r>
      <w:r>
        <w:rPr>
          <w:rFonts w:eastAsia="等线" w:ascii="Arial" w:cs="Arial" w:hAnsi="Arial"/>
          <w:sz w:val="22"/>
        </w:rPr>
        <w:t>：下拉框切换回普通输入框，并将当前选中选项对应的价格填入输入框，价格单位恢复显示。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（4）价格映射</w:t>
      </w:r>
    </w:p>
    <w:p>
      <w:pPr>
        <w:numPr>
          <w:numId w:val="320"/>
        </w:numPr>
        <w:spacing w:before="120" w:after="120" w:line="288" w:lineRule="auto"/>
        <w:ind w:left="0"/>
        <w:jc w:val="left"/>
      </w:pPr>
      <w:r>
        <w:rPr>
          <w:rFonts w:eastAsia="等线" w:ascii="Arial" w:cs="Arial" w:hAnsi="Arial"/>
          <w:sz w:val="22"/>
        </w:rPr>
        <w:t>对手价 1：订单簿对手方（买/卖）第 1 档价格。</w:t>
      </w:r>
    </w:p>
    <w:p>
      <w:pPr>
        <w:numPr>
          <w:numId w:val="321"/>
        </w:numPr>
        <w:spacing w:before="120" w:after="120" w:line="288" w:lineRule="auto"/>
        <w:ind w:left="0"/>
        <w:jc w:val="left"/>
      </w:pPr>
      <w:r>
        <w:rPr>
          <w:rFonts w:eastAsia="等线" w:ascii="Arial" w:cs="Arial" w:hAnsi="Arial"/>
          <w:sz w:val="22"/>
        </w:rPr>
        <w:t>对手价 5：订单簿对手方第 5 档价格。</w:t>
      </w:r>
    </w:p>
    <w:p>
      <w:pPr>
        <w:numPr>
          <w:numId w:val="322"/>
        </w:numPr>
        <w:spacing w:before="120" w:after="120" w:line="288" w:lineRule="auto"/>
        <w:ind w:left="0"/>
        <w:jc w:val="left"/>
      </w:pPr>
      <w:r>
        <w:rPr>
          <w:rFonts w:eastAsia="等线" w:ascii="Arial" w:cs="Arial" w:hAnsi="Arial"/>
          <w:sz w:val="22"/>
        </w:rPr>
        <w:t>同向价 1：订单簿同方向第 1 档价格。</w:t>
      </w:r>
    </w:p>
    <w:p>
      <w:pPr>
        <w:numPr>
          <w:numId w:val="323"/>
        </w:numPr>
        <w:spacing w:before="120" w:after="120" w:line="288" w:lineRule="auto"/>
        <w:ind w:left="0"/>
        <w:jc w:val="left"/>
      </w:pPr>
      <w:r>
        <w:rPr>
          <w:rFonts w:eastAsia="等线" w:ascii="Arial" w:cs="Arial" w:hAnsi="Arial"/>
          <w:sz w:val="22"/>
        </w:rPr>
        <w:t>同向价 5：订单簿同方向第 5 档价格。</w:t>
      </w:r>
    </w:p>
    <w:p>
      <w:pPr>
        <w:numPr>
          <w:numId w:val="324"/>
        </w:numPr>
        <w:spacing w:before="120" w:after="120" w:line="288" w:lineRule="auto"/>
        <w:ind w:left="0"/>
        <w:jc w:val="left"/>
      </w:pPr>
      <w:r>
        <w:rPr>
          <w:rFonts w:eastAsia="等线" w:ascii="Arial" w:cs="Arial" w:hAnsi="Arial"/>
          <w:sz w:val="22"/>
        </w:rPr>
        <w:t>映射关系由订单簿实时数据动态计算。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5.6 订单有效期</w:t>
      </w:r>
      <w:bookmarkEnd w:id="2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（1）可选类型</w:t>
      </w:r>
    </w:p>
    <w:p>
      <w:pPr>
        <w:numPr>
          <w:numId w:val="325"/>
        </w:numPr>
        <w:spacing w:before="120" w:after="120" w:line="288" w:lineRule="auto"/>
        <w:ind w:left="0"/>
        <w:jc w:val="left"/>
      </w:pPr>
      <w:r>
        <w:rPr>
          <w:rFonts w:eastAsia="等线" w:ascii="Arial" w:cs="Arial" w:hAnsi="Arial"/>
          <w:b w:val="true"/>
          <w:sz w:val="22"/>
        </w:rPr>
        <w:t>GTC</w:t>
      </w:r>
      <w:r>
        <w:rPr>
          <w:rFonts w:eastAsia="等线" w:ascii="Arial" w:cs="Arial" w:hAnsi="Arial"/>
          <w:sz w:val="22"/>
        </w:rPr>
        <w:t>（一直有效直至取消）：订单将持续有效直到完全成交或被用户手动取消。</w:t>
      </w:r>
    </w:p>
    <w:p>
      <w:pPr>
        <w:numPr>
          <w:numId w:val="326"/>
        </w:numPr>
        <w:spacing w:before="120" w:after="120" w:line="288" w:lineRule="auto"/>
        <w:ind w:left="0"/>
        <w:jc w:val="left"/>
      </w:pPr>
      <w:r>
        <w:rPr>
          <w:rFonts w:eastAsia="等线" w:ascii="Arial" w:cs="Arial" w:hAnsi="Arial"/>
          <w:b w:val="true"/>
          <w:sz w:val="22"/>
        </w:rPr>
        <w:t>FOK</w:t>
      </w:r>
      <w:r>
        <w:rPr>
          <w:rFonts w:eastAsia="等线" w:ascii="Arial" w:cs="Arial" w:hAnsi="Arial"/>
          <w:sz w:val="22"/>
        </w:rPr>
        <w:t>（全部成交否则取消）：订单必须立即全部成交，否则立即取消。</w:t>
      </w:r>
    </w:p>
    <w:p>
      <w:pPr>
        <w:numPr>
          <w:numId w:val="327"/>
        </w:numPr>
        <w:spacing w:before="120" w:after="120" w:line="288" w:lineRule="auto"/>
        <w:ind w:left="0"/>
        <w:jc w:val="left"/>
      </w:pPr>
      <w:r>
        <w:rPr>
          <w:rFonts w:eastAsia="等线" w:ascii="Arial" w:cs="Arial" w:hAnsi="Arial"/>
          <w:b w:val="true"/>
          <w:sz w:val="22"/>
        </w:rPr>
        <w:t>IOC</w:t>
      </w:r>
      <w:r>
        <w:rPr>
          <w:rFonts w:eastAsia="等线" w:ascii="Arial" w:cs="Arial" w:hAnsi="Arial"/>
          <w:sz w:val="22"/>
        </w:rPr>
        <w:t>（立即成交或取消）：订单必须立即成交，可部分成交，未成交部分立即取消。</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（2）适用订单类型</w:t>
      </w:r>
    </w:p>
    <w:p>
      <w:pPr>
        <w:numPr>
          <w:numId w:val="328"/>
        </w:numPr>
        <w:spacing w:before="120" w:after="120" w:line="288" w:lineRule="auto"/>
        <w:ind w:left="0"/>
        <w:jc w:val="left"/>
      </w:pPr>
      <w:r>
        <w:rPr>
          <w:rFonts w:eastAsia="等线" w:ascii="Arial" w:cs="Arial" w:hAnsi="Arial"/>
          <w:sz w:val="22"/>
        </w:rPr>
        <w:t>限价单：支持 GTC / FOK / IOC。</w:t>
      </w:r>
    </w:p>
    <w:p>
      <w:pPr>
        <w:numPr>
          <w:numId w:val="329"/>
        </w:numPr>
        <w:spacing w:before="120" w:after="120" w:line="288" w:lineRule="auto"/>
        <w:ind w:left="0"/>
        <w:jc w:val="left"/>
      </w:pPr>
      <w:r>
        <w:rPr>
          <w:rFonts w:eastAsia="等线" w:ascii="Arial" w:cs="Arial" w:hAnsi="Arial"/>
          <w:sz w:val="22"/>
        </w:rPr>
        <w:t>市价单：默认 IOC，不可更改。</w:t>
      </w:r>
    </w:p>
    <w:p>
      <w:pPr>
        <w:numPr>
          <w:numId w:val="330"/>
        </w:numPr>
        <w:spacing w:before="120" w:after="120" w:line="288" w:lineRule="auto"/>
        <w:ind w:left="0"/>
        <w:jc w:val="left"/>
      </w:pPr>
      <w:r>
        <w:rPr>
          <w:rFonts w:eastAsia="等线" w:ascii="Arial" w:cs="Arial" w:hAnsi="Arial"/>
          <w:sz w:val="22"/>
        </w:rPr>
        <w:t>止盈止损单：默认 GTC（一直有效直至触发），不可更改。</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（3）后端同步</w:t>
      </w:r>
    </w:p>
    <w:p>
      <w:pPr>
        <w:numPr>
          <w:numId w:val="331"/>
        </w:numPr>
        <w:spacing w:before="120" w:after="120" w:line="288" w:lineRule="auto"/>
        <w:ind w:left="0"/>
        <w:jc w:val="left"/>
      </w:pPr>
      <w:r>
        <w:rPr>
          <w:rFonts w:eastAsia="等线" w:ascii="Arial" w:cs="Arial" w:hAnsi="Arial"/>
          <w:sz w:val="22"/>
        </w:rPr>
        <w:t>提交订单时，将有效期类型（GTC / FOK / IOC）作为订单参数传给后端。</w:t>
      </w:r>
    </w:p>
    <w:p>
      <w:pPr>
        <w:numPr>
          <w:numId w:val="332"/>
        </w:numPr>
        <w:spacing w:before="120" w:after="120" w:line="288" w:lineRule="auto"/>
        <w:ind w:left="0"/>
        <w:jc w:val="left"/>
      </w:pPr>
      <w:r>
        <w:rPr>
          <w:rFonts w:eastAsia="等线" w:ascii="Arial" w:cs="Arial" w:hAnsi="Arial"/>
          <w:sz w:val="22"/>
        </w:rPr>
        <w:t>后端处理逻辑：</w:t>
      </w:r>
    </w:p>
    <w:p>
      <w:pPr>
        <w:numPr>
          <w:numId w:val="333"/>
        </w:numPr>
        <w:spacing w:before="120" w:after="120" w:line="288" w:lineRule="auto"/>
        <w:ind w:left="453"/>
        <w:jc w:val="left"/>
      </w:pPr>
      <w:r>
        <w:rPr>
          <w:rFonts w:eastAsia="等线" w:ascii="Arial" w:cs="Arial" w:hAnsi="Arial"/>
          <w:sz w:val="22"/>
        </w:rPr>
        <w:t>GTC：持续挂单直到成交或取消。</w:t>
      </w:r>
    </w:p>
    <w:p>
      <w:pPr>
        <w:numPr>
          <w:numId w:val="334"/>
        </w:numPr>
        <w:spacing w:before="120" w:after="120" w:line="288" w:lineRule="auto"/>
        <w:ind w:left="453"/>
        <w:jc w:val="left"/>
      </w:pPr>
      <w:r>
        <w:rPr>
          <w:rFonts w:eastAsia="等线" w:ascii="Arial" w:cs="Arial" w:hAnsi="Arial"/>
          <w:sz w:val="22"/>
        </w:rPr>
        <w:t>FOK：</w:t>
      </w:r>
    </w:p>
    <w:p>
      <w:pPr>
        <w:numPr>
          <w:numId w:val="335"/>
        </w:numPr>
        <w:spacing w:before="120" w:after="120" w:line="288" w:lineRule="auto"/>
        <w:ind w:left="453"/>
        <w:jc w:val="left"/>
      </w:pPr>
      <w:r>
        <w:rPr>
          <w:rFonts w:eastAsia="等线" w:ascii="Arial" w:cs="Arial" w:hAnsi="Arial"/>
          <w:sz w:val="22"/>
        </w:rPr>
        <w:t>IOC：</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5.7 跟随止盈止损（勾选框）</w:t>
      </w:r>
      <w:bookmarkEnd w:id="3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（1）功能定位</w:t>
      </w:r>
    </w:p>
    <w:p>
      <w:pPr>
        <w:numPr>
          <w:numId w:val="336"/>
        </w:numPr>
        <w:spacing w:before="120" w:after="120" w:line="288" w:lineRule="auto"/>
        <w:ind w:left="0"/>
        <w:jc w:val="left"/>
      </w:pPr>
      <w:r>
        <w:rPr>
          <w:rFonts w:eastAsia="等线" w:ascii="Arial" w:cs="Arial" w:hAnsi="Arial"/>
          <w:sz w:val="22"/>
        </w:rPr>
        <w:t>该功能为</w:t>
      </w:r>
      <w:r>
        <w:rPr>
          <w:rFonts w:eastAsia="等线" w:ascii="Arial" w:cs="Arial" w:hAnsi="Arial"/>
          <w:b w:val="true"/>
          <w:sz w:val="22"/>
        </w:rPr>
        <w:t>附加在限价单/市价单主订单上的条件单</w:t>
      </w:r>
      <w:r>
        <w:rPr>
          <w:rFonts w:eastAsia="等线" w:ascii="Arial" w:cs="Arial" w:hAnsi="Arial"/>
          <w:sz w:val="22"/>
        </w:rPr>
        <w:t>，非独立订单类型。</w:t>
      </w:r>
    </w:p>
    <w:p>
      <w:pPr>
        <w:numPr>
          <w:numId w:val="337"/>
        </w:numPr>
        <w:spacing w:before="120" w:after="120" w:line="288" w:lineRule="auto"/>
        <w:ind w:left="0"/>
        <w:jc w:val="left"/>
      </w:pPr>
      <w:r>
        <w:rPr>
          <w:rFonts w:eastAsia="等线" w:ascii="Arial" w:cs="Arial" w:hAnsi="Arial"/>
          <w:sz w:val="22"/>
        </w:rPr>
        <w:t>仅在</w:t>
      </w:r>
      <w:r>
        <w:rPr>
          <w:rFonts w:eastAsia="等线" w:ascii="Arial" w:cs="Arial" w:hAnsi="Arial"/>
          <w:b w:val="true"/>
          <w:sz w:val="22"/>
        </w:rPr>
        <w:t>开仓模式</w:t>
      </w:r>
      <w:r>
        <w:rPr>
          <w:rFonts w:eastAsia="等线" w:ascii="Arial" w:cs="Arial" w:hAnsi="Arial"/>
          <w:sz w:val="22"/>
        </w:rPr>
        <w:t>下可用，平仓模式下隐藏。</w:t>
      </w:r>
    </w:p>
    <w:p>
      <w:pPr>
        <w:numPr>
          <w:numId w:val="338"/>
        </w:numPr>
        <w:spacing w:before="120" w:after="120" w:line="288" w:lineRule="auto"/>
        <w:ind w:left="0"/>
        <w:jc w:val="left"/>
      </w:pPr>
      <w:r>
        <w:rPr>
          <w:rFonts w:eastAsia="等线" w:ascii="Arial" w:cs="Arial" w:hAnsi="Arial"/>
          <w:sz w:val="22"/>
        </w:rPr>
        <w:t>主订单成交后，止盈/止损条件单自动激活。</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（2）触发方式</w:t>
      </w:r>
    </w:p>
    <w:p>
      <w:pPr>
        <w:numPr>
          <w:numId w:val="339"/>
        </w:numPr>
        <w:spacing w:before="120" w:after="120" w:line="288" w:lineRule="auto"/>
        <w:ind w:left="0"/>
        <w:jc w:val="left"/>
      </w:pPr>
      <w:r>
        <w:rPr>
          <w:rFonts w:eastAsia="等线" w:ascii="Arial" w:cs="Arial" w:hAnsi="Arial"/>
          <w:sz w:val="22"/>
        </w:rPr>
        <w:t>勾选“止盈/止损”复选框，展开止盈/止损输入区。</w:t>
      </w:r>
    </w:p>
    <w:p>
      <w:pPr>
        <w:numPr>
          <w:numId w:val="340"/>
        </w:numPr>
        <w:spacing w:before="120" w:after="120" w:line="288" w:lineRule="auto"/>
        <w:ind w:left="0"/>
        <w:jc w:val="left"/>
      </w:pPr>
      <w:r>
        <w:rPr>
          <w:rFonts w:eastAsia="等线" w:ascii="Arial" w:cs="Arial" w:hAnsi="Arial"/>
          <w:sz w:val="22"/>
        </w:rPr>
        <w:t>取消勾选则收起。</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（3）复选框样式与说明</w:t>
      </w:r>
    </w:p>
    <w:p>
      <w:pPr>
        <w:numPr>
          <w:numId w:val="341"/>
        </w:numPr>
        <w:spacing w:before="120" w:after="120" w:line="288" w:lineRule="auto"/>
        <w:ind w:left="0"/>
        <w:jc w:val="left"/>
      </w:pPr>
      <w:r>
        <w:rPr>
          <w:rFonts w:eastAsia="等线" w:ascii="Arial" w:cs="Arial" w:hAnsi="Arial"/>
          <w:sz w:val="22"/>
        </w:rPr>
        <w:t>文字标签“止盈/止损”，标签下方有虚线下划线。</w:t>
      </w:r>
    </w:p>
    <w:p>
      <w:pPr>
        <w:numPr>
          <w:numId w:val="342"/>
        </w:numPr>
        <w:spacing w:before="120" w:after="120" w:line="288" w:lineRule="auto"/>
        <w:ind w:left="0"/>
        <w:jc w:val="left"/>
      </w:pPr>
      <w:r>
        <w:rPr>
          <w:rFonts w:eastAsia="等线" w:ascii="Arial" w:cs="Arial" w:hAnsi="Arial"/>
          <w:sz w:val="22"/>
        </w:rPr>
        <w:t>鼠标悬停时显示 tooltip：</w:t>
      </w:r>
    </w:p>
    <w:p>
      <w:pPr>
        <w:spacing w:before="120" w:after="120" w:line="288" w:lineRule="auto"/>
        <w:ind w:left="0"/>
        <w:jc w:val="left"/>
      </w:pPr>
      <w:r>
        <w:rPr>
          <w:rFonts w:eastAsia="等线" w:ascii="Arial" w:cs="Arial" w:hAnsi="Arial"/>
          <w:sz w:val="22"/>
        </w:rPr>
        <w:t>&gt; “止盈止损是指下单时提前为该订单预设止盈价及止损价，以锁定利润或控制损失。当订单完全成交时，系统将自动进行止盈止损委托。”</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（4）输入区结构</w:t>
      </w:r>
    </w:p>
    <w:p>
      <w:pPr>
        <w:numPr>
          <w:numId w:val="343"/>
        </w:numPr>
        <w:spacing w:before="120" w:after="120" w:line="288" w:lineRule="auto"/>
        <w:ind w:left="0"/>
        <w:jc w:val="left"/>
      </w:pPr>
      <w:r>
        <w:rPr>
          <w:rFonts w:eastAsia="等线" w:ascii="Arial" w:cs="Arial" w:hAnsi="Arial"/>
          <w:sz w:val="22"/>
        </w:rPr>
        <w:t>止盈区域（上排）：止盈触发价格输入框 + 触发价格类型下拉。</w:t>
      </w:r>
    </w:p>
    <w:p>
      <w:pPr>
        <w:numPr>
          <w:numId w:val="344"/>
        </w:numPr>
        <w:spacing w:before="120" w:after="120" w:line="288" w:lineRule="auto"/>
        <w:ind w:left="0"/>
        <w:jc w:val="left"/>
      </w:pPr>
      <w:r>
        <w:rPr>
          <w:rFonts w:eastAsia="等线" w:ascii="Arial" w:cs="Arial" w:hAnsi="Arial"/>
          <w:sz w:val="22"/>
        </w:rPr>
        <w:t>止损区域（下排）：止损触发价格输入框 + 触发价格类型下拉。</w:t>
      </w:r>
    </w:p>
    <w:p>
      <w:pPr>
        <w:numPr>
          <w:numId w:val="345"/>
        </w:numPr>
        <w:spacing w:before="120" w:after="120" w:line="288" w:lineRule="auto"/>
        <w:ind w:left="0"/>
        <w:jc w:val="left"/>
      </w:pPr>
      <w:r>
        <w:rPr>
          <w:rFonts w:eastAsia="等线" w:ascii="Arial" w:cs="Arial" w:hAnsi="Arial"/>
          <w:sz w:val="22"/>
        </w:rPr>
        <w:t>预估收益/亏损实时显示。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（5）触发逻辑</w:t>
      </w:r>
    </w:p>
    <w:p>
      <w:pPr>
        <w:numPr>
          <w:numId w:val="346"/>
        </w:numPr>
        <w:spacing w:before="120" w:after="120" w:line="288" w:lineRule="auto"/>
        <w:ind w:left="0"/>
        <w:jc w:val="left"/>
      </w:pPr>
      <w:r>
        <w:rPr>
          <w:rFonts w:eastAsia="等线" w:ascii="Arial" w:cs="Arial" w:hAnsi="Arial"/>
          <w:sz w:val="22"/>
        </w:rPr>
        <w:t>主订单完全成交后，系统自动根据设置的止盈/止损触发价挂出止盈/止损条件单。</w:t>
      </w:r>
    </w:p>
    <w:p>
      <w:pPr>
        <w:numPr>
          <w:numId w:val="347"/>
        </w:numPr>
        <w:spacing w:before="120" w:after="120" w:line="288" w:lineRule="auto"/>
        <w:ind w:left="0"/>
        <w:jc w:val="left"/>
      </w:pPr>
      <w:r>
        <w:rPr>
          <w:rFonts w:eastAsia="等线" w:ascii="Arial" w:cs="Arial" w:hAnsi="Arial"/>
          <w:sz w:val="22"/>
        </w:rPr>
        <w:t>若主订单部分成交，止盈止损条件单按成交比例激活。</w:t>
      </w:r>
    </w:p>
    <w:p>
      <w:pPr>
        <w:numPr>
          <w:numId w:val="348"/>
        </w:numPr>
        <w:spacing w:before="120" w:after="120" w:line="288" w:lineRule="auto"/>
        <w:ind w:left="0"/>
        <w:jc w:val="left"/>
      </w:pPr>
      <w:r>
        <w:rPr>
          <w:rFonts w:eastAsia="等线" w:ascii="Arial" w:cs="Arial" w:hAnsi="Arial"/>
          <w:sz w:val="22"/>
        </w:rPr>
        <w:t>若主订单被取消，止盈止损条件单不激活。</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（6）验证规则</w:t>
      </w:r>
    </w:p>
    <w:p>
      <w:pPr>
        <w:numPr>
          <w:numId w:val="349"/>
        </w:numPr>
        <w:spacing w:before="120" w:after="120" w:line="288" w:lineRule="auto"/>
        <w:ind w:left="0"/>
        <w:jc w:val="left"/>
      </w:pPr>
      <w:r>
        <w:rPr>
          <w:rFonts w:eastAsia="等线" w:ascii="Arial" w:cs="Arial" w:hAnsi="Arial"/>
          <w:sz w:val="22"/>
        </w:rPr>
        <w:t>止盈触发价：做多时须高于开仓价；做空时须低于开仓价。</w:t>
      </w:r>
    </w:p>
    <w:p>
      <w:pPr>
        <w:numPr>
          <w:numId w:val="350"/>
        </w:numPr>
        <w:spacing w:before="120" w:after="120" w:line="288" w:lineRule="auto"/>
        <w:ind w:left="0"/>
        <w:jc w:val="left"/>
      </w:pPr>
      <w:r>
        <w:rPr>
          <w:rFonts w:eastAsia="等线" w:ascii="Arial" w:cs="Arial" w:hAnsi="Arial"/>
          <w:sz w:val="22"/>
        </w:rPr>
        <w:t>止损触发价：做多时须低于开仓价；做空时须高于开仓价。</w:t>
      </w:r>
    </w:p>
    <w:p>
      <w:pPr>
        <w:numPr>
          <w:numId w:val="351"/>
        </w:numPr>
        <w:spacing w:before="120" w:after="120" w:line="288" w:lineRule="auto"/>
        <w:ind w:left="0"/>
        <w:jc w:val="left"/>
      </w:pPr>
      <w:r>
        <w:rPr>
          <w:rFonts w:eastAsia="等线" w:ascii="Arial" w:cs="Arial" w:hAnsi="Arial"/>
          <w:sz w:val="22"/>
        </w:rPr>
        <w:t>其余验证规则与止盈止损订单类型一致（见 5.4.3）。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5.8 开仓/平仓下单按钮与确认</w:t>
      </w:r>
      <w:bookmarkEnd w:id="3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5.8.1 功能概述</w:t>
      </w:r>
    </w:p>
    <w:p>
      <w:pPr>
        <w:spacing w:before="120" w:after="120" w:line="288" w:lineRule="auto"/>
        <w:ind w:left="0"/>
        <w:jc w:val="left"/>
      </w:pPr>
      <w:r>
        <w:rPr>
          <w:rFonts w:eastAsia="等线" w:ascii="Arial" w:cs="Arial" w:hAnsi="Arial"/>
          <w:sz w:val="22"/>
        </w:rPr>
        <w:t>下单确认功能用于在用户提交订单前进行二次确认，防止误操作。支持对限价单、市价单、止盈止损单分别弹出确认弹窗，展示该笔订单的核心交易信息及预估爆仓价。用户确认后才真正提交订单；若关闭弹窗则取消本次下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同时提供“不再提示”选项，勾选后该类型订单将不再显示二次确认，并持久化保存该偏好。用户随时可在右侧偏好设置抽屉中重新开启或关闭各类订单的确认提示。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5.8.2 下单按钮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（1）开仓模式</w:t>
      </w:r>
    </w:p>
    <w:p>
      <w:pPr>
        <w:numPr>
          <w:numId w:val="352"/>
        </w:numPr>
        <w:spacing w:before="120" w:after="120" w:line="288" w:lineRule="auto"/>
        <w:ind w:left="0"/>
        <w:jc w:val="left"/>
      </w:pPr>
      <w:r>
        <w:rPr>
          <w:rFonts w:eastAsia="等线" w:ascii="Arial" w:cs="Arial" w:hAnsi="Arial"/>
          <w:sz w:val="22"/>
        </w:rPr>
        <w:t>两个按钮并排：</w:t>
      </w:r>
    </w:p>
    <w:p>
      <w:pPr>
        <w:numPr>
          <w:numId w:val="353"/>
        </w:numPr>
        <w:spacing w:before="120" w:after="120" w:line="288" w:lineRule="auto"/>
        <w:ind w:left="453"/>
        <w:jc w:val="left"/>
      </w:pPr>
      <w:r>
        <w:rPr>
          <w:rFonts w:eastAsia="等线" w:ascii="Arial" w:cs="Arial" w:hAnsi="Arial"/>
          <w:sz w:val="22"/>
        </w:rPr>
        <w:t>绿色按钮「开多」：以做多方向开仓。</w:t>
      </w:r>
    </w:p>
    <w:p>
      <w:pPr>
        <w:numPr>
          <w:numId w:val="354"/>
        </w:numPr>
        <w:spacing w:before="120" w:after="120" w:line="288" w:lineRule="auto"/>
        <w:ind w:left="453"/>
        <w:jc w:val="left"/>
      </w:pPr>
      <w:r>
        <w:rPr>
          <w:rFonts w:eastAsia="等线" w:ascii="Arial" w:cs="Arial" w:hAnsi="Arial"/>
          <w:sz w:val="22"/>
        </w:rPr>
        <w:t>红色按钮「开空」：以做空方向开仓。</w:t>
      </w:r>
    </w:p>
    <w:p>
      <w:pPr>
        <w:numPr>
          <w:numId w:val="355"/>
        </w:numPr>
        <w:spacing w:before="120" w:after="120" w:line="288" w:lineRule="auto"/>
        <w:ind w:left="0"/>
        <w:jc w:val="left"/>
      </w:pPr>
      <w:r>
        <w:rPr>
          <w:rFonts w:eastAsia="等线" w:ascii="Arial" w:cs="Arial" w:hAnsi="Arial"/>
          <w:sz w:val="22"/>
        </w:rPr>
        <w:t>点击任一按钮，拉起对应订单类型的下单确认弹窗（若用户已在偏好设置中关闭该类型二次确认，则直接提交订单）。</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（2）平仓模式</w:t>
      </w:r>
    </w:p>
    <w:p>
      <w:pPr>
        <w:numPr>
          <w:numId w:val="356"/>
        </w:numPr>
        <w:spacing w:before="120" w:after="120" w:line="288" w:lineRule="auto"/>
        <w:ind w:left="0"/>
        <w:jc w:val="left"/>
      </w:pPr>
      <w:r>
        <w:rPr>
          <w:rFonts w:eastAsia="等线" w:ascii="Arial" w:cs="Arial" w:hAnsi="Arial"/>
          <w:sz w:val="22"/>
        </w:rPr>
        <w:t>根据当前持仓方向动态显示按钮：</w:t>
      </w:r>
    </w:p>
    <w:p>
      <w:pPr>
        <w:numPr>
          <w:numId w:val="357"/>
        </w:numPr>
        <w:spacing w:before="120" w:after="120" w:line="288" w:lineRule="auto"/>
        <w:ind w:left="453"/>
        <w:jc w:val="left"/>
      </w:pPr>
      <w:r>
        <w:rPr>
          <w:rFonts w:eastAsia="等线" w:ascii="Arial" w:cs="Arial" w:hAnsi="Arial"/>
          <w:sz w:val="22"/>
        </w:rPr>
        <w:t>持多仓时：显示橙色「市价平多」和「限价平多」。</w:t>
      </w:r>
    </w:p>
    <w:p>
      <w:pPr>
        <w:numPr>
          <w:numId w:val="358"/>
        </w:numPr>
        <w:spacing w:before="120" w:after="120" w:line="288" w:lineRule="auto"/>
        <w:ind w:left="453"/>
        <w:jc w:val="left"/>
      </w:pPr>
      <w:r>
        <w:rPr>
          <w:rFonts w:eastAsia="等线" w:ascii="Arial" w:cs="Arial" w:hAnsi="Arial"/>
          <w:sz w:val="22"/>
        </w:rPr>
        <w:t>持空仓时：显示橙色「市价平空」和「限价平空」。</w:t>
      </w:r>
    </w:p>
    <w:p>
      <w:pPr>
        <w:numPr>
          <w:numId w:val="359"/>
        </w:numPr>
        <w:spacing w:before="120" w:after="120" w:line="288" w:lineRule="auto"/>
        <w:ind w:left="0"/>
        <w:jc w:val="left"/>
      </w:pPr>
      <w:r>
        <w:rPr>
          <w:rFonts w:eastAsia="等线" w:ascii="Arial" w:cs="Arial" w:hAnsi="Arial"/>
          <w:sz w:val="22"/>
        </w:rPr>
        <w:t>用户输入平仓价格（限价）或直接点击市价按钮后，拉起确认弹窗。</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（3）止盈止损单的下单按钮</w:t>
      </w:r>
    </w:p>
    <w:p>
      <w:pPr>
        <w:numPr>
          <w:numId w:val="360"/>
        </w:numPr>
        <w:spacing w:before="120" w:after="120" w:line="288" w:lineRule="auto"/>
        <w:ind w:left="0"/>
        <w:jc w:val="left"/>
      </w:pPr>
      <w:r>
        <w:rPr>
          <w:rFonts w:eastAsia="等线" w:ascii="Arial" w:cs="Arial" w:hAnsi="Arial"/>
          <w:sz w:val="22"/>
        </w:rPr>
        <w:t>止盈止损单作为独立订单类型，在开仓模式下显示绿色「开多」和红色「开空」；在平仓模式下显示橙色平仓按钮。</w:t>
      </w:r>
    </w:p>
    <w:p>
      <w:pPr>
        <w:numPr>
          <w:numId w:val="361"/>
        </w:numPr>
        <w:spacing w:before="120" w:after="120" w:line="288" w:lineRule="auto"/>
        <w:ind w:left="0"/>
        <w:jc w:val="left"/>
      </w:pPr>
      <w:r>
        <w:rPr>
          <w:rFonts w:eastAsia="等线" w:ascii="Arial" w:cs="Arial" w:hAnsi="Arial"/>
          <w:sz w:val="22"/>
        </w:rPr>
        <w:t>点击后拉起止盈止损单专用的确认弹窗。</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5.8.3 下单确认流程</w:t>
      </w:r>
    </w:p>
    <w:p>
      <w:pPr>
        <w:spacing w:before="120" w:after="120" w:line="288" w:lineRule="auto"/>
        <w:ind w:left="0"/>
        <w:jc w:val="left"/>
      </w:pPr>
    </w:p>
    <w:p>
      <w:pPr>
        <w:numPr>
          <w:numId w:val="362"/>
        </w:numPr>
        <w:spacing w:before="120" w:after="120" w:line="288" w:lineRule="auto"/>
        <w:ind w:left="0"/>
        <w:jc w:val="left"/>
      </w:pPr>
      <w:r>
        <w:rPr>
          <w:rFonts w:eastAsia="等线" w:ascii="Arial" w:cs="Arial" w:hAnsi="Arial"/>
          <w:sz w:val="22"/>
        </w:rPr>
        <w:t>用户在下单区点击下单按钮（开多/开空/平多/平空）后，不直接提交订单，而是拉起对应的下单确认弹窗。</w:t>
      </w:r>
    </w:p>
    <w:p>
      <w:pPr>
        <w:numPr>
          <w:numId w:val="363"/>
        </w:numPr>
        <w:spacing w:before="120" w:after="120" w:line="288" w:lineRule="auto"/>
        <w:ind w:left="0"/>
        <w:jc w:val="left"/>
      </w:pPr>
      <w:r>
        <w:rPr>
          <w:rFonts w:eastAsia="等线" w:ascii="Arial" w:cs="Arial" w:hAnsi="Arial"/>
          <w:sz w:val="22"/>
        </w:rPr>
        <w:t>弹窗内展示该笔订单的关键交易字段，用户核对无误后点击确认按钮，订单才正式提交至交易引擎。</w:t>
      </w:r>
    </w:p>
    <w:p>
      <w:pPr>
        <w:numPr>
          <w:numId w:val="364"/>
        </w:numPr>
        <w:spacing w:before="120" w:after="120" w:line="288" w:lineRule="auto"/>
        <w:ind w:left="0"/>
        <w:jc w:val="left"/>
      </w:pPr>
      <w:r>
        <w:rPr>
          <w:rFonts w:eastAsia="等线" w:ascii="Arial" w:cs="Arial" w:hAnsi="Arial"/>
          <w:sz w:val="22"/>
        </w:rPr>
        <w:t>点击弹窗右上角关闭按钮（×），或止盈止损弹窗中的「取消」按钮，则关闭弹窗，不提交订单。</w:t>
      </w:r>
    </w:p>
    <w:p>
      <w:pPr>
        <w:numPr>
          <w:numId w:val="365"/>
        </w:numPr>
        <w:spacing w:before="120" w:after="120" w:line="288" w:lineRule="auto"/>
        <w:ind w:left="0"/>
        <w:jc w:val="left"/>
      </w:pPr>
      <w:r>
        <w:rPr>
          <w:rFonts w:eastAsia="等线" w:ascii="Arial" w:cs="Arial" w:hAnsi="Arial"/>
          <w:sz w:val="22"/>
        </w:rPr>
        <w:t>弹窗底部提供一个复选框：“不再为{订单类型}提示二次确认”。</w:t>
      </w:r>
    </w:p>
    <w:p>
      <w:pPr>
        <w:numPr>
          <w:numId w:val="366"/>
        </w:numPr>
        <w:spacing w:before="120" w:after="120" w:line="288" w:lineRule="auto"/>
        <w:ind w:left="453"/>
        <w:jc w:val="left"/>
      </w:pPr>
      <w:r>
        <w:rPr>
          <w:rFonts w:eastAsia="等线" w:ascii="Arial" w:cs="Arial" w:hAnsi="Arial"/>
          <w:sz w:val="22"/>
        </w:rPr>
        <w:t>勾选后点击确认，本次正常下单，同时系统记录该偏好；后续同类型订单将跳过确认弹窗直接下单。</w:t>
      </w:r>
    </w:p>
    <w:p>
      <w:pPr>
        <w:numPr>
          <w:numId w:val="367"/>
        </w:numPr>
        <w:spacing w:before="120" w:after="120" w:line="288" w:lineRule="auto"/>
        <w:ind w:left="453"/>
        <w:jc w:val="left"/>
      </w:pPr>
      <w:r>
        <w:rPr>
          <w:rFonts w:eastAsia="等线" w:ascii="Arial" w:cs="Arial" w:hAnsi="Arial"/>
          <w:sz w:val="22"/>
        </w:rPr>
        <w:t>若勾选“不再提示”但未点击确认（如关闭弹窗），则本次不下单，且偏好不生效。</w:t>
      </w:r>
    </w:p>
    <w:p>
      <w:pPr>
        <w:numPr>
          <w:numId w:val="368"/>
        </w:numPr>
        <w:spacing w:before="120" w:after="120" w:line="288" w:lineRule="auto"/>
        <w:ind w:left="0"/>
        <w:jc w:val="left"/>
      </w:pPr>
      <w:r>
        <w:rPr>
          <w:rFonts w:eastAsia="等线" w:ascii="Arial" w:cs="Arial" w:hAnsi="Arial"/>
          <w:sz w:val="22"/>
        </w:rPr>
        <w:t>确认弹窗出现时带有背景遮罩，点击遮罩不关闭弹窗（防止误触），仅可通过关闭按钮或取消按钮关闭。</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5.8.4 偏好设置抽屉</w:t>
      </w:r>
    </w:p>
    <w:p>
      <w:pPr>
        <w:numPr>
          <w:numId w:val="369"/>
        </w:numPr>
        <w:spacing w:before="120" w:after="120" w:line="288" w:lineRule="auto"/>
        <w:ind w:left="0"/>
        <w:jc w:val="left"/>
      </w:pPr>
      <w:r>
        <w:rPr>
          <w:rFonts w:eastAsia="等线" w:ascii="Arial" w:cs="Arial" w:hAnsi="Arial"/>
          <w:sz w:val="22"/>
        </w:rPr>
        <w:t>入口：导航栏右侧齿轮图标，点击后从右侧滑出偏好设置抽屉。</w:t>
      </w:r>
    </w:p>
    <w:p>
      <w:pPr>
        <w:numPr>
          <w:numId w:val="370"/>
        </w:numPr>
        <w:spacing w:before="120" w:after="120" w:line="288" w:lineRule="auto"/>
        <w:ind w:left="0"/>
        <w:jc w:val="left"/>
      </w:pPr>
      <w:r>
        <w:rPr>
          <w:rFonts w:eastAsia="等线" w:ascii="Arial" w:cs="Arial" w:hAnsi="Arial"/>
          <w:sz w:val="22"/>
        </w:rPr>
        <w:t>抽屉中「下单确认」区域提供三个开关：</w:t>
      </w:r>
    </w:p>
    <w:p>
      <w:pPr>
        <w:numPr>
          <w:numId w:val="371"/>
        </w:numPr>
        <w:spacing w:before="120" w:after="120" w:line="288" w:lineRule="auto"/>
        <w:ind w:left="453"/>
        <w:jc w:val="left"/>
      </w:pPr>
      <w:r>
        <w:rPr>
          <w:rFonts w:eastAsia="等线" w:ascii="Arial" w:cs="Arial" w:hAnsi="Arial"/>
          <w:b w:val="true"/>
          <w:sz w:val="22"/>
        </w:rPr>
        <w:t>限价单二次确认</w:t>
      </w:r>
      <w:r>
        <w:rPr>
          <w:rFonts w:eastAsia="等线" w:ascii="Arial" w:cs="Arial" w:hAnsi="Arial"/>
          <w:sz w:val="22"/>
        </w:rPr>
        <w:t>：默认开启。</w:t>
      </w:r>
    </w:p>
    <w:p>
      <w:pPr>
        <w:numPr>
          <w:numId w:val="372"/>
        </w:numPr>
        <w:spacing w:before="120" w:after="120" w:line="288" w:lineRule="auto"/>
        <w:ind w:left="453"/>
        <w:jc w:val="left"/>
      </w:pPr>
      <w:r>
        <w:rPr>
          <w:rFonts w:eastAsia="等线" w:ascii="Arial" w:cs="Arial" w:hAnsi="Arial"/>
          <w:b w:val="true"/>
          <w:sz w:val="22"/>
        </w:rPr>
        <w:t>市价单二次确认</w:t>
      </w:r>
      <w:r>
        <w:rPr>
          <w:rFonts w:eastAsia="等线" w:ascii="Arial" w:cs="Arial" w:hAnsi="Arial"/>
          <w:sz w:val="22"/>
        </w:rPr>
        <w:t>：默认开启。</w:t>
      </w:r>
    </w:p>
    <w:p>
      <w:pPr>
        <w:numPr>
          <w:numId w:val="373"/>
        </w:numPr>
        <w:spacing w:before="120" w:after="120" w:line="288" w:lineRule="auto"/>
        <w:ind w:left="453"/>
        <w:jc w:val="left"/>
      </w:pPr>
      <w:r>
        <w:rPr>
          <w:rFonts w:eastAsia="等线" w:ascii="Arial" w:cs="Arial" w:hAnsi="Arial"/>
          <w:b w:val="true"/>
          <w:sz w:val="22"/>
        </w:rPr>
        <w:t>止盈止损单二次确认</w:t>
      </w:r>
      <w:r>
        <w:rPr>
          <w:rFonts w:eastAsia="等线" w:ascii="Arial" w:cs="Arial" w:hAnsi="Arial"/>
          <w:sz w:val="22"/>
        </w:rPr>
        <w:t>：默认关闭。</w:t>
      </w:r>
    </w:p>
    <w:p>
      <w:pPr>
        <w:numPr>
          <w:numId w:val="374"/>
        </w:numPr>
        <w:spacing w:before="120" w:after="120" w:line="288" w:lineRule="auto"/>
        <w:ind w:left="0"/>
        <w:jc w:val="left"/>
      </w:pPr>
      <w:r>
        <w:rPr>
          <w:rFonts w:eastAsia="等线" w:ascii="Arial" w:cs="Arial" w:hAnsi="Arial"/>
          <w:sz w:val="22"/>
        </w:rPr>
        <w:t>切换开关即时生效，影响对应订单类型是否弹出确认框。</w:t>
      </w:r>
    </w:p>
    <w:p>
      <w:pPr>
        <w:numPr>
          <w:numId w:val="375"/>
        </w:numPr>
        <w:spacing w:before="120" w:after="120" w:line="288" w:lineRule="auto"/>
        <w:ind w:left="0"/>
        <w:jc w:val="left"/>
      </w:pPr>
      <w:r>
        <w:rPr>
          <w:rFonts w:eastAsia="等线" w:ascii="Arial" w:cs="Arial" w:hAnsi="Arial"/>
          <w:sz w:val="22"/>
        </w:rPr>
        <w:t>所有开关状态存储在客户端本地缓存，用户下次访问时保持一致。</w:t>
      </w:r>
    </w:p>
    <w:p>
      <w:pPr>
        <w:numPr>
          <w:numId w:val="376"/>
        </w:numPr>
        <w:spacing w:before="120" w:after="120" w:line="288" w:lineRule="auto"/>
        <w:ind w:left="0"/>
        <w:jc w:val="left"/>
      </w:pPr>
      <w:r>
        <w:rPr>
          <w:rFonts w:eastAsia="等线" w:ascii="Arial" w:cs="Arial" w:hAnsi="Arial"/>
          <w:sz w:val="22"/>
        </w:rPr>
        <w:t>抽屉底部提供「恢复至默认设置」按钮，将所有开关重置为默认状态。</w:t>
      </w:r>
    </w:p>
    <w:p>
      <w:pPr>
        <w:spacing w:before="120" w:after="120" w:line="288" w:lineRule="auto"/>
        <w:ind w:left="453"/>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5.8.5 各订单类型确认弹窗字段说明</w:t>
      </w:r>
      <w:bookmarkEnd w:id="3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【限价单确认弹窗】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弹窗标题：</w:t>
      </w:r>
      <w:r>
        <w:rPr>
          <w:rFonts w:eastAsia="等线" w:ascii="Arial" w:cs="Arial" w:hAnsi="Arial"/>
          <w:sz w:val="22"/>
        </w:rPr>
        <w:t xml:space="preserve"> 交易对 + 方向 + 杠杆倍数（如“BTCUSDT 开多 20X”；或“BTCUSDT 开空 20X”）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展示字段：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649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用户输入的限价价格（单位：USDT）</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用户输入的交易数量（如 0.500 BTC 或 800.00 USDT）</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保证金</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该笔开仓所占用的保证金（单位：USDT）</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预估爆仓价</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根据杠杆、开仓价、保证金计算的预估强平触发价（详见 5.12）</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w:t>
            </w:r>
          </w:p>
        </w:tc>
        <w:tc>
          <w:tcPr>
            <w:tcW w:w="6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若已勾选跟随止盈止损，显示“止盈触发价 / 止损触发价”；未设置则显示“--”</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底部复选框：</w:t>
      </w:r>
      <w:r>
        <w:rPr>
          <w:rFonts w:eastAsia="等线" w:ascii="Arial" w:cs="Arial" w:hAnsi="Arial"/>
          <w:sz w:val="22"/>
        </w:rPr>
        <w:t xml:space="preserve"> “不再为限价单提示二次确认。您也可以在“偏好设置”中调整。”</w:t>
      </w:r>
    </w:p>
    <w:p>
      <w:pPr>
        <w:spacing w:before="120" w:after="120" w:line="288" w:lineRule="auto"/>
        <w:ind w:left="0"/>
        <w:jc w:val="left"/>
      </w:pPr>
      <w:r>
        <w:rPr>
          <w:rFonts w:eastAsia="等线" w:ascii="Arial" w:cs="Arial" w:hAnsi="Arial"/>
          <w:b w:val="true"/>
          <w:sz w:val="22"/>
        </w:rPr>
        <w:t>确认按钮：</w:t>
      </w:r>
      <w:r>
        <w:rPr>
          <w:rFonts w:eastAsia="等线" w:ascii="Arial" w:cs="Arial" w:hAnsi="Arial"/>
          <w:sz w:val="22"/>
        </w:rPr>
        <w:t xml:space="preserve"> 绿色「确认」（开多）/ 红色「确认」（开空）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【市价单确认弹窗】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弹窗标题：</w:t>
      </w:r>
      <w:r>
        <w:rPr>
          <w:rFonts w:eastAsia="等线" w:ascii="Arial" w:cs="Arial" w:hAnsi="Arial"/>
          <w:sz w:val="22"/>
        </w:rPr>
        <w:t xml:space="preserve"> 交易对 + 方向 + 杠杆倍数（如“BTCUSDT 开多 20X”；或“BTCUSDT 开空 20X”）</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展示字段：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显示“市价”文案，非具体数值</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用户输入的交易数量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保证金</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开仓占用保证金</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预估爆仓价</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根据杠杆、当前市价、保证金计算的预估强平触发价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若已勾选跟随止盈止损，显示对应触发价；未设置则显示“--”</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底部复选框：</w:t>
      </w:r>
      <w:r>
        <w:rPr>
          <w:rFonts w:eastAsia="等线" w:ascii="Arial" w:cs="Arial" w:hAnsi="Arial"/>
          <w:sz w:val="22"/>
        </w:rPr>
        <w:t xml:space="preserve"> “不再为市价单提示二次确认。您也可以在“偏好设置”中调整。”</w:t>
      </w:r>
    </w:p>
    <w:p>
      <w:pPr>
        <w:spacing w:before="120" w:after="120" w:line="288" w:lineRule="auto"/>
        <w:ind w:left="0"/>
        <w:jc w:val="left"/>
      </w:pPr>
      <w:r>
        <w:rPr>
          <w:rFonts w:eastAsia="等线" w:ascii="Arial" w:cs="Arial" w:hAnsi="Arial"/>
          <w:b w:val="true"/>
          <w:sz w:val="22"/>
        </w:rPr>
        <w:t>确认按钮：</w:t>
      </w:r>
      <w:r>
        <w:rPr>
          <w:rFonts w:eastAsia="等线" w:ascii="Arial" w:cs="Arial" w:hAnsi="Arial"/>
          <w:sz w:val="22"/>
        </w:rPr>
        <w:t xml:space="preserve"> 绿色「确认」（开多）/ 红色「确认」（开空）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【止盈止损单确认弹窗】</w:t>
      </w:r>
    </w:p>
    <w:p>
      <w:pPr>
        <w:numPr>
          <w:numId w:val="377"/>
        </w:numPr>
        <w:spacing w:before="120" w:after="120" w:line="288" w:lineRule="auto"/>
        <w:ind w:left="0"/>
        <w:jc w:val="left"/>
      </w:pPr>
      <w:r>
        <w:rPr>
          <w:rFonts w:eastAsia="等线" w:ascii="Arial" w:cs="Arial" w:hAnsi="Arial"/>
          <w:b w:val="true"/>
          <w:sz w:val="22"/>
        </w:rPr>
        <w:t>功能概述</w:t>
      </w:r>
    </w:p>
    <w:p>
      <w:pPr>
        <w:spacing w:before="120" w:after="120" w:line="288" w:lineRule="auto"/>
        <w:ind w:left="0"/>
        <w:jc w:val="left"/>
      </w:pPr>
      <w:r>
        <w:rPr>
          <w:rFonts w:eastAsia="等线" w:ascii="Arial" w:cs="Arial" w:hAnsi="Arial"/>
          <w:sz w:val="22"/>
        </w:rPr>
        <w:t>用户提交止盈止损订单前的二次确认弹窗，根据</w:t>
      </w:r>
      <w:r>
        <w:rPr>
          <w:rFonts w:eastAsia="等线" w:ascii="Arial" w:cs="Arial" w:hAnsi="Arial"/>
          <w:b w:val="true"/>
          <w:sz w:val="22"/>
        </w:rPr>
        <w:t>开仓/平仓</w:t>
      </w:r>
      <w:r>
        <w:rPr>
          <w:rFonts w:eastAsia="等线" w:ascii="Arial" w:cs="Arial" w:hAnsi="Arial"/>
          <w:sz w:val="22"/>
        </w:rPr>
        <w:t>及</w:t>
      </w:r>
      <w:r>
        <w:rPr>
          <w:rFonts w:eastAsia="等线" w:ascii="Arial" w:cs="Arial" w:hAnsi="Arial"/>
          <w:b w:val="true"/>
          <w:sz w:val="22"/>
        </w:rPr>
        <w:t>单向/双向</w:t>
      </w:r>
      <w:r>
        <w:rPr>
          <w:rFonts w:eastAsia="等线" w:ascii="Arial" w:cs="Arial" w:hAnsi="Arial"/>
          <w:sz w:val="22"/>
        </w:rPr>
        <w:t>模式动态展示确认信息。若用户在“偏好设置”中关闭了止盈止损订单的二次确认，则直接提交订单。</w:t>
      </w:r>
    </w:p>
    <w:p>
      <w:pPr>
        <w:spacing w:before="120" w:after="120" w:line="288" w:lineRule="auto"/>
        <w:ind w:left="0"/>
        <w:jc w:val="left"/>
      </w:pPr>
    </w:p>
    <w:p>
      <w:pPr>
        <w:numPr>
          <w:numId w:val="378"/>
        </w:numPr>
        <w:spacing w:before="120" w:after="120" w:line="288" w:lineRule="auto"/>
        <w:ind w:left="0"/>
        <w:jc w:val="left"/>
      </w:pPr>
      <w:r>
        <w:rPr>
          <w:rFonts w:eastAsia="等线" w:ascii="Arial" w:cs="Arial" w:hAnsi="Arial"/>
          <w:b w:val="true"/>
          <w:sz w:val="22"/>
        </w:rPr>
        <w:t>3.3.2 弹窗标题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标题文案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单向开仓 + 开多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多单（绿色标签）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单向开仓 + 开空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空单（红色标签）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双向开仓 + 开多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多单（绿色标签）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双向开仓 + 开空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空单（红色标签）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双向平仓（持多）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多单（绿色标签）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双向平仓（持空）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空单（红色标签）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单向平仓（持多）</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多单（绿色标签）</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单向平仓（持空）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止盈止损确认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空单（红色标签）</w:t>
            </w:r>
          </w:p>
        </w:tc>
      </w:tr>
    </w:tbl>
    <w:p>
      <w:pPr>
        <w:pBdr>
          <w:bottom w:val="single" w:color="dee0e3"/>
          <w:between w:val="single" w:color="dee0e3"/>
        </w:pBdr>
        <w:spacing w:before="120" w:after="120" w:line="288" w:lineRule="auto"/>
        <w:ind w:left="0"/>
      </w:pPr>
    </w:p>
    <w:p>
      <w:pPr>
        <w:numPr>
          <w:numId w:val="379"/>
        </w:numPr>
        <w:spacing w:before="120" w:after="120" w:line="288" w:lineRule="auto"/>
        <w:ind w:left="0"/>
        <w:jc w:val="left"/>
      </w:pPr>
      <w:r>
        <w:rPr>
          <w:rFonts w:eastAsia="等线" w:ascii="Arial" w:cs="Arial" w:hAnsi="Arial"/>
          <w:b w:val="true"/>
          <w:sz w:val="22"/>
        </w:rPr>
        <w:t>公共区块：基础信息</w:t>
      </w:r>
    </w:p>
    <w:p>
      <w:pPr>
        <w:spacing w:before="120" w:after="120" w:line="288" w:lineRule="auto"/>
        <w:ind w:left="0"/>
        <w:jc w:val="left"/>
      </w:pPr>
      <w:r>
        <w:rPr>
          <w:rFonts w:eastAsia="等线" w:ascii="Arial" w:cs="Arial" w:hAnsi="Arial"/>
          <w:sz w:val="22"/>
        </w:rPr>
        <w:t>所有场景均展示以下基础信息：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合约信息</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交易对 + 方向 + 杠杆倍数（如“BTCUSDT 开多 20X”；或“BTCUSDT 开空 20X”）</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开仓价格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只有平仓场景场景显示：显示当前持仓的开仓均价</w:t>
            </w:r>
          </w:p>
        </w:tc>
      </w:tr>
    </w:tbl>
    <w:p>
      <w:pPr>
        <w:pBdr>
          <w:bottom w:val="single" w:color="dee0e3"/>
          <w:between w:val="single" w:color="dee0e3"/>
        </w:pBdr>
        <w:spacing w:before="120" w:after="120" w:line="288" w:lineRule="auto"/>
        <w:ind w:left="0"/>
      </w:pPr>
    </w:p>
    <w:p>
      <w:pPr>
        <w:numPr>
          <w:numId w:val="380"/>
        </w:numPr>
        <w:spacing w:before="120" w:after="120" w:line="288" w:lineRule="auto"/>
        <w:ind w:left="0"/>
        <w:jc w:val="left"/>
      </w:pPr>
      <w:r>
        <w:rPr>
          <w:rFonts w:eastAsia="等线" w:ascii="Arial" w:cs="Arial" w:hAnsi="Arial"/>
          <w:b w:val="true"/>
          <w:sz w:val="22"/>
        </w:rPr>
        <w:t>单向开仓确认</w:t>
      </w:r>
    </w:p>
    <w:p>
      <w:pPr>
        <w:spacing w:before="120" w:after="120" w:line="288" w:lineRule="auto"/>
        <w:ind w:left="0"/>
        <w:jc w:val="left"/>
      </w:pPr>
      <w:r>
        <w:rPr>
          <w:rFonts w:eastAsia="等线" w:ascii="Arial" w:cs="Arial" w:hAnsi="Arial"/>
          <w:sz w:val="22"/>
        </w:rPr>
        <w:t>展示一个</w:t>
      </w:r>
      <w:r>
        <w:rPr>
          <w:rFonts w:eastAsia="等线" w:ascii="Arial" w:cs="Arial" w:hAnsi="Arial"/>
          <w:b w:val="true"/>
          <w:sz w:val="22"/>
        </w:rPr>
        <w:t>触发条件区块：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触发价，并标注触发类型（标记价格 / 最新成交价 / 指数价格）</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委托价（限价）或“市价”</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下单数量：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10"/>
        <w:gridCol w:w="6270"/>
      </w:tblGrid>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w:t>
            </w:r>
          </w:p>
        </w:tc>
        <w:tc>
          <w:tcPr>
            <w:tcW w:w="6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本次订单设置所对应的开仓数量</w:t>
            </w:r>
          </w:p>
        </w:tc>
      </w:tr>
    </w:tbl>
    <w:p>
      <w:pPr>
        <w:pBdr>
          <w:bottom w:val="single" w:color="dee0e3"/>
          <w:between w:val="single" w:color="dee0e3"/>
        </w:pBdr>
        <w:spacing w:before="120" w:after="120" w:line="288" w:lineRule="auto"/>
        <w:ind w:left="0"/>
      </w:pPr>
    </w:p>
    <w:p>
      <w:pPr>
        <w:numPr>
          <w:numId w:val="381"/>
        </w:numPr>
        <w:spacing w:before="120" w:after="120" w:line="288" w:lineRule="auto"/>
        <w:ind w:left="0"/>
        <w:jc w:val="left"/>
      </w:pPr>
      <w:r>
        <w:rPr>
          <w:rFonts w:eastAsia="等线" w:ascii="Arial" w:cs="Arial" w:hAnsi="Arial"/>
          <w:b w:val="true"/>
          <w:sz w:val="22"/>
        </w:rPr>
        <w:t>双向开仓确认</w:t>
      </w:r>
    </w:p>
    <w:p>
      <w:pPr>
        <w:spacing w:before="120" w:after="120" w:line="288" w:lineRule="auto"/>
        <w:ind w:left="0"/>
        <w:jc w:val="left"/>
      </w:pPr>
      <w:r>
        <w:rPr>
          <w:rFonts w:eastAsia="等线" w:ascii="Arial" w:cs="Arial" w:hAnsi="Arial"/>
          <w:sz w:val="22"/>
        </w:rPr>
        <w:t>展示两个「触发条件」区块，分别标记为「触发价格一」和「触发价格二」：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触发价格一区块：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触发价，并标注触发类型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委托价（限价）或“市价”</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触发价格二区块：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触发价，并标注触发类型</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委托价（限价）或“市价”</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下单数量：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两个触发条件共用同一数量</w:t>
            </w:r>
          </w:p>
        </w:tc>
      </w:tr>
    </w:tbl>
    <w:p>
      <w:pPr>
        <w:pBdr>
          <w:bottom w:val="single" w:color="dee0e3"/>
          <w:between w:val="single" w:color="dee0e3"/>
        </w:pBdr>
        <w:spacing w:before="120" w:after="120" w:line="288" w:lineRule="auto"/>
        <w:ind w:left="0"/>
      </w:pPr>
    </w:p>
    <w:p>
      <w:pPr>
        <w:numPr>
          <w:numId w:val="382"/>
        </w:numPr>
        <w:spacing w:before="120" w:after="120" w:line="288" w:lineRule="auto"/>
        <w:ind w:left="0"/>
        <w:jc w:val="left"/>
      </w:pPr>
      <w:r>
        <w:rPr>
          <w:rFonts w:eastAsia="等线" w:ascii="Arial" w:cs="Arial" w:hAnsi="Arial"/>
          <w:b w:val="true"/>
          <w:sz w:val="22"/>
        </w:rPr>
        <w:t>双向平仓确认</w:t>
      </w:r>
    </w:p>
    <w:p>
      <w:pPr>
        <w:spacing w:before="120" w:after="120" w:line="288" w:lineRule="auto"/>
        <w:ind w:left="0"/>
        <w:jc w:val="left"/>
      </w:pPr>
      <w:r>
        <w:rPr>
          <w:rFonts w:eastAsia="等线" w:ascii="Arial" w:cs="Arial" w:hAnsi="Arial"/>
          <w:sz w:val="22"/>
        </w:rPr>
        <w:t>展示两个区块：止盈区块和止损区块。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止盈区块 (Take Profit)：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止盈触发价，并标注触发类型（标记价格 / 最新成交价 / 指数价格）</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止盈委托价（限价）或“市价”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预估收益</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持多仓：（止盈触发价 - 开仓均价）× 持仓数量；持空仓：（开仓均价 - 止盈触发价）× 持仓数量。绿色字体。</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止损区块 (Stop Loss)：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止损触发价，并标注触发类型</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止损委托价（限价）或“市价”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预估收益</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持多仓：（开仓均价 - 止损触发价）× 持仓数量（亏损为负值）；持空仓：（止损触发价 - 开仓均价）× 持仓数量（亏损为负值）。红色字体。</w:t>
            </w:r>
          </w:p>
        </w:tc>
      </w:tr>
    </w:tbl>
    <w:p>
      <w:pPr>
        <w:numPr>
          <w:numId w:val="383"/>
        </w:numPr>
        <w:spacing w:before="120" w:after="120" w:line="288" w:lineRule="auto"/>
        <w:ind w:left="0"/>
        <w:jc w:val="left"/>
      </w:pPr>
      <w:r>
        <w:rPr>
          <w:rFonts w:eastAsia="等线" w:ascii="Arial" w:cs="Arial" w:hAnsi="Arial"/>
          <w:sz w:val="22"/>
        </w:rPr>
        <w:t>若用户仅填写一个触发价（如只设止盈、不设止损），则只展示已填写区块。</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下单数量：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止盈和止损共用同一数量</w:t>
            </w:r>
          </w:p>
        </w:tc>
      </w:tr>
    </w:tbl>
    <w:p>
      <w:pPr>
        <w:pBdr>
          <w:bottom w:val="single" w:color="dee0e3"/>
          <w:between w:val="single" w:color="dee0e3"/>
        </w:pBdr>
        <w:spacing w:before="120" w:after="120" w:line="288" w:lineRule="auto"/>
        <w:ind w:left="0"/>
      </w:pPr>
    </w:p>
    <w:p>
      <w:pPr>
        <w:numPr>
          <w:numId w:val="384"/>
        </w:numPr>
        <w:spacing w:before="120" w:after="120" w:line="288" w:lineRule="auto"/>
        <w:ind w:left="0"/>
        <w:jc w:val="left"/>
      </w:pPr>
      <w:r>
        <w:rPr>
          <w:rFonts w:eastAsia="等线" w:ascii="Arial" w:cs="Arial" w:hAnsi="Arial"/>
          <w:b w:val="true"/>
          <w:sz w:val="22"/>
        </w:rPr>
        <w:t>单向平仓确认</w:t>
      </w:r>
    </w:p>
    <w:p>
      <w:pPr>
        <w:spacing w:before="120" w:after="120" w:line="288" w:lineRule="auto"/>
        <w:ind w:left="0"/>
        <w:jc w:val="left"/>
      </w:pPr>
      <w:r>
        <w:rPr>
          <w:rFonts w:eastAsia="等线" w:ascii="Arial" w:cs="Arial" w:hAnsi="Arial"/>
          <w:sz w:val="22"/>
        </w:rPr>
        <w:t>展示一个</w:t>
      </w:r>
      <w:r>
        <w:rPr>
          <w:rFonts w:eastAsia="等线" w:ascii="Arial" w:cs="Arial" w:hAnsi="Arial"/>
          <w:b w:val="true"/>
          <w:sz w:val="22"/>
        </w:rPr>
        <w:t>触发条件区块：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方向</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由系统根据触发价与持仓成本关系自动判定并显示：触发价 &gt; 开仓均价（持多）/ 触发价 &lt; 开仓均价（持空）→ “止盈”；触发价 &lt; 开仓均价（持多）/ 触发价 &gt; 开仓均价（持空）→ “止损”</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触发价，并标注触发类型</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委托价格</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委托价（限价）或“市价”</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预估收益</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若为止盈：绿色字体显示盈利金额；若为止损：红色字体显示亏损金额。计算方式同双向平仓的止盈/止损区块。</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下单数量：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432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下单数量</w:t>
            </w:r>
          </w:p>
        </w:tc>
        <w:tc>
          <w:tcPr>
            <w:tcW w:w="4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本次止盈止损设置所对应的仓位数量</w:t>
            </w:r>
          </w:p>
        </w:tc>
      </w:tr>
    </w:tbl>
    <w:p>
      <w:pPr>
        <w:pBdr>
          <w:bottom w:val="single" w:color="dee0e3"/>
          <w:between w:val="single" w:color="dee0e3"/>
        </w:pBdr>
        <w:spacing w:before="120" w:after="120" w:line="288" w:lineRule="auto"/>
        <w:ind w:left="0"/>
      </w:pPr>
    </w:p>
    <w:p>
      <w:pPr>
        <w:numPr>
          <w:numId w:val="385"/>
        </w:numPr>
        <w:spacing w:before="120" w:after="120" w:line="288" w:lineRule="auto"/>
        <w:ind w:left="0"/>
        <w:jc w:val="left"/>
      </w:pPr>
      <w:r>
        <w:rPr>
          <w:rFonts w:eastAsia="等线" w:ascii="Arial" w:cs="Arial" w:hAnsi="Arial"/>
          <w:b w:val="true"/>
          <w:sz w:val="22"/>
        </w:rPr>
        <w:t>底部通用元素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所有场景的确认弹窗底部均包含以下元素：</w:t>
      </w:r>
    </w:p>
    <w:p>
      <w:pPr>
        <w:numPr>
          <w:numId w:val="386"/>
        </w:numPr>
        <w:spacing w:before="120" w:after="120" w:line="288" w:lineRule="auto"/>
        <w:ind w:left="0"/>
        <w:jc w:val="left"/>
      </w:pPr>
      <w:r>
        <w:rPr>
          <w:rFonts w:eastAsia="等线" w:ascii="Arial" w:cs="Arial" w:hAnsi="Arial"/>
          <w:b w:val="true"/>
          <w:sz w:val="22"/>
        </w:rPr>
        <w:t>复选框</w:t>
      </w:r>
      <w:r>
        <w:rPr>
          <w:rFonts w:eastAsia="等线" w:ascii="Arial" w:cs="Arial" w:hAnsi="Arial"/>
          <w:sz w:val="22"/>
        </w:rPr>
        <w:t>：标签文案为“不再为止盈止损订单提示二次确认。您也可以在“偏好设置”中调整。”</w:t>
      </w:r>
    </w:p>
    <w:p>
      <w:pPr>
        <w:numPr>
          <w:numId w:val="387"/>
        </w:numPr>
        <w:spacing w:before="120" w:after="120" w:line="288" w:lineRule="auto"/>
        <w:ind w:left="453"/>
        <w:jc w:val="left"/>
      </w:pPr>
      <w:r>
        <w:rPr>
          <w:rFonts w:eastAsia="等线" w:ascii="Arial" w:cs="Arial" w:hAnsi="Arial"/>
          <w:sz w:val="22"/>
        </w:rPr>
        <w:t>勾选后，后续同类订单直接提交，不再弹出此确认弹窗。</w:t>
      </w:r>
    </w:p>
    <w:p>
      <w:pPr>
        <w:numPr>
          <w:numId w:val="388"/>
        </w:numPr>
        <w:spacing w:before="120" w:after="120" w:line="288" w:lineRule="auto"/>
        <w:ind w:left="0"/>
        <w:jc w:val="left"/>
      </w:pPr>
      <w:r>
        <w:rPr>
          <w:rFonts w:eastAsia="等线" w:ascii="Arial" w:cs="Arial" w:hAnsi="Arial"/>
          <w:b w:val="true"/>
          <w:sz w:val="22"/>
        </w:rPr>
        <w:t>操作按钮</w:t>
      </w:r>
      <w:r>
        <w:rPr>
          <w:rFonts w:eastAsia="等线" w:ascii="Arial" w:cs="Arial" w:hAnsi="Arial"/>
          <w:sz w:val="22"/>
        </w:rPr>
        <w:t>：</w:t>
      </w:r>
    </w:p>
    <w:p>
      <w:pPr>
        <w:numPr>
          <w:numId w:val="389"/>
        </w:numPr>
        <w:spacing w:before="120" w:after="120" w:line="288" w:lineRule="auto"/>
        <w:ind w:left="453"/>
        <w:jc w:val="left"/>
      </w:pPr>
      <w:r>
        <w:rPr>
          <w:rFonts w:eastAsia="等线" w:ascii="Arial" w:cs="Arial" w:hAnsi="Arial"/>
          <w:sz w:val="22"/>
        </w:rPr>
        <w:t>「取消」按钮：关闭弹窗，不提交订单。</w:t>
      </w:r>
    </w:p>
    <w:p>
      <w:pPr>
        <w:numPr>
          <w:numId w:val="390"/>
        </w:numPr>
        <w:spacing w:before="120" w:after="120" w:line="288" w:lineRule="auto"/>
        <w:ind w:left="453"/>
        <w:jc w:val="left"/>
      </w:pPr>
      <w:r>
        <w:rPr>
          <w:rFonts w:eastAsia="等线" w:ascii="Arial" w:cs="Arial" w:hAnsi="Arial"/>
          <w:sz w:val="22"/>
        </w:rPr>
        <w:t>「确认提交」按钮：确认并提交止盈止损订单。</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5.8.6 下单结果反馈</w:t>
      </w:r>
    </w:p>
    <w:p>
      <w:pPr>
        <w:numPr>
          <w:numId w:val="391"/>
        </w:numPr>
        <w:spacing w:before="120" w:after="120" w:line="288" w:lineRule="auto"/>
        <w:ind w:left="0"/>
        <w:jc w:val="left"/>
      </w:pPr>
      <w:r>
        <w:rPr>
          <w:rFonts w:eastAsia="等线" w:ascii="Arial" w:cs="Arial" w:hAnsi="Arial"/>
          <w:sz w:val="22"/>
        </w:rPr>
        <w:t>下单后弹窗关闭，页面右下角弹出 Toast 通知：</w:t>
      </w:r>
    </w:p>
    <w:p>
      <w:pPr>
        <w:numPr>
          <w:numId w:val="392"/>
        </w:numPr>
        <w:spacing w:before="120" w:after="120" w:line="288" w:lineRule="auto"/>
        <w:ind w:left="453"/>
        <w:jc w:val="left"/>
      </w:pPr>
      <w:r>
        <w:rPr>
          <w:rFonts w:eastAsia="等线" w:ascii="Arial" w:cs="Arial" w:hAnsi="Arial"/>
          <w:sz w:val="22"/>
        </w:rPr>
        <w:t>成功：绿色图标 + “下单成功”，2秒后自动消失。</w:t>
      </w:r>
    </w:p>
    <w:p>
      <w:pPr>
        <w:numPr>
          <w:numId w:val="393"/>
        </w:numPr>
        <w:spacing w:before="120" w:after="120" w:line="288" w:lineRule="auto"/>
        <w:ind w:left="453"/>
        <w:jc w:val="left"/>
      </w:pPr>
      <w:r>
        <w:rPr>
          <w:rFonts w:eastAsia="等线" w:ascii="Arial" w:cs="Arial" w:hAnsi="Arial"/>
          <w:sz w:val="22"/>
        </w:rPr>
        <w:t>失败：红色图标 + 后端返回的具体失败原因（如“订单名义价值不得小于 62.7 USDT”、“可用余额不足”、“市场深度不足”等），3秒后自动消失。</w:t>
      </w:r>
    </w:p>
    <w:p>
      <w:pPr>
        <w:numPr>
          <w:numId w:val="394"/>
        </w:numPr>
        <w:spacing w:before="120" w:after="120" w:line="288" w:lineRule="auto"/>
        <w:ind w:left="907"/>
        <w:jc w:val="left"/>
      </w:pPr>
      <w:r>
        <w:rPr>
          <w:rFonts w:eastAsia="等线" w:ascii="Arial" w:cs="Arial" w:hAnsi="Arial"/>
          <w:b w:val="true"/>
          <w:sz w:val="22"/>
          <w:shd w:fill="fff67a"/>
        </w:rPr>
        <w:t>后端下单验证，技术团队直接补充逻辑，或沿用系统逻辑即可</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5.8.7 数据缓存规则</w:t>
      </w:r>
    </w:p>
    <w:p>
      <w:pPr>
        <w:spacing w:before="120" w:after="120" w:line="288" w:lineRule="auto"/>
        <w:ind w:left="0"/>
        <w:jc w:val="left"/>
      </w:pPr>
    </w:p>
    <w:p>
      <w:pPr>
        <w:numPr>
          <w:numId w:val="395"/>
        </w:numPr>
        <w:spacing w:before="120" w:after="120" w:line="288" w:lineRule="auto"/>
        <w:ind w:left="0"/>
        <w:jc w:val="left"/>
      </w:pPr>
      <w:r>
        <w:rPr>
          <w:rFonts w:eastAsia="等线" w:ascii="Arial" w:cs="Arial" w:hAnsi="Arial"/>
          <w:sz w:val="22"/>
        </w:rPr>
        <w:t>所有“不再提示”的偏好以订单类型为键值存储：</w:t>
      </w:r>
    </w:p>
    <w:p>
      <w:pPr>
        <w:numPr>
          <w:numId w:val="396"/>
        </w:numPr>
        <w:spacing w:before="120" w:after="120" w:line="288" w:lineRule="auto"/>
        <w:ind w:left="453"/>
        <w:jc w:val="left"/>
      </w:pPr>
      <w:r>
        <w:rPr>
          <w:rFonts w:eastAsia="Consolas" w:ascii="Consolas" w:cs="Consolas" w:hAnsi="Consolas"/>
          <w:sz w:val="22"/>
          <w:shd w:fill="EFF0F1"/>
        </w:rPr>
        <w:t>限价单</w:t>
      </w:r>
    </w:p>
    <w:p>
      <w:pPr>
        <w:numPr>
          <w:numId w:val="397"/>
        </w:numPr>
        <w:spacing w:before="120" w:after="120" w:line="288" w:lineRule="auto"/>
        <w:ind w:left="453"/>
        <w:jc w:val="left"/>
      </w:pPr>
      <w:r>
        <w:rPr>
          <w:rFonts w:eastAsia="Consolas" w:ascii="Consolas" w:cs="Consolas" w:hAnsi="Consolas"/>
          <w:sz w:val="22"/>
          <w:shd w:fill="EFF0F1"/>
        </w:rPr>
        <w:t>市价单</w:t>
      </w:r>
    </w:p>
    <w:p>
      <w:pPr>
        <w:numPr>
          <w:numId w:val="398"/>
        </w:numPr>
        <w:spacing w:before="120" w:after="120" w:line="288" w:lineRule="auto"/>
        <w:ind w:left="453"/>
        <w:jc w:val="left"/>
      </w:pPr>
      <w:r>
        <w:rPr>
          <w:rFonts w:eastAsia="Consolas" w:ascii="Consolas" w:cs="Consolas" w:hAnsi="Consolas"/>
          <w:sz w:val="22"/>
          <w:shd w:fill="EFF0F1"/>
        </w:rPr>
        <w:t>止盈止损单</w:t>
      </w:r>
    </w:p>
    <w:p>
      <w:pPr>
        <w:numPr>
          <w:numId w:val="399"/>
        </w:numPr>
        <w:spacing w:before="120" w:after="120" w:line="288" w:lineRule="auto"/>
        <w:ind w:left="0"/>
        <w:jc w:val="left"/>
      </w:pPr>
      <w:r>
        <w:rPr>
          <w:rFonts w:eastAsia="等线" w:ascii="Arial" w:cs="Arial" w:hAnsi="Arial"/>
          <w:sz w:val="22"/>
        </w:rPr>
        <w:t>值为布尔类型：true = 跳过确认，false = 需要确认。</w:t>
      </w:r>
    </w:p>
    <w:p>
      <w:pPr>
        <w:numPr>
          <w:numId w:val="400"/>
        </w:numPr>
        <w:spacing w:before="120" w:after="120" w:line="288" w:lineRule="auto"/>
        <w:ind w:left="0"/>
        <w:jc w:val="left"/>
      </w:pPr>
      <w:r>
        <w:rPr>
          <w:rFonts w:eastAsia="等线" w:ascii="Arial" w:cs="Arial" w:hAnsi="Arial"/>
          <w:sz w:val="22"/>
        </w:rPr>
        <w:t>在确认弹窗中勾选复选框并完成订单确认时，对应值设为 true。</w:t>
      </w:r>
    </w:p>
    <w:p>
      <w:pPr>
        <w:numPr>
          <w:numId w:val="401"/>
        </w:numPr>
        <w:spacing w:before="120" w:after="120" w:line="288" w:lineRule="auto"/>
        <w:ind w:left="0"/>
        <w:jc w:val="left"/>
      </w:pPr>
      <w:r>
        <w:rPr>
          <w:rFonts w:eastAsia="等线" w:ascii="Arial" w:cs="Arial" w:hAnsi="Arial"/>
          <w:sz w:val="22"/>
        </w:rPr>
        <w:t>在偏好设置抽屉中切换开关时即时更新并持久化。</w:t>
      </w:r>
    </w:p>
    <w:p>
      <w:pPr>
        <w:numPr>
          <w:numId w:val="402"/>
        </w:numPr>
        <w:spacing w:before="120" w:after="120" w:line="288" w:lineRule="auto"/>
        <w:ind w:left="0"/>
        <w:jc w:val="left"/>
      </w:pPr>
      <w:r>
        <w:rPr>
          <w:rFonts w:eastAsia="等线" w:ascii="Arial" w:cs="Arial" w:hAnsi="Arial"/>
          <w:sz w:val="22"/>
        </w:rPr>
        <w:t>恢复默认设置将所有值重置：限价单/市价单 = false，止盈止损单 = true（默认不提示）。</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5.8.9 交互补充说明</w:t>
      </w:r>
    </w:p>
    <w:p>
      <w:pPr>
        <w:spacing w:before="120" w:after="120" w:line="288" w:lineRule="auto"/>
        <w:ind w:left="0"/>
        <w:jc w:val="left"/>
      </w:pPr>
    </w:p>
    <w:p>
      <w:pPr>
        <w:numPr>
          <w:numId w:val="403"/>
        </w:numPr>
        <w:spacing w:before="120" w:after="120" w:line="288" w:lineRule="auto"/>
        <w:ind w:left="0"/>
        <w:jc w:val="left"/>
      </w:pPr>
      <w:r>
        <w:rPr>
          <w:rFonts w:eastAsia="等线" w:ascii="Arial" w:cs="Arial" w:hAnsi="Arial"/>
          <w:sz w:val="22"/>
        </w:rPr>
        <w:t>确认弹窗出现时带有背景遮罩，点击遮罩不关闭弹窗（防止误触），仅可通过关闭按钮/取消按钮关闭。</w:t>
      </w:r>
    </w:p>
    <w:p>
      <w:pPr>
        <w:numPr>
          <w:numId w:val="404"/>
        </w:numPr>
        <w:spacing w:before="120" w:after="120" w:line="288" w:lineRule="auto"/>
        <w:ind w:left="0"/>
        <w:jc w:val="left"/>
      </w:pPr>
      <w:r>
        <w:rPr>
          <w:rFonts w:eastAsia="等线" w:ascii="Arial" w:cs="Arial" w:hAnsi="Arial"/>
          <w:sz w:val="22"/>
        </w:rPr>
        <w:t>若用户在未勾选“不再提示”的情况下连续多次下单，每次均弹出对应确认弹窗。</w:t>
      </w:r>
    </w:p>
    <w:p>
      <w:pPr>
        <w:numPr>
          <w:numId w:val="405"/>
        </w:numPr>
        <w:spacing w:before="120" w:after="120" w:line="288" w:lineRule="auto"/>
        <w:ind w:left="0"/>
        <w:jc w:val="left"/>
      </w:pPr>
      <w:r>
        <w:rPr>
          <w:rFonts w:eastAsia="等线" w:ascii="Arial" w:cs="Arial" w:hAnsi="Arial"/>
          <w:sz w:val="22"/>
        </w:rPr>
        <w:t>偏好设置抽屉打开时不影响当前下单流程，两者可独立操作。</w:t>
      </w:r>
    </w:p>
    <w:p>
      <w:pPr>
        <w:numPr>
          <w:numId w:val="406"/>
        </w:numPr>
        <w:spacing w:before="120" w:after="120" w:line="288" w:lineRule="auto"/>
        <w:ind w:left="0"/>
        <w:jc w:val="left"/>
      </w:pPr>
      <w:r>
        <w:rPr>
          <w:rFonts w:eastAsia="等线" w:ascii="Arial" w:cs="Arial" w:hAnsi="Arial"/>
          <w:sz w:val="22"/>
        </w:rPr>
        <w:t>平仓确认弹窗中不展示“保证金”字段（因为平仓不占用新增保证金），但仍展示预估爆仓价（供用户参考平仓后剩余仓位的风险）。</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5.9 充币弹窗</w:t>
      </w:r>
      <w:bookmarkEnd w:id="3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5.11.1 触发方式</w:t>
      </w:r>
    </w:p>
    <w:p>
      <w:pPr>
        <w:numPr>
          <w:numId w:val="407"/>
        </w:numPr>
        <w:spacing w:before="120" w:after="120" w:line="288" w:lineRule="auto"/>
        <w:ind w:left="0"/>
        <w:jc w:val="left"/>
      </w:pPr>
      <w:r>
        <w:rPr>
          <w:rFonts w:eastAsia="等线" w:ascii="Arial" w:cs="Arial" w:hAnsi="Arial"/>
          <w:sz w:val="22"/>
        </w:rPr>
        <w:t>点击可用余额旁的“+”按钮打开。</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5.11.2 弹窗内容</w:t>
      </w:r>
    </w:p>
    <w:p>
      <w:pPr>
        <w:numPr>
          <w:numId w:val="408"/>
        </w:numPr>
        <w:spacing w:before="120" w:after="120" w:line="288" w:lineRule="auto"/>
        <w:ind w:left="0"/>
        <w:jc w:val="left"/>
      </w:pPr>
      <w:r>
        <w:rPr>
          <w:rFonts w:eastAsia="等线" w:ascii="Arial" w:cs="Arial" w:hAnsi="Arial"/>
          <w:sz w:val="22"/>
        </w:rPr>
        <w:t>标题：“选择充币方式”。</w:t>
      </w:r>
    </w:p>
    <w:p>
      <w:pPr>
        <w:numPr>
          <w:numId w:val="409"/>
        </w:numPr>
        <w:spacing w:before="120" w:after="120" w:line="288" w:lineRule="auto"/>
        <w:ind w:left="0"/>
        <w:jc w:val="left"/>
      </w:pPr>
      <w:r>
        <w:rPr>
          <w:rFonts w:eastAsia="等线" w:ascii="Arial" w:cs="Arial" w:hAnsi="Arial"/>
          <w:sz w:val="22"/>
        </w:rPr>
        <w:t>两个大卡片选择条：</w:t>
      </w:r>
    </w:p>
    <w:p>
      <w:pPr>
        <w:numPr>
          <w:numId w:val="410"/>
        </w:numPr>
        <w:spacing w:before="120" w:after="120" w:line="288" w:lineRule="auto"/>
        <w:ind w:left="453"/>
        <w:jc w:val="left"/>
      </w:pPr>
      <w:r>
        <w:rPr>
          <w:rFonts w:eastAsia="等线" w:ascii="Arial" w:cs="Arial" w:hAnsi="Arial"/>
          <w:b w:val="true"/>
          <w:sz w:val="22"/>
        </w:rPr>
        <w:t>卡片1：资金划转</w:t>
      </w:r>
    </w:p>
    <w:p>
      <w:pPr>
        <w:numPr>
          <w:numId w:val="411"/>
        </w:numPr>
        <w:spacing w:before="120" w:after="120" w:line="288" w:lineRule="auto"/>
        <w:ind w:left="907"/>
        <w:jc w:val="left"/>
      </w:pPr>
      <w:r>
        <w:rPr>
          <w:rFonts w:eastAsia="等线" w:ascii="Arial" w:cs="Arial" w:hAnsi="Arial"/>
          <w:sz w:val="22"/>
        </w:rPr>
        <w:t>标题：“资金划转”。</w:t>
      </w:r>
    </w:p>
    <w:p>
      <w:pPr>
        <w:numPr>
          <w:numId w:val="412"/>
        </w:numPr>
        <w:spacing w:before="120" w:after="120" w:line="288" w:lineRule="auto"/>
        <w:ind w:left="907"/>
        <w:jc w:val="left"/>
      </w:pPr>
      <w:r>
        <w:rPr>
          <w:rFonts w:eastAsia="等线" w:ascii="Arial" w:cs="Arial" w:hAnsi="Arial"/>
          <w:sz w:val="22"/>
        </w:rPr>
        <w:t>副标题：“在交易账户和资金账户之间划转资金”。</w:t>
      </w:r>
    </w:p>
    <w:p>
      <w:pPr>
        <w:numPr>
          <w:numId w:val="413"/>
        </w:numPr>
        <w:spacing w:before="120" w:after="120" w:line="288" w:lineRule="auto"/>
        <w:ind w:left="907"/>
        <w:jc w:val="left"/>
      </w:pPr>
      <w:r>
        <w:rPr>
          <w:rFonts w:eastAsia="等线" w:ascii="Arial" w:cs="Arial" w:hAnsi="Arial"/>
          <w:sz w:val="22"/>
        </w:rPr>
        <w:t>显示可划转的余额信息：“资金账户余额：0 USDT”。</w:t>
      </w:r>
    </w:p>
    <w:p>
      <w:pPr>
        <w:numPr>
          <w:numId w:val="414"/>
        </w:numPr>
        <w:spacing w:before="120" w:after="120" w:line="288" w:lineRule="auto"/>
        <w:ind w:left="907"/>
        <w:jc w:val="left"/>
      </w:pPr>
      <w:r>
        <w:rPr>
          <w:rFonts w:eastAsia="等线" w:ascii="Arial" w:cs="Arial" w:hAnsi="Arial"/>
          <w:sz w:val="22"/>
        </w:rPr>
        <w:t xml:space="preserve">点击切换到划转弹窗 </w:t>
      </w:r>
      <w:hyperlink r:id="rId7">
        <w:r>
          <w:rPr>
            <w:rFonts w:eastAsia="等线" w:ascii="Arial" w:cs="Arial" w:hAnsi="Arial"/>
            <w:color w:val="3370ff"/>
            <w:sz w:val="22"/>
          </w:rPr>
          <w:t>需求文档 - 登录、划转与充提</w:t>
        </w:r>
      </w:hyperlink>
    </w:p>
    <w:p>
      <w:pPr>
        <w:numPr>
          <w:numId w:val="415"/>
        </w:numPr>
        <w:spacing w:before="120" w:after="120" w:line="288" w:lineRule="auto"/>
        <w:ind w:left="453"/>
        <w:jc w:val="left"/>
      </w:pPr>
      <w:r>
        <w:rPr>
          <w:rFonts w:eastAsia="等线" w:ascii="Arial" w:cs="Arial" w:hAnsi="Arial"/>
          <w:b w:val="true"/>
          <w:sz w:val="22"/>
        </w:rPr>
        <w:t>卡片2：充币</w:t>
      </w:r>
    </w:p>
    <w:p>
      <w:pPr>
        <w:numPr>
          <w:numId w:val="416"/>
        </w:numPr>
        <w:spacing w:before="120" w:after="120" w:line="288" w:lineRule="auto"/>
        <w:ind w:left="907"/>
        <w:jc w:val="left"/>
      </w:pPr>
      <w:r>
        <w:rPr>
          <w:rFonts w:eastAsia="等线" w:ascii="Arial" w:cs="Arial" w:hAnsi="Arial"/>
          <w:sz w:val="22"/>
        </w:rPr>
        <w:t>标题：“充币”。</w:t>
      </w:r>
    </w:p>
    <w:p>
      <w:pPr>
        <w:numPr>
          <w:numId w:val="417"/>
        </w:numPr>
        <w:spacing w:before="120" w:after="120" w:line="288" w:lineRule="auto"/>
        <w:ind w:left="907"/>
        <w:jc w:val="left"/>
      </w:pPr>
      <w:r>
        <w:rPr>
          <w:rFonts w:eastAsia="等线" w:ascii="Arial" w:cs="Arial" w:hAnsi="Arial"/>
          <w:sz w:val="22"/>
        </w:rPr>
        <w:t>副标题：“从链上钱包或交易所转入数字货币”。</w:t>
      </w:r>
    </w:p>
    <w:p>
      <w:pPr>
        <w:numPr>
          <w:numId w:val="418"/>
        </w:numPr>
        <w:spacing w:before="120" w:after="120" w:line="288" w:lineRule="auto"/>
        <w:ind w:left="907"/>
        <w:jc w:val="left"/>
      </w:pPr>
      <w:r>
        <w:rPr>
          <w:rFonts w:eastAsia="等线" w:ascii="Arial" w:cs="Arial" w:hAnsi="Arial"/>
          <w:sz w:val="22"/>
        </w:rPr>
        <w:t>点击划转充币弹窗：</w:t>
      </w:r>
      <w:hyperlink r:id="rId8">
        <w:r>
          <w:rPr>
            <w:rFonts w:eastAsia="等线" w:ascii="Arial" w:cs="Arial" w:hAnsi="Arial"/>
            <w:color w:val="3370ff"/>
            <w:sz w:val="22"/>
          </w:rPr>
          <w:t>需求文档 - 登录、划转与充提</w:t>
        </w:r>
      </w:hyperlink>
    </w:p>
    <w:p>
      <w:pPr>
        <w:numPr>
          <w:numId w:val="419"/>
        </w:numPr>
        <w:spacing w:before="120" w:after="120" w:line="288" w:lineRule="auto"/>
        <w:ind w:left="0"/>
        <w:jc w:val="left"/>
      </w:pPr>
      <w:r>
        <w:rPr>
          <w:rFonts w:eastAsia="等线" w:ascii="Arial" w:cs="Arial" w:hAnsi="Arial"/>
          <w:sz w:val="22"/>
        </w:rPr>
        <w:t>右上角关闭按钮（×），点击关闭整个弹窗。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5.10 底部数据面板</w:t>
      </w:r>
      <w:bookmarkEnd w:id="34"/>
    </w:p>
    <w:p>
      <w:pPr>
        <w:spacing w:before="120" w:after="120" w:line="288" w:lineRule="auto"/>
        <w:ind w:left="0"/>
        <w:jc w:val="left"/>
      </w:pPr>
      <w:r>
        <w:rPr>
          <w:rFonts w:eastAsia="等线" w:ascii="Arial" w:cs="Arial" w:hAnsi="Arial"/>
          <w:sz w:val="22"/>
        </w:rPr>
        <w:t>交易终端底部常驻展示以下预估数据，下单参数变化时实时更新：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507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数据项</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预估强平价格</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根据杠杆、开仓价、保证金计算的强平触发价</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保证金</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当前参数下所需的开仓保证金</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可开</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当前可用余额最多可开仓的数量</w:t>
            </w:r>
          </w:p>
        </w:tc>
      </w:tr>
    </w:tbl>
    <w:p>
      <w:pPr>
        <w:spacing w:before="120" w:after="120" w:line="288" w:lineRule="auto"/>
        <w:ind w:left="0"/>
        <w:jc w:val="left"/>
      </w:pPr>
      <w:r>
        <w:rPr>
          <w:rFonts w:eastAsia="等线" w:ascii="Arial" w:cs="Arial" w:hAnsi="Arial"/>
          <w:b w:val="true"/>
          <w:sz w:val="22"/>
        </w:rPr>
        <w:t>预估强平价格显示规则：</w:t>
      </w:r>
    </w:p>
    <w:p>
      <w:pPr>
        <w:numPr>
          <w:numId w:val="420"/>
        </w:numPr>
        <w:spacing w:before="120" w:after="120" w:line="288" w:lineRule="auto"/>
        <w:ind w:left="0"/>
        <w:jc w:val="left"/>
      </w:pPr>
      <w:r>
        <w:rPr>
          <w:rFonts w:eastAsia="等线" w:ascii="Arial" w:cs="Arial" w:hAnsi="Arial"/>
          <w:sz w:val="22"/>
        </w:rPr>
        <w:t>开多时：杠杆倍数 &gt; 1 时，显示计算出的强平价格。</w:t>
      </w:r>
      <w:r>
        <w:rPr>
          <w:rFonts w:eastAsia="等线" w:ascii="Arial" w:cs="Arial" w:hAnsi="Arial"/>
          <w:b w:val="true"/>
          <w:sz w:val="22"/>
        </w:rPr>
        <w:t>杠杆倍数 ≤ 1 时，显示“--”</w:t>
      </w:r>
      <w:r>
        <w:rPr>
          <w:rFonts w:eastAsia="等线" w:ascii="Arial" w:cs="Arial" w:hAnsi="Arial"/>
          <w:sz w:val="22"/>
        </w:rPr>
        <w:t>（因为 1x 及以下杠杆理论上没有强制平仓风险）。</w:t>
      </w:r>
    </w:p>
    <w:p>
      <w:pPr>
        <w:numPr>
          <w:numId w:val="421"/>
        </w:numPr>
        <w:spacing w:before="120" w:after="120" w:line="288" w:lineRule="auto"/>
        <w:ind w:left="0"/>
        <w:jc w:val="left"/>
      </w:pPr>
      <w:r>
        <w:rPr>
          <w:rFonts w:eastAsia="等线" w:ascii="Arial" w:cs="Arial" w:hAnsi="Arial"/>
          <w:sz w:val="22"/>
        </w:rPr>
        <w:t>开空时：任何杠杆倍数下均有理论强平价格，始终显示计算值。</w:t>
      </w:r>
    </w:p>
    <w:p>
      <w:pPr>
        <w:numPr>
          <w:numId w:val="422"/>
        </w:numPr>
        <w:spacing w:before="120" w:after="120" w:line="288" w:lineRule="auto"/>
        <w:ind w:left="0"/>
        <w:jc w:val="left"/>
      </w:pPr>
      <w:r>
        <w:rPr>
          <w:rFonts w:eastAsia="等线" w:ascii="Arial" w:cs="Arial" w:hAnsi="Arial"/>
          <w:sz w:val="22"/>
        </w:rPr>
        <w:t>若输入参数不完整（如数量为 0），显示“--”。</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手续费率展示：</w:t>
      </w:r>
    </w:p>
    <w:p>
      <w:pPr>
        <w:numPr>
          <w:numId w:val="423"/>
        </w:numPr>
        <w:spacing w:before="120" w:after="120" w:line="288" w:lineRule="auto"/>
        <w:ind w:left="0"/>
        <w:jc w:val="left"/>
      </w:pPr>
      <w:r>
        <w:rPr>
          <w:rFonts w:eastAsia="等线" w:ascii="Arial" w:cs="Arial" w:hAnsi="Arial"/>
          <w:sz w:val="22"/>
        </w:rPr>
        <w:t>底部常驻显示：“吃单 0.045% / 挂单 0.015%”（具体费率根据系统排序结果定）。</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5" w:id="35"/>
      <w:r>
        <w:rPr>
          <w:rFonts w:eastAsia="等线" w:ascii="Arial" w:cs="Arial" w:hAnsi="Arial"/>
          <w:b w:val="true"/>
          <w:sz w:val="36"/>
        </w:rPr>
        <w:t>6.</w:t>
      </w:r>
      <w:r>
        <w:rPr>
          <w:rFonts w:eastAsia="等线" w:ascii="Arial" w:cs="Arial" w:hAnsi="Arial"/>
          <w:b w:val="true"/>
          <w:sz w:val="36"/>
        </w:rPr>
        <w:t xml:space="preserve"> </w:t>
      </w:r>
      <w:r>
        <w:rPr>
          <w:rFonts w:eastAsia="等线" w:ascii="Arial" w:cs="Arial" w:hAnsi="Arial"/>
          <w:b w:val="true"/>
          <w:sz w:val="36"/>
        </w:rPr>
        <w:t>持仓/委托/流水管理区域</w:t>
      </w:r>
      <w:bookmarkEnd w:id="35"/>
    </w:p>
    <w:p>
      <w:pPr>
        <w:spacing w:before="120" w:after="120" w:line="288" w:lineRule="auto"/>
        <w:ind w:left="0"/>
        <w:jc w:val="left"/>
      </w:pPr>
      <w:r>
        <w:rPr>
          <w:rFonts w:eastAsia="等线" w:ascii="Arial" w:cs="Arial" w:hAnsi="Arial"/>
          <w:sz w:val="22"/>
        </w:rPr>
        <w:t>直接看：</w:t>
      </w:r>
      <w:hyperlink r:id="rId9">
        <w:r>
          <w:rPr>
            <w:rFonts w:eastAsia="等线" w:ascii="Arial" w:cs="Arial" w:hAnsi="Arial"/>
            <w:color w:val="3370ff"/>
            <w:sz w:val="22"/>
          </w:rPr>
          <w:t>持仓管理 &amp; 资金流水 模块</w:t>
        </w:r>
      </w:hyperlink>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6" w:id="36"/>
      <w:r>
        <w:rPr>
          <w:rFonts w:eastAsia="等线" w:ascii="Arial" w:cs="Arial" w:hAnsi="Arial"/>
          <w:b w:val="true"/>
          <w:sz w:val="36"/>
        </w:rPr>
        <w:t>7. 合约账户资产区域</w:t>
      </w:r>
      <w:bookmarkEnd w:id="36"/>
    </w:p>
    <w:p>
      <w:pPr>
        <w:pStyle w:val="2"/>
        <w:spacing w:before="320" w:after="120" w:line="288" w:lineRule="auto"/>
        <w:ind w:left="0"/>
        <w:jc w:val="left"/>
        <w:outlineLvl w:val="1"/>
      </w:pPr>
      <w:bookmarkStart w:name="heading_37" w:id="37"/>
      <w:r>
        <w:rPr>
          <w:rFonts w:eastAsia="等线" w:ascii="Arial" w:cs="Arial" w:hAnsi="Arial"/>
          <w:b w:val="true"/>
          <w:sz w:val="32"/>
        </w:rPr>
        <w:t>7.1 功能概述</w:t>
      </w:r>
      <w:bookmarkEnd w:id="37"/>
    </w:p>
    <w:p>
      <w:pPr>
        <w:spacing w:before="120" w:after="120" w:line="288" w:lineRule="auto"/>
        <w:ind w:left="0"/>
        <w:jc w:val="left"/>
      </w:pPr>
      <w:r>
        <w:rPr>
          <w:rFonts w:eastAsia="等线" w:ascii="Arial" w:cs="Arial" w:hAnsi="Arial"/>
          <w:sz w:val="22"/>
        </w:rPr>
        <w:t>合约账户资产区域位于交易终端右侧面板，集中展示用户在当前合约账户下的保证金状态、风险水平及账户权益概览，并提供快捷的充值与划转入口。</w:t>
      </w: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b w:val="true"/>
          <w:sz w:val="32"/>
        </w:rPr>
        <w:t xml:space="preserve">7.2 </w:t>
      </w:r>
      <w:r>
        <w:rPr>
          <w:rFonts w:eastAsia="等线" w:ascii="Arial" w:cs="Arial" w:hAnsi="Arial"/>
          <w:b w:val="true"/>
          <w:sz w:val="32"/>
        </w:rPr>
        <w:t>全仓</w:t>
      </w:r>
      <w:r>
        <w:rPr>
          <w:rFonts w:eastAsia="等线" w:ascii="Arial" w:cs="Arial" w:hAnsi="Arial"/>
          <w:b w:val="true"/>
          <w:sz w:val="32"/>
        </w:rPr>
        <w:t>保证金区块</w:t>
      </w:r>
      <w:bookmarkEnd w:id="38"/>
    </w:p>
    <w:p>
      <w:pPr>
        <w:spacing w:before="120" w:after="120" w:line="288" w:lineRule="auto"/>
        <w:ind w:left="0"/>
        <w:jc w:val="left"/>
      </w:pPr>
      <w:r>
        <w:rPr>
          <w:rFonts w:eastAsia="等线" w:ascii="Arial" w:cs="Arial" w:hAnsi="Arial"/>
          <w:b w:val="true"/>
          <w:sz w:val="22"/>
        </w:rPr>
        <w:t>7.2.1 全仓保证金比例</w:t>
      </w:r>
    </w:p>
    <w:p>
      <w:pPr>
        <w:numPr>
          <w:numId w:val="424"/>
        </w:numPr>
        <w:spacing w:before="120" w:after="120" w:line="288" w:lineRule="auto"/>
        <w:ind w:left="0"/>
        <w:jc w:val="left"/>
      </w:pPr>
      <w:r>
        <w:rPr>
          <w:rFonts w:eastAsia="等线" w:ascii="Arial" w:cs="Arial" w:hAnsi="Arial"/>
          <w:sz w:val="22"/>
        </w:rPr>
        <w:t>展示当前账户的全仓保证金使用比例</w:t>
      </w:r>
      <w:r>
        <w:rPr>
          <w:rFonts w:eastAsia="等线" w:ascii="Arial" w:cs="Arial" w:hAnsi="Arial"/>
          <w:b w:val="true"/>
          <w:sz w:val="22"/>
          <w:shd w:fill="fff67a"/>
        </w:rPr>
        <w:t>（算法由产研团队提供）</w:t>
      </w:r>
      <w:r>
        <w:rPr>
          <w:rFonts w:eastAsia="等线" w:ascii="Arial" w:cs="Arial" w:hAnsi="Arial"/>
          <w:sz w:val="22"/>
        </w:rPr>
        <w:t>。</w:t>
      </w:r>
    </w:p>
    <w:p>
      <w:pPr>
        <w:numPr>
          <w:numId w:val="425"/>
        </w:numPr>
        <w:spacing w:before="120" w:after="120" w:line="288" w:lineRule="auto"/>
        <w:ind w:left="0"/>
        <w:jc w:val="left"/>
      </w:pPr>
      <w:r>
        <w:rPr>
          <w:rFonts w:eastAsia="等线" w:ascii="Arial" w:cs="Arial" w:hAnsi="Arial"/>
          <w:sz w:val="22"/>
        </w:rPr>
        <w:t>旁边附带一个仪表盘图标（半圆弧形），用于直观展示当前风险等级：</w:t>
      </w:r>
    </w:p>
    <w:p>
      <w:pPr>
        <w:numPr>
          <w:numId w:val="426"/>
        </w:numPr>
        <w:spacing w:before="120" w:after="120" w:line="288" w:lineRule="auto"/>
        <w:ind w:left="453"/>
        <w:jc w:val="left"/>
      </w:pPr>
      <w:r>
        <w:rPr>
          <w:rFonts w:eastAsia="等线" w:ascii="Arial" w:cs="Arial" w:hAnsi="Arial"/>
          <w:sz w:val="22"/>
        </w:rPr>
        <w:t>圆弧颜色从绿色（低风险）渐变为黄色（中等风险）再渐变为红色（高风险）。</w:t>
      </w:r>
    </w:p>
    <w:p>
      <w:pPr>
        <w:numPr>
          <w:numId w:val="427"/>
        </w:numPr>
        <w:spacing w:before="120" w:after="120" w:line="288" w:lineRule="auto"/>
        <w:ind w:left="453"/>
        <w:jc w:val="left"/>
      </w:pPr>
      <w:r>
        <w:rPr>
          <w:rFonts w:eastAsia="等线" w:ascii="Arial" w:cs="Arial" w:hAnsi="Arial"/>
          <w:sz w:val="22"/>
        </w:rPr>
        <w:t>圆弧上的指针位置根据实际保证金比例动态变化：比例越低（越安全）指针越靠近绿色区域；比例越高（风险越大）指针越靠近红色区域。</w:t>
      </w:r>
    </w:p>
    <w:p>
      <w:pPr>
        <w:numPr>
          <w:numId w:val="428"/>
        </w:numPr>
        <w:spacing w:before="120" w:after="120" w:line="288" w:lineRule="auto"/>
        <w:ind w:left="0"/>
        <w:jc w:val="left"/>
      </w:pPr>
      <w:r>
        <w:rPr>
          <w:rFonts w:eastAsia="等线" w:ascii="Arial" w:cs="Arial" w:hAnsi="Arial"/>
          <w:sz w:val="22"/>
        </w:rPr>
        <w:t>数值文字颜色同样根据风险等级变化：低风险为绿色，中等风险为黄色，高风险为红色。</w:t>
      </w:r>
    </w:p>
    <w:p>
      <w:pPr>
        <w:numPr>
          <w:numId w:val="429"/>
        </w:numPr>
        <w:spacing w:before="120" w:after="120" w:line="288" w:lineRule="auto"/>
        <w:ind w:left="453"/>
        <w:jc w:val="left"/>
      </w:pPr>
      <w:r>
        <w:rPr>
          <w:rFonts w:eastAsia="等线" w:ascii="Arial" w:cs="Arial" w:hAnsi="Arial"/>
          <w:b w:val="true"/>
          <w:sz w:val="22"/>
          <w:shd w:fill="fff67a"/>
        </w:rPr>
        <w:t>具体区间多少为低风险、多少为中风险等，等产研团队提供后给出。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7.2.2 账户维持保证金</w:t>
      </w:r>
    </w:p>
    <w:p>
      <w:pPr>
        <w:numPr>
          <w:numId w:val="430"/>
        </w:numPr>
        <w:spacing w:before="120" w:after="120" w:line="288" w:lineRule="auto"/>
        <w:ind w:left="0"/>
        <w:jc w:val="left"/>
      </w:pPr>
      <w:r>
        <w:rPr>
          <w:rFonts w:eastAsia="等线" w:ascii="Arial" w:cs="Arial" w:hAnsi="Arial"/>
          <w:sz w:val="22"/>
        </w:rPr>
        <w:t>展示当前账户所需的最低维持保证金金额（合计所有币种全仓仓位维持保证金），千位分隔+USDT计价，</w:t>
      </w: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7.3 永续账户区块</w:t>
      </w:r>
      <w:bookmarkEnd w:id="39"/>
    </w:p>
    <w:p>
      <w:pPr>
        <w:spacing w:before="120" w:after="120" w:line="288" w:lineRule="auto"/>
        <w:ind w:left="0"/>
        <w:jc w:val="left"/>
      </w:pPr>
      <w:r>
        <w:rPr>
          <w:rFonts w:eastAsia="等线" w:ascii="Arial" w:cs="Arial" w:hAnsi="Arial"/>
          <w:b w:val="true"/>
          <w:sz w:val="22"/>
        </w:rPr>
        <w:t>7.3.1 总权益</w:t>
      </w:r>
    </w:p>
    <w:p>
      <w:pPr>
        <w:numPr>
          <w:numId w:val="431"/>
        </w:numPr>
        <w:spacing w:before="120" w:after="120" w:line="288" w:lineRule="auto"/>
        <w:ind w:left="0"/>
        <w:jc w:val="left"/>
      </w:pPr>
      <w:r>
        <w:rPr>
          <w:rFonts w:eastAsia="等线" w:ascii="Arial" w:cs="Arial" w:hAnsi="Arial"/>
          <w:sz w:val="22"/>
        </w:rPr>
        <w:t>展示用户在永续合约账户中的总权益价值，千位分隔+USDT计价，</w:t>
      </w:r>
    </w:p>
    <w:p>
      <w:pPr>
        <w:numPr>
          <w:numId w:val="432"/>
        </w:numPr>
        <w:spacing w:before="120" w:after="120" w:line="288" w:lineRule="auto"/>
        <w:ind w:left="0"/>
        <w:jc w:val="left"/>
      </w:pPr>
      <w:r>
        <w:rPr>
          <w:rFonts w:eastAsia="等线" w:ascii="Arial" w:cs="Arial" w:hAnsi="Arial"/>
          <w:sz w:val="22"/>
        </w:rPr>
        <w:t>数值为账户总资产估值，包含可用余额、冻结保证金及未实现盈亏。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7.3.2 未实现盈亏</w:t>
      </w:r>
    </w:p>
    <w:p>
      <w:pPr>
        <w:numPr>
          <w:numId w:val="433"/>
        </w:numPr>
        <w:spacing w:before="120" w:after="120" w:line="288" w:lineRule="auto"/>
        <w:ind w:left="0"/>
        <w:jc w:val="left"/>
      </w:pPr>
      <w:r>
        <w:rPr>
          <w:rFonts w:eastAsia="等线" w:ascii="Arial" w:cs="Arial" w:hAnsi="Arial"/>
          <w:sz w:val="22"/>
        </w:rPr>
        <w:t>展示当前所有持仓的未实现盈亏总和，千位分隔+USDT计价，</w:t>
      </w:r>
    </w:p>
    <w:p>
      <w:pPr>
        <w:numPr>
          <w:numId w:val="434"/>
        </w:numPr>
        <w:spacing w:before="120" w:after="120" w:line="288" w:lineRule="auto"/>
        <w:ind w:left="0"/>
        <w:jc w:val="left"/>
      </w:pPr>
      <w:r>
        <w:rPr>
          <w:rFonts w:eastAsia="等线" w:ascii="Arial" w:cs="Arial" w:hAnsi="Arial"/>
          <w:sz w:val="22"/>
        </w:rPr>
        <w:t>正数（盈利）以绿色字体显示，带“+”号前缀；负数（亏损）以红色字体显示，带“-”号前缀。</w:t>
      </w:r>
    </w:p>
    <w:p>
      <w:pPr>
        <w:numPr>
          <w:numId w:val="435"/>
        </w:numPr>
        <w:spacing w:before="120" w:after="120" w:line="288" w:lineRule="auto"/>
        <w:ind w:left="0"/>
        <w:jc w:val="left"/>
      </w:pPr>
      <w:r>
        <w:rPr>
          <w:rFonts w:eastAsia="等线" w:ascii="Arial" w:cs="Arial" w:hAnsi="Arial"/>
          <w:sz w:val="22"/>
        </w:rPr>
        <w:t>数值实时跟随市场价格变动更新。</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7.3.3 快捷操作按钮</w:t>
      </w:r>
    </w:p>
    <w:p>
      <w:pPr>
        <w:numPr>
          <w:numId w:val="436"/>
        </w:numPr>
        <w:spacing w:before="120" w:after="120" w:line="288" w:lineRule="auto"/>
        <w:ind w:left="0"/>
        <w:jc w:val="left"/>
      </w:pPr>
      <w:r>
        <w:rPr>
          <w:rFonts w:eastAsia="等线" w:ascii="Arial" w:cs="Arial" w:hAnsi="Arial"/>
          <w:b w:val="true"/>
          <w:sz w:val="22"/>
        </w:rPr>
        <w:t>充值按钮</w:t>
      </w:r>
      <w:r>
        <w:rPr>
          <w:rFonts w:eastAsia="等线" w:ascii="Arial" w:cs="Arial" w:hAnsi="Arial"/>
          <w:sz w:val="22"/>
        </w:rPr>
        <w:t>：点击弹出充值弹窗</w:t>
      </w:r>
    </w:p>
    <w:p>
      <w:pPr>
        <w:numPr>
          <w:numId w:val="437"/>
        </w:numPr>
        <w:spacing w:before="120" w:after="120" w:line="288" w:lineRule="auto"/>
        <w:ind w:left="0"/>
        <w:jc w:val="left"/>
      </w:pPr>
      <w:r>
        <w:rPr>
          <w:rFonts w:eastAsia="等线" w:ascii="Arial" w:cs="Arial" w:hAnsi="Arial"/>
          <w:b w:val="true"/>
          <w:sz w:val="22"/>
        </w:rPr>
        <w:t>划转按钮</w:t>
      </w:r>
      <w:r>
        <w:rPr>
          <w:rFonts w:eastAsia="等线" w:ascii="Arial" w:cs="Arial" w:hAnsi="Arial"/>
          <w:sz w:val="22"/>
        </w:rPr>
        <w:t>：点击弹出资金划转弹窗</w:t>
      </w: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b w:val="true"/>
          <w:sz w:val="32"/>
        </w:rPr>
        <w:t>7.4 数据更新</w:t>
      </w:r>
      <w:bookmarkEnd w:id="40"/>
    </w:p>
    <w:p>
      <w:pPr>
        <w:numPr>
          <w:numId w:val="438"/>
        </w:numPr>
        <w:spacing w:before="120" w:after="120" w:line="288" w:lineRule="auto"/>
        <w:ind w:left="0"/>
        <w:jc w:val="left"/>
      </w:pPr>
      <w:r>
        <w:rPr>
          <w:rFonts w:eastAsia="等线" w:ascii="Arial" w:cs="Arial" w:hAnsi="Arial"/>
          <w:sz w:val="22"/>
        </w:rPr>
        <w:t>保证金比例、维持保证金、总权益、未实现盈亏等数据通过 WebSocket 或轮询实时更新，目标更新频率100ms。</w:t>
      </w:r>
    </w:p>
    <w:p>
      <w:pPr>
        <w:numPr>
          <w:numId w:val="439"/>
        </w:numPr>
        <w:spacing w:before="120" w:after="120" w:line="288" w:lineRule="auto"/>
        <w:ind w:left="0"/>
        <w:jc w:val="left"/>
      </w:pPr>
      <w:r>
        <w:rPr>
          <w:rFonts w:eastAsia="等线" w:ascii="Arial" w:cs="Arial" w:hAnsi="Arial"/>
          <w:sz w:val="22"/>
        </w:rPr>
        <w:t>仪表盘指针位置和颜色随保证金比例变化实时刷新，不出现突兀跳变。</w:t>
      </w:r>
    </w:p>
    <w:p>
      <w:pPr>
        <w:numPr>
          <w:numId w:val="440"/>
        </w:numPr>
        <w:spacing w:before="120" w:after="120" w:line="288" w:lineRule="auto"/>
        <w:ind w:left="0"/>
        <w:jc w:val="left"/>
      </w:pPr>
      <w:r>
        <w:rPr>
          <w:rFonts w:eastAsia="等线" w:ascii="Arial" w:cs="Arial" w:hAnsi="Arial"/>
          <w:sz w:val="22"/>
        </w:rPr>
        <w:t>充值和划转操作完成后，相关余额数据立即刷新。</w:t>
      </w:r>
    </w:p>
    <w:p>
      <w:pPr>
        <w:spacing w:before="120" w:after="120" w:line="288" w:lineRule="auto"/>
        <w:ind w:left="0"/>
        <w:jc w:val="left"/>
      </w:pPr>
    </w:p>
    <w:p>
      <w:pPr>
        <w:pStyle w:val="1"/>
        <w:spacing w:before="380" w:after="140" w:line="288" w:lineRule="auto"/>
        <w:ind w:left="0"/>
        <w:jc w:val="left"/>
        <w:outlineLvl w:val="0"/>
      </w:pPr>
      <w:bookmarkStart w:name="heading_41" w:id="41"/>
      <w:r>
        <w:rPr>
          <w:rFonts w:eastAsia="等线" w:ascii="Arial" w:cs="Arial" w:hAnsi="Arial"/>
          <w:b w:val="true"/>
          <w:sz w:val="36"/>
        </w:rPr>
        <w:t>8. 底部状态栏</w:t>
      </w:r>
      <w:bookmarkEnd w:id="41"/>
    </w:p>
    <w:p>
      <w:pPr>
        <w:pStyle w:val="2"/>
        <w:spacing w:before="320" w:after="120" w:line="288" w:lineRule="auto"/>
        <w:ind w:left="0"/>
        <w:jc w:val="left"/>
        <w:outlineLvl w:val="1"/>
      </w:pPr>
      <w:bookmarkStart w:name="heading_42" w:id="42"/>
      <w:r>
        <w:rPr>
          <w:rFonts w:eastAsia="等线" w:ascii="Arial" w:cs="Arial" w:hAnsi="Arial"/>
          <w:b w:val="true"/>
          <w:sz w:val="32"/>
        </w:rPr>
        <w:t>8.1 功能概述</w:t>
      </w:r>
      <w:bookmarkEnd w:id="42"/>
    </w:p>
    <w:p>
      <w:pPr>
        <w:spacing w:before="120" w:after="120" w:line="288" w:lineRule="auto"/>
        <w:ind w:left="0"/>
        <w:jc w:val="left"/>
      </w:pPr>
      <w:r>
        <w:rPr>
          <w:rFonts w:eastAsia="等线" w:ascii="Arial" w:cs="Arial" w:hAnsi="Arial"/>
          <w:sz w:val="22"/>
        </w:rPr>
        <w:t>底部状态栏固定悬浮在页面视口最下方，提供系统连接状态、网络延迟、重要公告轮播及社交媒体入口。该信息条始终可见，不随页面内容滚动而隐藏。</w:t>
      </w:r>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sz w:val="32"/>
        </w:rPr>
        <w:t>8.2 左侧：系统连接状态</w:t>
      </w:r>
      <w:bookmarkEnd w:id="43"/>
    </w:p>
    <w:p>
      <w:pPr>
        <w:spacing w:before="120" w:after="120" w:line="288" w:lineRule="auto"/>
        <w:ind w:left="0"/>
        <w:jc w:val="left"/>
      </w:pPr>
      <w:r>
        <w:rPr>
          <w:rFonts w:eastAsia="等线" w:ascii="Arial" w:cs="Arial" w:hAnsi="Arial"/>
          <w:b w:val="true"/>
          <w:sz w:val="22"/>
        </w:rPr>
        <w:t>（1）信号强度图标</w:t>
      </w:r>
    </w:p>
    <w:p>
      <w:pPr>
        <w:spacing w:before="120" w:after="120" w:line="288" w:lineRule="auto"/>
        <w:ind w:left="0"/>
        <w:jc w:val="left"/>
      </w:pPr>
      <w:r>
        <w:rPr>
          <w:rFonts w:eastAsia="等线" w:ascii="Arial" w:cs="Arial" w:hAnsi="Arial"/>
          <w:sz w:val="22"/>
        </w:rPr>
        <w:t>信号强度以四格信号图标展示，根据当前网络延迟（WebSocket 或 API 请求的平均往返时延）动态计算格数。格数计算方式如下：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延迟范围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信号格数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图标颜色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四格全亮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连接质量优秀</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500ms &lt; 延迟 ≤ 1000ms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三格亮起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连接质量良好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1000ms &lt; 延迟 ≤ 2000ms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两格亮起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橙色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连接质量一般，可能存在轻微延迟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 2000ms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仅一格亮起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连接质量差，延迟较高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连接完全断开（无响应/超时）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零格（四格全部空白）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灰色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无连接</w:t>
            </w:r>
          </w:p>
        </w:tc>
      </w:tr>
    </w:tbl>
    <w:p>
      <w:pPr>
        <w:numPr>
          <w:numId w:val="441"/>
        </w:numPr>
        <w:spacing w:before="120" w:after="120" w:line="288" w:lineRule="auto"/>
        <w:ind w:left="0"/>
        <w:jc w:val="left"/>
      </w:pPr>
      <w:r>
        <w:rPr>
          <w:rFonts w:eastAsia="等线" w:ascii="Arial" w:cs="Arial" w:hAnsi="Arial"/>
          <w:sz w:val="22"/>
        </w:rPr>
        <w:t>亮起的格子为实心填充对应颜色，未亮起的格子为浅灰色空心轮廓。</w:t>
      </w:r>
    </w:p>
    <w:p>
      <w:pPr>
        <w:numPr>
          <w:numId w:val="442"/>
        </w:numPr>
        <w:spacing w:before="120" w:after="120" w:line="288" w:lineRule="auto"/>
        <w:ind w:left="0"/>
        <w:jc w:val="left"/>
      </w:pPr>
      <w:r>
        <w:rPr>
          <w:rFonts w:eastAsia="等线" w:ascii="Arial" w:cs="Arial" w:hAnsi="Arial"/>
          <w:sz w:val="22"/>
        </w:rPr>
        <w:t>延迟数据由前端定时测量（如每 5 秒发送一次心跳包并计算往返时间），取最近三次测量的平均值作为当前延迟值。</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（2）连接状态文字</w:t>
      </w:r>
    </w:p>
    <w:p>
      <w:pPr>
        <w:numPr>
          <w:numId w:val="443"/>
        </w:numPr>
        <w:spacing w:before="120" w:after="120" w:line="288" w:lineRule="auto"/>
        <w:ind w:left="0"/>
        <w:jc w:val="left"/>
      </w:pPr>
      <w:r>
        <w:rPr>
          <w:rFonts w:eastAsia="等线" w:ascii="Arial" w:cs="Arial" w:hAnsi="Arial"/>
          <w:sz w:val="22"/>
        </w:rPr>
        <w:t>连接正常时：显示“已连接”，绿色加粗字体。</w:t>
      </w:r>
    </w:p>
    <w:p>
      <w:pPr>
        <w:numPr>
          <w:numId w:val="444"/>
        </w:numPr>
        <w:spacing w:before="120" w:after="120" w:line="288" w:lineRule="auto"/>
        <w:ind w:left="0"/>
        <w:jc w:val="left"/>
      </w:pPr>
      <w:r>
        <w:rPr>
          <w:rFonts w:eastAsia="等线" w:ascii="Arial" w:cs="Arial" w:hAnsi="Arial"/>
          <w:sz w:val="22"/>
        </w:rPr>
        <w:t>连接断开时：显示“连接断开”，红色字体，并伴随闪烁动画提示用户注意。</w:t>
      </w:r>
    </w:p>
    <w:p>
      <w:pPr>
        <w:numPr>
          <w:numId w:val="445"/>
        </w:numPr>
        <w:spacing w:before="120" w:after="120" w:line="288" w:lineRule="auto"/>
        <w:ind w:left="0"/>
        <w:jc w:val="left"/>
      </w:pPr>
      <w:r>
        <w:rPr>
          <w:rFonts w:eastAsia="等线" w:ascii="Arial" w:cs="Arial" w:hAnsi="Arial"/>
          <w:sz w:val="22"/>
        </w:rPr>
        <w:t>断连超过一定时间阈值（如 30 秒）仍未恢复，文字保持红色常亮不再闪烁。</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（3）网络延迟数值</w:t>
      </w:r>
    </w:p>
    <w:p>
      <w:pPr>
        <w:numPr>
          <w:numId w:val="446"/>
        </w:numPr>
        <w:spacing w:before="120" w:after="120" w:line="288" w:lineRule="auto"/>
        <w:ind w:left="0"/>
        <w:jc w:val="left"/>
      </w:pPr>
      <w:r>
        <w:rPr>
          <w:rFonts w:eastAsia="等线" w:ascii="Arial" w:cs="Arial" w:hAnsi="Arial"/>
          <w:sz w:val="22"/>
        </w:rPr>
        <w:t>显示当前网络延迟毫秒数（如“154ms”），灰色字体。</w:t>
      </w:r>
    </w:p>
    <w:p>
      <w:pPr>
        <w:numPr>
          <w:numId w:val="447"/>
        </w:numPr>
        <w:spacing w:before="120" w:after="120" w:line="288" w:lineRule="auto"/>
        <w:ind w:left="0"/>
        <w:jc w:val="left"/>
      </w:pPr>
      <w:r>
        <w:rPr>
          <w:rFonts w:eastAsia="等线" w:ascii="Arial" w:cs="Arial" w:hAnsi="Arial"/>
          <w:sz w:val="22"/>
        </w:rPr>
        <w:t>数值随每次延迟测量结果更新。</w:t>
      </w:r>
    </w:p>
    <w:p>
      <w:pPr>
        <w:numPr>
          <w:numId w:val="448"/>
        </w:numPr>
        <w:spacing w:before="120" w:after="120" w:line="288" w:lineRule="auto"/>
        <w:ind w:left="0"/>
        <w:jc w:val="left"/>
      </w:pPr>
      <w:r>
        <w:rPr>
          <w:rFonts w:eastAsia="等线" w:ascii="Arial" w:cs="Arial" w:hAnsi="Arial"/>
          <w:sz w:val="22"/>
        </w:rPr>
        <w:t>连接断开时显示“--ms”，灰色字体。</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（4）图标、文字与延迟的整体联动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连接状态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信号图标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状态文字</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延迟显示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正常（≤500ms）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四格绿色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已连接（绿色）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如“154ms”（灰色）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正常（500-1000ms）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三格绿色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已连接（绿色）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如“780ms”（灰色）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正常（1000-2000ms）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两格橙色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已连接（绿色）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如“1520ms”（灰色）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正常（&gt;2000ms）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一格红色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已连接（绿色）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如“2350ms”（灰色）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零格灰色空白</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连接断开（红色闪烁）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--ms（灰色）</w:t>
            </w:r>
          </w:p>
        </w:tc>
      </w:tr>
    </w:tbl>
    <w:p>
      <w:pPr>
        <w:pStyle w:val="2"/>
        <w:spacing w:before="320" w:after="120" w:line="288" w:lineRule="auto"/>
        <w:ind w:left="0"/>
        <w:jc w:val="left"/>
        <w:outlineLvl w:val="1"/>
      </w:pPr>
      <w:bookmarkStart w:name="heading_44" w:id="44"/>
      <w:r>
        <w:rPr>
          <w:rFonts w:eastAsia="等线" w:ascii="Arial" w:cs="Arial" w:hAnsi="Arial"/>
          <w:b w:val="true"/>
          <w:sz w:val="32"/>
        </w:rPr>
        <w:t>8.3 中间：公告轮播</w:t>
      </w:r>
      <w:bookmarkEnd w:id="44"/>
    </w:p>
    <w:p>
      <w:pPr>
        <w:numPr>
          <w:numId w:val="449"/>
        </w:numPr>
        <w:spacing w:before="120" w:after="120" w:line="288" w:lineRule="auto"/>
        <w:ind w:left="0"/>
        <w:jc w:val="left"/>
      </w:pPr>
      <w:r>
        <w:rPr>
          <w:rFonts w:eastAsia="等线" w:ascii="Arial" w:cs="Arial" w:hAnsi="Arial"/>
          <w:sz w:val="22"/>
        </w:rPr>
        <w:t>展示最新的 6 条平台公告文案（由后端配置并下发）。</w:t>
      </w:r>
    </w:p>
    <w:p>
      <w:pPr>
        <w:numPr>
          <w:numId w:val="450"/>
        </w:numPr>
        <w:spacing w:before="120" w:after="120" w:line="288" w:lineRule="auto"/>
        <w:ind w:left="0"/>
        <w:jc w:val="left"/>
      </w:pPr>
      <w:r>
        <w:rPr>
          <w:rFonts w:eastAsia="等线" w:ascii="Arial" w:cs="Arial" w:hAnsi="Arial"/>
          <w:sz w:val="22"/>
        </w:rPr>
        <w:t>轮播方式：公告文字在区域内从右至左无限循环滚动，鼠标悬停时滚动暂停，移开后继续。</w:t>
      </w:r>
    </w:p>
    <w:p>
      <w:pPr>
        <w:numPr>
          <w:numId w:val="451"/>
        </w:numPr>
        <w:spacing w:before="120" w:after="120" w:line="288" w:lineRule="auto"/>
        <w:ind w:left="0"/>
        <w:jc w:val="left"/>
      </w:pPr>
      <w:r>
        <w:rPr>
          <w:rFonts w:eastAsia="等线" w:ascii="Arial" w:cs="Arial" w:hAnsi="Arial"/>
          <w:sz w:val="22"/>
        </w:rPr>
        <w:t>每条公告均为可点击文字，点击后在新标签页或弹出公告详情页展示完整内容。</w:t>
      </w:r>
    </w:p>
    <w:p>
      <w:pPr>
        <w:numPr>
          <w:numId w:val="452"/>
        </w:numPr>
        <w:spacing w:before="120" w:after="120" w:line="288" w:lineRule="auto"/>
        <w:ind w:left="0"/>
        <w:jc w:val="left"/>
      </w:pPr>
      <w:r>
        <w:rPr>
          <w:rFonts w:eastAsia="等线" w:ascii="Arial" w:cs="Arial" w:hAnsi="Arial"/>
          <w:sz w:val="22"/>
        </w:rPr>
        <w:t>若无公告或加载失败，该区域显示暂无公告的默认文案，不滚动。</w:t>
      </w:r>
    </w:p>
    <w:p>
      <w:pPr>
        <w:spacing w:before="120" w:after="120" w:line="288" w:lineRule="auto"/>
        <w:ind w:left="453"/>
        <w:jc w:val="left"/>
      </w:pPr>
    </w:p>
    <w:p>
      <w:pPr>
        <w:pStyle w:val="2"/>
        <w:spacing w:before="320" w:after="120" w:line="288" w:lineRule="auto"/>
        <w:ind w:left="0"/>
        <w:jc w:val="left"/>
        <w:outlineLvl w:val="1"/>
      </w:pPr>
      <w:bookmarkStart w:name="heading_45" w:id="45"/>
      <w:r>
        <w:rPr>
          <w:rFonts w:eastAsia="等线" w:ascii="Arial" w:cs="Arial" w:hAnsi="Arial"/>
          <w:b w:val="true"/>
          <w:sz w:val="32"/>
        </w:rPr>
        <w:t>8.4 右侧：社交媒体图标</w:t>
      </w:r>
      <w:bookmarkEnd w:id="45"/>
    </w:p>
    <w:p>
      <w:pPr>
        <w:numPr>
          <w:numId w:val="453"/>
        </w:numPr>
        <w:spacing w:before="120" w:after="120" w:line="288" w:lineRule="auto"/>
        <w:ind w:left="0"/>
        <w:jc w:val="left"/>
      </w:pPr>
      <w:r>
        <w:rPr>
          <w:rFonts w:eastAsia="等线" w:ascii="Arial" w:cs="Arial" w:hAnsi="Arial"/>
          <w:sz w:val="22"/>
        </w:rPr>
        <w:t>展示三个社交媒体快捷入口图标：X（Twitter）、Discord、Telegram。</w:t>
      </w:r>
    </w:p>
    <w:p>
      <w:pPr>
        <w:numPr>
          <w:numId w:val="454"/>
        </w:numPr>
        <w:spacing w:before="120" w:after="120" w:line="288" w:lineRule="auto"/>
        <w:ind w:left="0"/>
        <w:jc w:val="left"/>
      </w:pPr>
      <w:r>
        <w:rPr>
          <w:rFonts w:eastAsia="等线" w:ascii="Arial" w:cs="Arial" w:hAnsi="Arial"/>
          <w:sz w:val="22"/>
        </w:rPr>
        <w:t>鼠标悬停时图标颜色加深，点击后在新标签页打开对应的官方社交链接。</w:t>
      </w:r>
    </w:p>
    <w:p>
      <w:pPr>
        <w:numPr>
          <w:numId w:val="455"/>
        </w:numPr>
        <w:spacing w:before="120" w:after="120" w:line="288" w:lineRule="auto"/>
        <w:ind w:left="0"/>
        <w:jc w:val="left"/>
      </w:pPr>
      <w:r>
        <w:rPr>
          <w:rFonts w:eastAsia="等线" w:ascii="Arial" w:cs="Arial" w:hAnsi="Arial"/>
          <w:sz w:val="22"/>
        </w:rPr>
        <w:t>图标顺序固定为 X → Discord → Telegram，不可变更。</w:t>
      </w:r>
    </w:p>
    <w:p>
      <w:pPr>
        <w:numPr>
          <w:numId w:val="456"/>
        </w:numPr>
        <w:spacing w:before="120" w:after="120" w:line="288" w:lineRule="auto"/>
        <w:ind w:left="0"/>
        <w:jc w:val="left"/>
      </w:pPr>
      <w:r>
        <w:rPr>
          <w:rFonts w:eastAsia="等线" w:ascii="Arial" w:cs="Arial" w:hAnsi="Arial"/>
          <w:sz w:val="22"/>
        </w:rPr>
        <w:t>链接地址由后台配置或前端统一维护。</w:t>
      </w:r>
    </w:p>
    <w:p>
      <w:pPr>
        <w:spacing w:before="120" w:after="120" w:line="288" w:lineRule="auto"/>
        <w:ind w:left="453"/>
        <w:jc w:val="left"/>
      </w:pPr>
    </w:p>
    <w:p>
      <w:pPr>
        <w:pStyle w:val="2"/>
        <w:spacing w:before="320" w:after="120" w:line="288" w:lineRule="auto"/>
        <w:ind w:left="0"/>
        <w:jc w:val="left"/>
        <w:outlineLvl w:val="1"/>
      </w:pPr>
      <w:bookmarkStart w:name="heading_46" w:id="46"/>
      <w:r>
        <w:rPr>
          <w:rFonts w:eastAsia="等线" w:ascii="Arial" w:cs="Arial" w:hAnsi="Arial"/>
          <w:b w:val="true"/>
          <w:sz w:val="32"/>
        </w:rPr>
        <w:t>8.5 数据更新与异常处理</w:t>
      </w:r>
      <w:bookmarkEnd w:id="46"/>
    </w:p>
    <w:p>
      <w:pPr>
        <w:numPr>
          <w:numId w:val="457"/>
        </w:numPr>
        <w:spacing w:before="120" w:after="120" w:line="288" w:lineRule="auto"/>
        <w:ind w:left="0"/>
        <w:jc w:val="left"/>
      </w:pPr>
      <w:r>
        <w:rPr>
          <w:rFonts w:eastAsia="等线" w:ascii="Arial" w:cs="Arial" w:hAnsi="Arial"/>
          <w:sz w:val="22"/>
        </w:rPr>
        <w:t>信号强度和延迟数据根据实际连接状态实时更新（每秒或每次心跳后刷新）。</w:t>
      </w:r>
    </w:p>
    <w:p>
      <w:pPr>
        <w:numPr>
          <w:numId w:val="458"/>
        </w:numPr>
        <w:spacing w:before="120" w:after="120" w:line="288" w:lineRule="auto"/>
        <w:ind w:left="0"/>
        <w:jc w:val="left"/>
      </w:pPr>
      <w:r>
        <w:rPr>
          <w:rFonts w:eastAsia="等线" w:ascii="Arial" w:cs="Arial" w:hAnsi="Arial"/>
          <w:sz w:val="22"/>
        </w:rPr>
        <w:t>公告列表由后端接口提供，每 5 分钟轮询更新或通过 WebSocket 推送更新。</w:t>
      </w:r>
    </w:p>
    <w:p>
      <w:pPr>
        <w:numPr>
          <w:numId w:val="459"/>
        </w:numPr>
        <w:spacing w:before="120" w:after="120" w:line="288" w:lineRule="auto"/>
        <w:ind w:left="0"/>
        <w:jc w:val="left"/>
      </w:pPr>
      <w:r>
        <w:rPr>
          <w:rFonts w:eastAsia="等线" w:ascii="Arial" w:cs="Arial" w:hAnsi="Arial"/>
          <w:sz w:val="22"/>
        </w:rPr>
        <w:t>若接口超时或失败，公告区域保留上次缓存数据继续滚动，连接状态区显示上一次可用数据。</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1164">
    <w:lvl>
      <w:numFmt w:val="bullet"/>
      <w:suff w:val="tab"/>
      <w:lvlText w:val="•"/>
      <w:rPr>
        <w:color w:val="3370ff"/>
      </w:rPr>
    </w:lvl>
  </w:abstractNum>
  <w:abstractNum w:abstractNumId="51165">
    <w:lvl>
      <w:numFmt w:val="bullet"/>
      <w:suff w:val="tab"/>
      <w:lvlText w:val="•"/>
      <w:rPr>
        <w:color w:val="3370ff"/>
      </w:rPr>
    </w:lvl>
  </w:abstractNum>
  <w:abstractNum w:abstractNumId="51166">
    <w:lvl>
      <w:numFmt w:val="bullet"/>
      <w:suff w:val="tab"/>
      <w:lvlText w:val="•"/>
      <w:rPr>
        <w:color w:val="3370ff"/>
      </w:rPr>
    </w:lvl>
  </w:abstractNum>
  <w:abstractNum w:abstractNumId="51167">
    <w:lvl>
      <w:numFmt w:val="bullet"/>
      <w:suff w:val="tab"/>
      <w:lvlText w:val="•"/>
      <w:rPr>
        <w:color w:val="3370ff"/>
      </w:rPr>
    </w:lvl>
  </w:abstractNum>
  <w:abstractNum w:abstractNumId="51168">
    <w:lvl>
      <w:numFmt w:val="bullet"/>
      <w:suff w:val="tab"/>
      <w:lvlText w:val="•"/>
      <w:rPr>
        <w:color w:val="3370ff"/>
      </w:rPr>
    </w:lvl>
  </w:abstractNum>
  <w:abstractNum w:abstractNumId="51169">
    <w:lvl>
      <w:numFmt w:val="bullet"/>
      <w:suff w:val="tab"/>
      <w:lvlText w:val="•"/>
      <w:rPr>
        <w:color w:val="3370ff"/>
      </w:rPr>
    </w:lvl>
  </w:abstractNum>
  <w:abstractNum w:abstractNumId="51170">
    <w:lvl>
      <w:numFmt w:val="bullet"/>
      <w:suff w:val="tab"/>
      <w:lvlText w:val="•"/>
      <w:rPr>
        <w:color w:val="3370ff"/>
      </w:rPr>
    </w:lvl>
  </w:abstractNum>
  <w:abstractNum w:abstractNumId="51171">
    <w:lvl>
      <w:numFmt w:val="bullet"/>
      <w:suff w:val="tab"/>
      <w:lvlText w:val="•"/>
      <w:rPr>
        <w:color w:val="3370ff"/>
      </w:rPr>
    </w:lvl>
  </w:abstractNum>
  <w:abstractNum w:abstractNumId="51172">
    <w:lvl>
      <w:numFmt w:val="bullet"/>
      <w:suff w:val="tab"/>
      <w:lvlText w:val="•"/>
      <w:rPr>
        <w:color w:val="3370ff"/>
      </w:rPr>
    </w:lvl>
  </w:abstractNum>
  <w:abstractNum w:abstractNumId="51173">
    <w:lvl>
      <w:numFmt w:val="bullet"/>
      <w:suff w:val="tab"/>
      <w:lvlText w:val="•"/>
      <w:rPr>
        <w:color w:val="3370ff"/>
      </w:rPr>
    </w:lvl>
  </w:abstractNum>
  <w:abstractNum w:abstractNumId="51174">
    <w:lvl>
      <w:numFmt w:val="bullet"/>
      <w:suff w:val="tab"/>
      <w:lvlText w:val="•"/>
      <w:rPr>
        <w:color w:val="3370ff"/>
      </w:rPr>
    </w:lvl>
  </w:abstractNum>
  <w:abstractNum w:abstractNumId="51175">
    <w:lvl>
      <w:numFmt w:val="bullet"/>
      <w:suff w:val="tab"/>
      <w:lvlText w:val="•"/>
      <w:rPr>
        <w:color w:val="3370ff"/>
      </w:rPr>
    </w:lvl>
  </w:abstractNum>
  <w:abstractNum w:abstractNumId="51176">
    <w:lvl>
      <w:numFmt w:val="bullet"/>
      <w:suff w:val="tab"/>
      <w:lvlText w:val="•"/>
      <w:rPr>
        <w:color w:val="3370ff"/>
      </w:rPr>
    </w:lvl>
  </w:abstractNum>
  <w:abstractNum w:abstractNumId="51177">
    <w:lvl>
      <w:numFmt w:val="bullet"/>
      <w:suff w:val="tab"/>
      <w:lvlText w:val="•"/>
      <w:rPr>
        <w:color w:val="3370ff"/>
      </w:rPr>
    </w:lvl>
  </w:abstractNum>
  <w:abstractNum w:abstractNumId="51178">
    <w:lvl>
      <w:numFmt w:val="bullet"/>
      <w:suff w:val="tab"/>
      <w:lvlText w:val="•"/>
      <w:rPr>
        <w:color w:val="3370ff"/>
      </w:rPr>
    </w:lvl>
  </w:abstractNum>
  <w:abstractNum w:abstractNumId="51179">
    <w:lvl>
      <w:numFmt w:val="bullet"/>
      <w:suff w:val="tab"/>
      <w:lvlText w:val="•"/>
      <w:rPr>
        <w:color w:val="3370ff"/>
      </w:rPr>
    </w:lvl>
  </w:abstractNum>
  <w:abstractNum w:abstractNumId="51180">
    <w:lvl>
      <w:numFmt w:val="bullet"/>
      <w:suff w:val="tab"/>
      <w:lvlText w:val="•"/>
      <w:rPr>
        <w:color w:val="3370ff"/>
      </w:rPr>
    </w:lvl>
  </w:abstractNum>
  <w:abstractNum w:abstractNumId="51181">
    <w:lvl>
      <w:numFmt w:val="bullet"/>
      <w:suff w:val="tab"/>
      <w:lvlText w:val="•"/>
      <w:rPr>
        <w:color w:val="3370ff"/>
      </w:rPr>
    </w:lvl>
  </w:abstractNum>
  <w:abstractNum w:abstractNumId="51182">
    <w:lvl>
      <w:numFmt w:val="bullet"/>
      <w:suff w:val="tab"/>
      <w:lvlText w:val="•"/>
      <w:rPr>
        <w:color w:val="3370ff"/>
      </w:rPr>
    </w:lvl>
  </w:abstractNum>
  <w:abstractNum w:abstractNumId="51183">
    <w:lvl>
      <w:numFmt w:val="bullet"/>
      <w:suff w:val="tab"/>
      <w:lvlText w:val="•"/>
      <w:rPr>
        <w:color w:val="3370ff"/>
      </w:rPr>
    </w:lvl>
  </w:abstractNum>
  <w:abstractNum w:abstractNumId="51184">
    <w:lvl>
      <w:numFmt w:val="bullet"/>
      <w:suff w:val="tab"/>
      <w:lvlText w:val="•"/>
      <w:rPr>
        <w:color w:val="3370ff"/>
      </w:rPr>
    </w:lvl>
  </w:abstractNum>
  <w:abstractNum w:abstractNumId="51185">
    <w:lvl>
      <w:numFmt w:val="bullet"/>
      <w:suff w:val="tab"/>
      <w:lvlText w:val="￮"/>
      <w:rPr>
        <w:color w:val="3370ff"/>
      </w:rPr>
    </w:lvl>
  </w:abstractNum>
  <w:abstractNum w:abstractNumId="51186">
    <w:lvl>
      <w:numFmt w:val="bullet"/>
      <w:suff w:val="tab"/>
      <w:lvlText w:val="￮"/>
      <w:rPr>
        <w:color w:val="3370ff"/>
      </w:rPr>
    </w:lvl>
  </w:abstractNum>
  <w:abstractNum w:abstractNumId="51187">
    <w:lvl>
      <w:numFmt w:val="bullet"/>
      <w:suff w:val="tab"/>
      <w:lvlText w:val="•"/>
      <w:rPr>
        <w:color w:val="3370ff"/>
      </w:rPr>
    </w:lvl>
  </w:abstractNum>
  <w:abstractNum w:abstractNumId="51188">
    <w:lvl>
      <w:numFmt w:val="bullet"/>
      <w:suff w:val="tab"/>
      <w:lvlText w:val="•"/>
      <w:rPr>
        <w:color w:val="3370ff"/>
      </w:rPr>
    </w:lvl>
  </w:abstractNum>
  <w:abstractNum w:abstractNumId="51189">
    <w:lvl>
      <w:numFmt w:val="bullet"/>
      <w:suff w:val="tab"/>
      <w:lvlText w:val="•"/>
      <w:rPr>
        <w:color w:val="3370ff"/>
      </w:rPr>
    </w:lvl>
  </w:abstractNum>
  <w:abstractNum w:abstractNumId="51190">
    <w:lvl>
      <w:numFmt w:val="bullet"/>
      <w:suff w:val="tab"/>
      <w:lvlText w:val="•"/>
      <w:rPr>
        <w:color w:val="3370ff"/>
      </w:rPr>
    </w:lvl>
  </w:abstractNum>
  <w:abstractNum w:abstractNumId="51191">
    <w:lvl>
      <w:numFmt w:val="bullet"/>
      <w:suff w:val="tab"/>
      <w:lvlText w:val="•"/>
      <w:rPr>
        <w:color w:val="3370ff"/>
      </w:rPr>
    </w:lvl>
  </w:abstractNum>
  <w:abstractNum w:abstractNumId="51192">
    <w:lvl>
      <w:numFmt w:val="bullet"/>
      <w:suff w:val="tab"/>
      <w:lvlText w:val="•"/>
      <w:rPr>
        <w:color w:val="3370ff"/>
      </w:rPr>
    </w:lvl>
  </w:abstractNum>
  <w:abstractNum w:abstractNumId="51193">
    <w:lvl>
      <w:numFmt w:val="bullet"/>
      <w:suff w:val="tab"/>
      <w:lvlText w:val="•"/>
      <w:rPr>
        <w:color w:val="3370ff"/>
      </w:rPr>
    </w:lvl>
  </w:abstractNum>
  <w:abstractNum w:abstractNumId="51194">
    <w:lvl>
      <w:numFmt w:val="bullet"/>
      <w:suff w:val="tab"/>
      <w:lvlText w:val="•"/>
      <w:rPr>
        <w:color w:val="3370ff"/>
      </w:rPr>
    </w:lvl>
  </w:abstractNum>
  <w:abstractNum w:abstractNumId="51195">
    <w:lvl>
      <w:numFmt w:val="bullet"/>
      <w:suff w:val="tab"/>
      <w:lvlText w:val="•"/>
      <w:rPr>
        <w:color w:val="3370ff"/>
      </w:rPr>
    </w:lvl>
  </w:abstractNum>
  <w:abstractNum w:abstractNumId="51196">
    <w:lvl>
      <w:numFmt w:val="bullet"/>
      <w:suff w:val="tab"/>
      <w:lvlText w:val="•"/>
      <w:rPr>
        <w:color w:val="3370ff"/>
      </w:rPr>
    </w:lvl>
  </w:abstractNum>
  <w:abstractNum w:abstractNumId="51197">
    <w:lvl>
      <w:numFmt w:val="bullet"/>
      <w:suff w:val="tab"/>
      <w:lvlText w:val="•"/>
      <w:rPr>
        <w:color w:val="3370ff"/>
      </w:rPr>
    </w:lvl>
  </w:abstractNum>
  <w:abstractNum w:abstractNumId="51198">
    <w:lvl>
      <w:numFmt w:val="bullet"/>
      <w:suff w:val="tab"/>
      <w:lvlText w:val="•"/>
      <w:rPr>
        <w:color w:val="3370ff"/>
      </w:rPr>
    </w:lvl>
  </w:abstractNum>
  <w:abstractNum w:abstractNumId="51199">
    <w:lvl>
      <w:numFmt w:val="bullet"/>
      <w:suff w:val="tab"/>
      <w:lvlText w:val="•"/>
      <w:rPr>
        <w:color w:val="3370ff"/>
      </w:rPr>
    </w:lvl>
  </w:abstractNum>
  <w:abstractNum w:abstractNumId="51200">
    <w:lvl>
      <w:numFmt w:val="bullet"/>
      <w:suff w:val="tab"/>
      <w:lvlText w:val="•"/>
      <w:rPr>
        <w:color w:val="3370ff"/>
      </w:rPr>
    </w:lvl>
  </w:abstractNum>
  <w:abstractNum w:abstractNumId="51201">
    <w:lvl>
      <w:numFmt w:val="bullet"/>
      <w:suff w:val="tab"/>
      <w:lvlText w:val="￮"/>
      <w:rPr>
        <w:color w:val="3370ff"/>
      </w:rPr>
    </w:lvl>
  </w:abstractNum>
  <w:abstractNum w:abstractNumId="51202">
    <w:lvl>
      <w:numFmt w:val="bullet"/>
      <w:suff w:val="tab"/>
      <w:lvlText w:val="￮"/>
      <w:rPr>
        <w:color w:val="3370ff"/>
      </w:rPr>
    </w:lvl>
  </w:abstractNum>
  <w:abstractNum w:abstractNumId="51203">
    <w:lvl>
      <w:numFmt w:val="bullet"/>
      <w:suff w:val="tab"/>
      <w:lvlText w:val="•"/>
      <w:rPr>
        <w:color w:val="3370ff"/>
      </w:rPr>
    </w:lvl>
  </w:abstractNum>
  <w:abstractNum w:abstractNumId="51204">
    <w:lvl>
      <w:numFmt w:val="bullet"/>
      <w:suff w:val="tab"/>
      <w:lvlText w:val="￮"/>
      <w:rPr>
        <w:color w:val="3370ff"/>
      </w:rPr>
    </w:lvl>
  </w:abstractNum>
  <w:abstractNum w:abstractNumId="51205">
    <w:lvl>
      <w:numFmt w:val="bullet"/>
      <w:suff w:val="tab"/>
      <w:lvlText w:val="￮"/>
      <w:rPr>
        <w:color w:val="3370ff"/>
      </w:rPr>
    </w:lvl>
  </w:abstractNum>
  <w:abstractNum w:abstractNumId="51206">
    <w:lvl>
      <w:numFmt w:val="bullet"/>
      <w:suff w:val="tab"/>
      <w:lvlText w:val="•"/>
      <w:rPr>
        <w:color w:val="3370ff"/>
      </w:rPr>
    </w:lvl>
  </w:abstractNum>
  <w:abstractNum w:abstractNumId="51207">
    <w:lvl>
      <w:numFmt w:val="bullet"/>
      <w:suff w:val="tab"/>
      <w:lvlText w:val="￮"/>
      <w:rPr>
        <w:color w:val="3370ff"/>
      </w:rPr>
    </w:lvl>
  </w:abstractNum>
  <w:abstractNum w:abstractNumId="51208">
    <w:lvl>
      <w:numFmt w:val="bullet"/>
      <w:suff w:val="tab"/>
      <w:lvlText w:val="￮"/>
      <w:rPr>
        <w:color w:val="3370ff"/>
      </w:rPr>
    </w:lvl>
  </w:abstractNum>
  <w:abstractNum w:abstractNumId="51209">
    <w:lvl>
      <w:numFmt w:val="bullet"/>
      <w:suff w:val="tab"/>
      <w:lvlText w:val="￮"/>
      <w:rPr>
        <w:color w:val="3370ff"/>
      </w:rPr>
    </w:lvl>
  </w:abstractNum>
  <w:abstractNum w:abstractNumId="51210">
    <w:lvl>
      <w:numFmt w:val="bullet"/>
      <w:suff w:val="tab"/>
      <w:lvlText w:val="￮"/>
      <w:rPr>
        <w:color w:val="3370ff"/>
      </w:rPr>
    </w:lvl>
  </w:abstractNum>
  <w:abstractNum w:abstractNumId="51211">
    <w:lvl>
      <w:numFmt w:val="bullet"/>
      <w:suff w:val="tab"/>
      <w:lvlText w:val="•"/>
      <w:rPr>
        <w:color w:val="3370ff"/>
      </w:rPr>
    </w:lvl>
  </w:abstractNum>
  <w:abstractNum w:abstractNumId="51212">
    <w:lvl>
      <w:numFmt w:val="bullet"/>
      <w:suff w:val="tab"/>
      <w:lvlText w:val="•"/>
      <w:rPr>
        <w:color w:val="3370ff"/>
      </w:rPr>
    </w:lvl>
  </w:abstractNum>
  <w:abstractNum w:abstractNumId="51213">
    <w:lvl>
      <w:numFmt w:val="bullet"/>
      <w:suff w:val="tab"/>
      <w:lvlText w:val="•"/>
      <w:rPr>
        <w:color w:val="3370ff"/>
      </w:rPr>
    </w:lvl>
  </w:abstractNum>
  <w:abstractNum w:abstractNumId="51214">
    <w:lvl>
      <w:numFmt w:val="bullet"/>
      <w:suff w:val="tab"/>
      <w:lvlText w:val="•"/>
      <w:rPr>
        <w:color w:val="3370ff"/>
      </w:rPr>
    </w:lvl>
  </w:abstractNum>
  <w:abstractNum w:abstractNumId="51215">
    <w:lvl>
      <w:numFmt w:val="bullet"/>
      <w:suff w:val="tab"/>
      <w:lvlText w:val="•"/>
      <w:rPr>
        <w:color w:val="3370ff"/>
      </w:rPr>
    </w:lvl>
  </w:abstractNum>
  <w:abstractNum w:abstractNumId="51216">
    <w:lvl>
      <w:numFmt w:val="bullet"/>
      <w:suff w:val="tab"/>
      <w:lvlText w:val="•"/>
      <w:rPr>
        <w:color w:val="3370ff"/>
      </w:rPr>
    </w:lvl>
  </w:abstractNum>
  <w:abstractNum w:abstractNumId="51217">
    <w:lvl>
      <w:numFmt w:val="bullet"/>
      <w:suff w:val="tab"/>
      <w:lvlText w:val="•"/>
      <w:rPr>
        <w:color w:val="3370ff"/>
      </w:rPr>
    </w:lvl>
  </w:abstractNum>
  <w:abstractNum w:abstractNumId="51218">
    <w:lvl>
      <w:numFmt w:val="bullet"/>
      <w:suff w:val="tab"/>
      <w:lvlText w:val="•"/>
      <w:rPr>
        <w:color w:val="3370ff"/>
      </w:rPr>
    </w:lvl>
  </w:abstractNum>
  <w:abstractNum w:abstractNumId="51219">
    <w:lvl>
      <w:numFmt w:val="bullet"/>
      <w:suff w:val="tab"/>
      <w:lvlText w:val="•"/>
      <w:rPr>
        <w:color w:val="3370ff"/>
      </w:rPr>
    </w:lvl>
  </w:abstractNum>
  <w:abstractNum w:abstractNumId="51220">
    <w:lvl>
      <w:numFmt w:val="bullet"/>
      <w:suff w:val="tab"/>
      <w:lvlText w:val="•"/>
      <w:rPr>
        <w:color w:val="3370ff"/>
      </w:rPr>
    </w:lvl>
  </w:abstractNum>
  <w:abstractNum w:abstractNumId="51221">
    <w:lvl>
      <w:numFmt w:val="bullet"/>
      <w:suff w:val="tab"/>
      <w:lvlText w:val="•"/>
      <w:rPr>
        <w:color w:val="3370ff"/>
      </w:rPr>
    </w:lvl>
  </w:abstractNum>
  <w:abstractNum w:abstractNumId="51222">
    <w:lvl>
      <w:numFmt w:val="bullet"/>
      <w:suff w:val="tab"/>
      <w:lvlText w:val="•"/>
      <w:rPr>
        <w:color w:val="3370ff"/>
      </w:rPr>
    </w:lvl>
  </w:abstractNum>
  <w:abstractNum w:abstractNumId="51223">
    <w:lvl>
      <w:numFmt w:val="bullet"/>
      <w:suff w:val="tab"/>
      <w:lvlText w:val="•"/>
      <w:rPr>
        <w:color w:val="3370ff"/>
      </w:rPr>
    </w:lvl>
  </w:abstractNum>
  <w:abstractNum w:abstractNumId="51224">
    <w:lvl>
      <w:numFmt w:val="bullet"/>
      <w:suff w:val="tab"/>
      <w:lvlText w:val="•"/>
      <w:rPr>
        <w:color w:val="3370ff"/>
      </w:rPr>
    </w:lvl>
  </w:abstractNum>
  <w:abstractNum w:abstractNumId="51225">
    <w:lvl>
      <w:numFmt w:val="bullet"/>
      <w:suff w:val="tab"/>
      <w:lvlText w:val="•"/>
      <w:rPr>
        <w:color w:val="3370ff"/>
      </w:rPr>
    </w:lvl>
  </w:abstractNum>
  <w:abstractNum w:abstractNumId="51226">
    <w:lvl>
      <w:numFmt w:val="bullet"/>
      <w:suff w:val="tab"/>
      <w:lvlText w:val="•"/>
      <w:rPr>
        <w:color w:val="3370ff"/>
      </w:rPr>
    </w:lvl>
  </w:abstractNum>
  <w:abstractNum w:abstractNumId="51227">
    <w:lvl>
      <w:numFmt w:val="bullet"/>
      <w:suff w:val="tab"/>
      <w:lvlText w:val="•"/>
      <w:rPr>
        <w:color w:val="3370ff"/>
      </w:rPr>
    </w:lvl>
  </w:abstractNum>
  <w:abstractNum w:abstractNumId="51228">
    <w:lvl>
      <w:numFmt w:val="bullet"/>
      <w:suff w:val="tab"/>
      <w:lvlText w:val="￮"/>
      <w:rPr>
        <w:color w:val="3370ff"/>
      </w:rPr>
    </w:lvl>
  </w:abstractNum>
  <w:abstractNum w:abstractNumId="51229">
    <w:lvl>
      <w:numFmt w:val="bullet"/>
      <w:suff w:val="tab"/>
      <w:lvlText w:val="￮"/>
      <w:rPr>
        <w:color w:val="3370ff"/>
      </w:rPr>
    </w:lvl>
  </w:abstractNum>
  <w:abstractNum w:abstractNumId="51230">
    <w:lvl>
      <w:numFmt w:val="bullet"/>
      <w:suff w:val="tab"/>
      <w:lvlText w:val="•"/>
      <w:rPr>
        <w:color w:val="3370ff"/>
      </w:rPr>
    </w:lvl>
  </w:abstractNum>
  <w:abstractNum w:abstractNumId="51231">
    <w:lvl>
      <w:numFmt w:val="bullet"/>
      <w:suff w:val="tab"/>
      <w:lvlText w:val="￮"/>
      <w:rPr>
        <w:color w:val="3370ff"/>
      </w:rPr>
    </w:lvl>
  </w:abstractNum>
  <w:abstractNum w:abstractNumId="51232">
    <w:lvl>
      <w:numFmt w:val="bullet"/>
      <w:suff w:val="tab"/>
      <w:lvlText w:val="￮"/>
      <w:rPr>
        <w:color w:val="3370ff"/>
      </w:rPr>
    </w:lvl>
  </w:abstractNum>
  <w:abstractNum w:abstractNumId="51233">
    <w:lvl>
      <w:numFmt w:val="bullet"/>
      <w:suff w:val="tab"/>
      <w:lvlText w:val="￮"/>
      <w:rPr>
        <w:color w:val="3370ff"/>
      </w:rPr>
    </w:lvl>
  </w:abstractNum>
  <w:abstractNum w:abstractNumId="51234">
    <w:lvl>
      <w:numFmt w:val="bullet"/>
      <w:suff w:val="tab"/>
      <w:lvlText w:val="•"/>
      <w:rPr>
        <w:color w:val="3370ff"/>
      </w:rPr>
    </w:lvl>
  </w:abstractNum>
  <w:abstractNum w:abstractNumId="51235">
    <w:lvl>
      <w:numFmt w:val="bullet"/>
      <w:suff w:val="tab"/>
      <w:lvlText w:val="￮"/>
      <w:rPr>
        <w:color w:val="3370ff"/>
      </w:rPr>
    </w:lvl>
  </w:abstractNum>
  <w:abstractNum w:abstractNumId="51236">
    <w:lvl>
      <w:numFmt w:val="bullet"/>
      <w:suff w:val="tab"/>
      <w:lvlText w:val="￮"/>
      <w:rPr>
        <w:color w:val="3370ff"/>
      </w:rPr>
    </w:lvl>
  </w:abstractNum>
  <w:abstractNum w:abstractNumId="51237">
    <w:lvl>
      <w:numFmt w:val="bullet"/>
      <w:suff w:val="tab"/>
      <w:lvlText w:val="￮"/>
      <w:rPr>
        <w:color w:val="3370ff"/>
      </w:rPr>
    </w:lvl>
  </w:abstractNum>
  <w:abstractNum w:abstractNumId="51238">
    <w:lvl>
      <w:numFmt w:val="bullet"/>
      <w:suff w:val="tab"/>
      <w:lvlText w:val="•"/>
      <w:rPr>
        <w:color w:val="3370ff"/>
      </w:rPr>
    </w:lvl>
  </w:abstractNum>
  <w:abstractNum w:abstractNumId="51239">
    <w:lvl>
      <w:numFmt w:val="bullet"/>
      <w:suff w:val="tab"/>
      <w:lvlText w:val="•"/>
      <w:rPr>
        <w:color w:val="3370ff"/>
      </w:rPr>
    </w:lvl>
  </w:abstractNum>
  <w:abstractNum w:abstractNumId="51240">
    <w:lvl>
      <w:numFmt w:val="bullet"/>
      <w:suff w:val="tab"/>
      <w:lvlText w:val="•"/>
      <w:rPr>
        <w:color w:val="3370ff"/>
      </w:rPr>
    </w:lvl>
  </w:abstractNum>
  <w:abstractNum w:abstractNumId="51241">
    <w:lvl>
      <w:numFmt w:val="bullet"/>
      <w:suff w:val="tab"/>
      <w:lvlText w:val="•"/>
      <w:rPr>
        <w:color w:val="3370ff"/>
      </w:rPr>
    </w:lvl>
  </w:abstractNum>
  <w:abstractNum w:abstractNumId="51242">
    <w:lvl>
      <w:numFmt w:val="bullet"/>
      <w:suff w:val="tab"/>
      <w:lvlText w:val="•"/>
      <w:rPr>
        <w:color w:val="3370ff"/>
      </w:rPr>
    </w:lvl>
  </w:abstractNum>
  <w:abstractNum w:abstractNumId="51243">
    <w:lvl>
      <w:numFmt w:val="bullet"/>
      <w:suff w:val="tab"/>
      <w:lvlText w:val="•"/>
      <w:rPr>
        <w:color w:val="3370ff"/>
      </w:rPr>
    </w:lvl>
  </w:abstractNum>
  <w:abstractNum w:abstractNumId="51244">
    <w:lvl>
      <w:numFmt w:val="bullet"/>
      <w:suff w:val="tab"/>
      <w:lvlText w:val="•"/>
      <w:rPr>
        <w:color w:val="3370ff"/>
      </w:rPr>
    </w:lvl>
  </w:abstractNum>
  <w:abstractNum w:abstractNumId="51245">
    <w:lvl>
      <w:numFmt w:val="bullet"/>
      <w:suff w:val="tab"/>
      <w:lvlText w:val="•"/>
      <w:rPr>
        <w:color w:val="3370ff"/>
      </w:rPr>
    </w:lvl>
  </w:abstractNum>
  <w:abstractNum w:abstractNumId="51246">
    <w:lvl>
      <w:numFmt w:val="bullet"/>
      <w:suff w:val="tab"/>
      <w:lvlText w:val="•"/>
      <w:rPr>
        <w:color w:val="3370ff"/>
      </w:rPr>
    </w:lvl>
  </w:abstractNum>
  <w:abstractNum w:abstractNumId="51247">
    <w:lvl>
      <w:numFmt w:val="bullet"/>
      <w:suff w:val="tab"/>
      <w:lvlText w:val="•"/>
      <w:rPr>
        <w:color w:val="3370ff"/>
      </w:rPr>
    </w:lvl>
  </w:abstractNum>
  <w:abstractNum w:abstractNumId="51248">
    <w:lvl>
      <w:numFmt w:val="bullet"/>
      <w:suff w:val="tab"/>
      <w:lvlText w:val="•"/>
      <w:rPr>
        <w:color w:val="3370ff"/>
      </w:rPr>
    </w:lvl>
  </w:abstractNum>
  <w:abstractNum w:abstractNumId="51249">
    <w:lvl>
      <w:numFmt w:val="bullet"/>
      <w:suff w:val="tab"/>
      <w:lvlText w:val="•"/>
      <w:rPr>
        <w:color w:val="3370ff"/>
      </w:rPr>
    </w:lvl>
  </w:abstractNum>
  <w:abstractNum w:abstractNumId="51250">
    <w:lvl>
      <w:numFmt w:val="bullet"/>
      <w:suff w:val="tab"/>
      <w:lvlText w:val="•"/>
      <w:rPr>
        <w:color w:val="3370ff"/>
      </w:rPr>
    </w:lvl>
  </w:abstractNum>
  <w:abstractNum w:abstractNumId="51251">
    <w:lvl>
      <w:numFmt w:val="bullet"/>
      <w:suff w:val="tab"/>
      <w:lvlText w:val="•"/>
      <w:rPr>
        <w:color w:val="3370ff"/>
      </w:rPr>
    </w:lvl>
  </w:abstractNum>
  <w:abstractNum w:abstractNumId="51252">
    <w:lvl>
      <w:numFmt w:val="bullet"/>
      <w:suff w:val="tab"/>
      <w:lvlText w:val="•"/>
      <w:rPr>
        <w:color w:val="3370ff"/>
      </w:rPr>
    </w:lvl>
  </w:abstractNum>
  <w:abstractNum w:abstractNumId="51253">
    <w:lvl>
      <w:numFmt w:val="bullet"/>
      <w:suff w:val="tab"/>
      <w:lvlText w:val="•"/>
      <w:rPr>
        <w:color w:val="3370ff"/>
      </w:rPr>
    </w:lvl>
  </w:abstractNum>
  <w:abstractNum w:abstractNumId="51254">
    <w:lvl>
      <w:numFmt w:val="bullet"/>
      <w:suff w:val="tab"/>
      <w:lvlText w:val="•"/>
      <w:rPr>
        <w:color w:val="3370ff"/>
      </w:rPr>
    </w:lvl>
  </w:abstractNum>
  <w:abstractNum w:abstractNumId="51255">
    <w:lvl>
      <w:numFmt w:val="bullet"/>
      <w:suff w:val="tab"/>
      <w:lvlText w:val="•"/>
      <w:rPr>
        <w:color w:val="3370ff"/>
      </w:rPr>
    </w:lvl>
  </w:abstractNum>
  <w:abstractNum w:abstractNumId="51256">
    <w:lvl>
      <w:numFmt w:val="bullet"/>
      <w:suff w:val="tab"/>
      <w:lvlText w:val="•"/>
      <w:rPr>
        <w:color w:val="3370ff"/>
      </w:rPr>
    </w:lvl>
  </w:abstractNum>
  <w:abstractNum w:abstractNumId="51257">
    <w:lvl>
      <w:numFmt w:val="bullet"/>
      <w:suff w:val="tab"/>
      <w:lvlText w:val="•"/>
      <w:rPr>
        <w:color w:val="3370ff"/>
      </w:rPr>
    </w:lvl>
  </w:abstractNum>
  <w:abstractNum w:abstractNumId="51258">
    <w:lvl>
      <w:numFmt w:val="bullet"/>
      <w:suff w:val="tab"/>
      <w:lvlText w:val="•"/>
      <w:rPr>
        <w:color w:val="3370ff"/>
      </w:rPr>
    </w:lvl>
  </w:abstractNum>
  <w:abstractNum w:abstractNumId="51259">
    <w:lvl>
      <w:numFmt w:val="bullet"/>
      <w:suff w:val="tab"/>
      <w:lvlText w:val="•"/>
      <w:rPr>
        <w:color w:val="3370ff"/>
      </w:rPr>
    </w:lvl>
  </w:abstractNum>
  <w:abstractNum w:abstractNumId="51260">
    <w:lvl>
      <w:numFmt w:val="bullet"/>
      <w:suff w:val="tab"/>
      <w:lvlText w:val="•"/>
      <w:rPr>
        <w:color w:val="3370ff"/>
      </w:rPr>
    </w:lvl>
  </w:abstractNum>
  <w:abstractNum w:abstractNumId="51261">
    <w:lvl>
      <w:numFmt w:val="bullet"/>
      <w:suff w:val="tab"/>
      <w:lvlText w:val="•"/>
      <w:rPr>
        <w:color w:val="3370ff"/>
      </w:rPr>
    </w:lvl>
  </w:abstractNum>
  <w:abstractNum w:abstractNumId="51262">
    <w:lvl>
      <w:numFmt w:val="bullet"/>
      <w:suff w:val="tab"/>
      <w:lvlText w:val="•"/>
      <w:rPr>
        <w:color w:val="3370ff"/>
      </w:rPr>
    </w:lvl>
  </w:abstractNum>
  <w:abstractNum w:abstractNumId="51263">
    <w:lvl>
      <w:numFmt w:val="bullet"/>
      <w:suff w:val="tab"/>
      <w:lvlText w:val="•"/>
      <w:rPr>
        <w:color w:val="3370ff"/>
      </w:rPr>
    </w:lvl>
  </w:abstractNum>
  <w:abstractNum w:abstractNumId="51264">
    <w:lvl>
      <w:numFmt w:val="bullet"/>
      <w:suff w:val="tab"/>
      <w:lvlText w:val="•"/>
      <w:rPr>
        <w:color w:val="3370ff"/>
      </w:rPr>
    </w:lvl>
  </w:abstractNum>
  <w:abstractNum w:abstractNumId="51265">
    <w:lvl>
      <w:numFmt w:val="bullet"/>
      <w:suff w:val="tab"/>
      <w:lvlText w:val="•"/>
      <w:rPr>
        <w:color w:val="3370ff"/>
      </w:rPr>
    </w:lvl>
  </w:abstractNum>
  <w:abstractNum w:abstractNumId="51266">
    <w:lvl>
      <w:numFmt w:val="bullet"/>
      <w:suff w:val="tab"/>
      <w:lvlText w:val="•"/>
      <w:rPr>
        <w:color w:val="3370ff"/>
      </w:rPr>
    </w:lvl>
  </w:abstractNum>
  <w:abstractNum w:abstractNumId="51267">
    <w:lvl>
      <w:numFmt w:val="bullet"/>
      <w:suff w:val="tab"/>
      <w:lvlText w:val="•"/>
      <w:rPr>
        <w:color w:val="3370ff"/>
      </w:rPr>
    </w:lvl>
  </w:abstractNum>
  <w:abstractNum w:abstractNumId="51268">
    <w:lvl>
      <w:numFmt w:val="bullet"/>
      <w:suff w:val="tab"/>
      <w:lvlText w:val="•"/>
      <w:rPr>
        <w:color w:val="3370ff"/>
      </w:rPr>
    </w:lvl>
  </w:abstractNum>
  <w:abstractNum w:abstractNumId="51269">
    <w:lvl>
      <w:numFmt w:val="bullet"/>
      <w:suff w:val="tab"/>
      <w:lvlText w:val="•"/>
      <w:rPr>
        <w:color w:val="3370ff"/>
      </w:rPr>
    </w:lvl>
  </w:abstractNum>
  <w:abstractNum w:abstractNumId="51270">
    <w:lvl>
      <w:numFmt w:val="bullet"/>
      <w:suff w:val="tab"/>
      <w:lvlText w:val="•"/>
      <w:rPr>
        <w:color w:val="3370ff"/>
      </w:rPr>
    </w:lvl>
  </w:abstractNum>
  <w:abstractNum w:abstractNumId="51271">
    <w:lvl>
      <w:numFmt w:val="bullet"/>
      <w:suff w:val="tab"/>
      <w:lvlText w:val="￮"/>
      <w:rPr>
        <w:color w:val="3370ff"/>
      </w:rPr>
    </w:lvl>
  </w:abstractNum>
  <w:abstractNum w:abstractNumId="51272">
    <w:lvl>
      <w:numFmt w:val="bullet"/>
      <w:suff w:val="tab"/>
      <w:lvlText w:val="￮"/>
      <w:rPr>
        <w:color w:val="3370ff"/>
      </w:rPr>
    </w:lvl>
  </w:abstractNum>
  <w:abstractNum w:abstractNumId="51273">
    <w:lvl>
      <w:numFmt w:val="bullet"/>
      <w:suff w:val="tab"/>
      <w:lvlText w:val="•"/>
      <w:rPr>
        <w:color w:val="3370ff"/>
      </w:rPr>
    </w:lvl>
  </w:abstractNum>
  <w:abstractNum w:abstractNumId="51274">
    <w:lvl>
      <w:numFmt w:val="bullet"/>
      <w:suff w:val="tab"/>
      <w:lvlText w:val="•"/>
      <w:rPr>
        <w:color w:val="3370ff"/>
      </w:rPr>
    </w:lvl>
  </w:abstractNum>
  <w:abstractNum w:abstractNumId="51275">
    <w:lvl>
      <w:numFmt w:val="bullet"/>
      <w:suff w:val="tab"/>
      <w:lvlText w:val="•"/>
      <w:rPr>
        <w:color w:val="3370ff"/>
      </w:rPr>
    </w:lvl>
  </w:abstractNum>
  <w:abstractNum w:abstractNumId="51276">
    <w:lvl>
      <w:numFmt w:val="bullet"/>
      <w:suff w:val="tab"/>
      <w:lvlText w:val="•"/>
      <w:rPr>
        <w:color w:val="3370ff"/>
      </w:rPr>
    </w:lvl>
  </w:abstractNum>
  <w:abstractNum w:abstractNumId="51277">
    <w:lvl>
      <w:numFmt w:val="bullet"/>
      <w:suff w:val="tab"/>
      <w:lvlText w:val="•"/>
      <w:rPr>
        <w:color w:val="3370ff"/>
      </w:rPr>
    </w:lvl>
  </w:abstractNum>
  <w:abstractNum w:abstractNumId="51278">
    <w:lvl>
      <w:numFmt w:val="bullet"/>
      <w:suff w:val="tab"/>
      <w:lvlText w:val="•"/>
      <w:rPr>
        <w:color w:val="3370ff"/>
      </w:rPr>
    </w:lvl>
  </w:abstractNum>
  <w:abstractNum w:abstractNumId="51279">
    <w:lvl>
      <w:numFmt w:val="bullet"/>
      <w:suff w:val="tab"/>
      <w:lvlText w:val="•"/>
      <w:rPr>
        <w:color w:val="3370ff"/>
      </w:rPr>
    </w:lvl>
  </w:abstractNum>
  <w:abstractNum w:abstractNumId="51280">
    <w:lvl>
      <w:numFmt w:val="bullet"/>
      <w:suff w:val="tab"/>
      <w:lvlText w:val="￮"/>
      <w:rPr>
        <w:color w:val="3370ff"/>
      </w:rPr>
    </w:lvl>
  </w:abstractNum>
  <w:abstractNum w:abstractNumId="51281">
    <w:lvl>
      <w:numFmt w:val="bullet"/>
      <w:suff w:val="tab"/>
      <w:lvlText w:val="￮"/>
      <w:rPr>
        <w:color w:val="3370ff"/>
      </w:rPr>
    </w:lvl>
  </w:abstractNum>
  <w:abstractNum w:abstractNumId="51282">
    <w:lvl>
      <w:numFmt w:val="bullet"/>
      <w:suff w:val="tab"/>
      <w:lvlText w:val="￮"/>
      <w:rPr>
        <w:color w:val="3370ff"/>
      </w:rPr>
    </w:lvl>
  </w:abstractNum>
  <w:abstractNum w:abstractNumId="51283">
    <w:lvl>
      <w:numFmt w:val="bullet"/>
      <w:suff w:val="tab"/>
      <w:lvlText w:val="￮"/>
      <w:rPr>
        <w:color w:val="3370ff"/>
      </w:rPr>
    </w:lvl>
  </w:abstractNum>
  <w:abstractNum w:abstractNumId="51284">
    <w:lvl>
      <w:numFmt w:val="bullet"/>
      <w:suff w:val="tab"/>
      <w:lvlText w:val="•"/>
      <w:rPr>
        <w:color w:val="3370ff"/>
      </w:rPr>
    </w:lvl>
  </w:abstractNum>
  <w:abstractNum w:abstractNumId="51285">
    <w:lvl>
      <w:numFmt w:val="bullet"/>
      <w:suff w:val="tab"/>
      <w:lvlText w:val="•"/>
      <w:rPr>
        <w:color w:val="3370ff"/>
      </w:rPr>
    </w:lvl>
  </w:abstractNum>
  <w:abstractNum w:abstractNumId="51286">
    <w:lvl>
      <w:numFmt w:val="bullet"/>
      <w:suff w:val="tab"/>
      <w:lvlText w:val="•"/>
      <w:rPr>
        <w:color w:val="3370ff"/>
      </w:rPr>
    </w:lvl>
  </w:abstractNum>
  <w:abstractNum w:abstractNumId="51287">
    <w:lvl>
      <w:numFmt w:val="bullet"/>
      <w:suff w:val="tab"/>
      <w:lvlText w:val="•"/>
      <w:rPr>
        <w:color w:val="3370ff"/>
      </w:rPr>
    </w:lvl>
  </w:abstractNum>
  <w:abstractNum w:abstractNumId="51288">
    <w:lvl>
      <w:numFmt w:val="bullet"/>
      <w:suff w:val="tab"/>
      <w:lvlText w:val="•"/>
      <w:rPr>
        <w:color w:val="3370ff"/>
      </w:rPr>
    </w:lvl>
  </w:abstractNum>
  <w:abstractNum w:abstractNumId="51289">
    <w:lvl>
      <w:numFmt w:val="bullet"/>
      <w:suff w:val="tab"/>
      <w:lvlText w:val="•"/>
      <w:rPr>
        <w:color w:val="3370ff"/>
      </w:rPr>
    </w:lvl>
  </w:abstractNum>
  <w:abstractNum w:abstractNumId="51290">
    <w:lvl>
      <w:numFmt w:val="bullet"/>
      <w:suff w:val="tab"/>
      <w:lvlText w:val="•"/>
      <w:rPr>
        <w:color w:val="3370ff"/>
      </w:rPr>
    </w:lvl>
  </w:abstractNum>
  <w:abstractNum w:abstractNumId="51291">
    <w:lvl>
      <w:numFmt w:val="bullet"/>
      <w:suff w:val="tab"/>
      <w:lvlText w:val="•"/>
      <w:rPr>
        <w:color w:val="3370ff"/>
      </w:rPr>
    </w:lvl>
  </w:abstractNum>
  <w:abstractNum w:abstractNumId="51292">
    <w:lvl>
      <w:numFmt w:val="bullet"/>
      <w:suff w:val="tab"/>
      <w:lvlText w:val="•"/>
      <w:rPr>
        <w:color w:val="3370ff"/>
      </w:rPr>
    </w:lvl>
  </w:abstractNum>
  <w:abstractNum w:abstractNumId="51293">
    <w:lvl>
      <w:numFmt w:val="bullet"/>
      <w:suff w:val="tab"/>
      <w:lvlText w:val="•"/>
      <w:rPr>
        <w:color w:val="3370ff"/>
      </w:rPr>
    </w:lvl>
  </w:abstractNum>
  <w:abstractNum w:abstractNumId="51294">
    <w:lvl>
      <w:numFmt w:val="bullet"/>
      <w:suff w:val="tab"/>
      <w:lvlText w:val="•"/>
      <w:rPr>
        <w:color w:val="3370ff"/>
      </w:rPr>
    </w:lvl>
  </w:abstractNum>
  <w:abstractNum w:abstractNumId="51295">
    <w:lvl>
      <w:numFmt w:val="bullet"/>
      <w:suff w:val="tab"/>
      <w:lvlText w:val="•"/>
      <w:rPr>
        <w:color w:val="3370ff"/>
      </w:rPr>
    </w:lvl>
  </w:abstractNum>
  <w:abstractNum w:abstractNumId="51296">
    <w:lvl>
      <w:numFmt w:val="bullet"/>
      <w:suff w:val="tab"/>
      <w:lvlText w:val="•"/>
      <w:rPr>
        <w:color w:val="3370ff"/>
      </w:rPr>
    </w:lvl>
  </w:abstractNum>
  <w:abstractNum w:abstractNumId="51297">
    <w:lvl>
      <w:numFmt w:val="bullet"/>
      <w:suff w:val="tab"/>
      <w:lvlText w:val="•"/>
      <w:rPr>
        <w:color w:val="3370ff"/>
      </w:rPr>
    </w:lvl>
  </w:abstractNum>
  <w:abstractNum w:abstractNumId="51298">
    <w:lvl>
      <w:numFmt w:val="bullet"/>
      <w:suff w:val="tab"/>
      <w:lvlText w:val="•"/>
      <w:rPr>
        <w:color w:val="3370ff"/>
      </w:rPr>
    </w:lvl>
  </w:abstractNum>
  <w:abstractNum w:abstractNumId="51299">
    <w:lvl>
      <w:numFmt w:val="bullet"/>
      <w:suff w:val="tab"/>
      <w:lvlText w:val="•"/>
      <w:rPr>
        <w:color w:val="3370ff"/>
      </w:rPr>
    </w:lvl>
  </w:abstractNum>
  <w:abstractNum w:abstractNumId="51300">
    <w:lvl>
      <w:numFmt w:val="bullet"/>
      <w:suff w:val="tab"/>
      <w:lvlText w:val="￮"/>
      <w:rPr>
        <w:color w:val="3370ff"/>
      </w:rPr>
    </w:lvl>
  </w:abstractNum>
  <w:abstractNum w:abstractNumId="51301">
    <w:lvl>
      <w:numFmt w:val="bullet"/>
      <w:suff w:val="tab"/>
      <w:lvlText w:val="•"/>
      <w:rPr>
        <w:color w:val="3370ff"/>
      </w:rPr>
    </w:lvl>
  </w:abstractNum>
  <w:abstractNum w:abstractNumId="51302">
    <w:lvl>
      <w:numFmt w:val="bullet"/>
      <w:suff w:val="tab"/>
      <w:lvlText w:val="•"/>
      <w:rPr>
        <w:color w:val="3370ff"/>
      </w:rPr>
    </w:lvl>
  </w:abstractNum>
  <w:abstractNum w:abstractNumId="51303">
    <w:lvl>
      <w:numFmt w:val="bullet"/>
      <w:suff w:val="tab"/>
      <w:lvlText w:val="•"/>
      <w:rPr>
        <w:color w:val="3370ff"/>
      </w:rPr>
    </w:lvl>
  </w:abstractNum>
  <w:abstractNum w:abstractNumId="51304">
    <w:lvl>
      <w:numFmt w:val="bullet"/>
      <w:suff w:val="tab"/>
      <w:lvlText w:val="•"/>
      <w:rPr>
        <w:color w:val="3370ff"/>
      </w:rPr>
    </w:lvl>
  </w:abstractNum>
  <w:abstractNum w:abstractNumId="51305">
    <w:lvl>
      <w:numFmt w:val="bullet"/>
      <w:suff w:val="tab"/>
      <w:lvlText w:val="￮"/>
      <w:rPr>
        <w:color w:val="3370ff"/>
      </w:rPr>
    </w:lvl>
  </w:abstractNum>
  <w:abstractNum w:abstractNumId="51306">
    <w:lvl>
      <w:numFmt w:val="bullet"/>
      <w:suff w:val="tab"/>
      <w:lvlText w:val="￮"/>
      <w:rPr>
        <w:color w:val="3370ff"/>
      </w:rPr>
    </w:lvl>
  </w:abstractNum>
  <w:abstractNum w:abstractNumId="51307">
    <w:lvl>
      <w:numFmt w:val="bullet"/>
      <w:suff w:val="tab"/>
      <w:lvlText w:val="•"/>
      <w:rPr>
        <w:color w:val="3370ff"/>
      </w:rPr>
    </w:lvl>
  </w:abstractNum>
  <w:abstractNum w:abstractNumId="51308">
    <w:lvl>
      <w:numFmt w:val="bullet"/>
      <w:suff w:val="tab"/>
      <w:lvlText w:val="•"/>
      <w:rPr>
        <w:color w:val="3370ff"/>
      </w:rPr>
    </w:lvl>
  </w:abstractNum>
  <w:abstractNum w:abstractNumId="51309">
    <w:lvl>
      <w:numFmt w:val="bullet"/>
      <w:suff w:val="tab"/>
      <w:lvlText w:val="•"/>
      <w:rPr>
        <w:color w:val="3370ff"/>
      </w:rPr>
    </w:lvl>
  </w:abstractNum>
  <w:abstractNum w:abstractNumId="51310">
    <w:lvl>
      <w:numFmt w:val="bullet"/>
      <w:suff w:val="tab"/>
      <w:lvlText w:val="•"/>
      <w:rPr>
        <w:color w:val="3370ff"/>
      </w:rPr>
    </w:lvl>
  </w:abstractNum>
  <w:abstractNum w:abstractNumId="51311">
    <w:lvl>
      <w:numFmt w:val="bullet"/>
      <w:suff w:val="tab"/>
      <w:lvlText w:val="•"/>
      <w:rPr>
        <w:color w:val="3370ff"/>
      </w:rPr>
    </w:lvl>
  </w:abstractNum>
  <w:abstractNum w:abstractNumId="51312">
    <w:lvl>
      <w:numFmt w:val="bullet"/>
      <w:suff w:val="tab"/>
      <w:lvlText w:val="•"/>
      <w:rPr>
        <w:color w:val="3370ff"/>
      </w:rPr>
    </w:lvl>
  </w:abstractNum>
  <w:abstractNum w:abstractNumId="51313">
    <w:lvl>
      <w:numFmt w:val="bullet"/>
      <w:suff w:val="tab"/>
      <w:lvlText w:val="•"/>
      <w:rPr>
        <w:color w:val="3370ff"/>
      </w:rPr>
    </w:lvl>
  </w:abstractNum>
  <w:abstractNum w:abstractNumId="51314">
    <w:lvl>
      <w:numFmt w:val="bullet"/>
      <w:suff w:val="tab"/>
      <w:lvlText w:val="•"/>
      <w:rPr>
        <w:color w:val="3370ff"/>
      </w:rPr>
    </w:lvl>
  </w:abstractNum>
  <w:abstractNum w:abstractNumId="51315">
    <w:lvl>
      <w:numFmt w:val="bullet"/>
      <w:suff w:val="tab"/>
      <w:lvlText w:val="•"/>
      <w:rPr>
        <w:color w:val="3370ff"/>
      </w:rPr>
    </w:lvl>
  </w:abstractNum>
  <w:abstractNum w:abstractNumId="51316">
    <w:lvl>
      <w:numFmt w:val="bullet"/>
      <w:suff w:val="tab"/>
      <w:lvlText w:val="•"/>
      <w:rPr>
        <w:color w:val="3370ff"/>
      </w:rPr>
    </w:lvl>
  </w:abstractNum>
  <w:abstractNum w:abstractNumId="51317">
    <w:lvl>
      <w:numFmt w:val="bullet"/>
      <w:suff w:val="tab"/>
      <w:lvlText w:val="•"/>
      <w:rPr>
        <w:color w:val="3370ff"/>
      </w:rPr>
    </w:lvl>
  </w:abstractNum>
  <w:abstractNum w:abstractNumId="51318">
    <w:lvl>
      <w:numFmt w:val="bullet"/>
      <w:suff w:val="tab"/>
      <w:lvlText w:val="•"/>
      <w:rPr>
        <w:color w:val="3370ff"/>
      </w:rPr>
    </w:lvl>
  </w:abstractNum>
  <w:abstractNum w:abstractNumId="51319">
    <w:lvl>
      <w:numFmt w:val="bullet"/>
      <w:suff w:val="tab"/>
      <w:lvlText w:val="￮"/>
      <w:rPr>
        <w:color w:val="3370ff"/>
      </w:rPr>
    </w:lvl>
  </w:abstractNum>
  <w:abstractNum w:abstractNumId="51320">
    <w:lvl>
      <w:numFmt w:val="bullet"/>
      <w:suff w:val="tab"/>
      <w:lvlText w:val="￮"/>
      <w:rPr>
        <w:color w:val="3370ff"/>
      </w:rPr>
    </w:lvl>
  </w:abstractNum>
  <w:abstractNum w:abstractNumId="51321">
    <w:lvl>
      <w:numFmt w:val="bullet"/>
      <w:suff w:val="tab"/>
      <w:lvlText w:val="￮"/>
      <w:rPr>
        <w:color w:val="3370ff"/>
      </w:rPr>
    </w:lvl>
  </w:abstractNum>
  <w:abstractNum w:abstractNumId="51322">
    <w:lvl>
      <w:numFmt w:val="bullet"/>
      <w:suff w:val="tab"/>
      <w:lvlText w:val="￮"/>
      <w:rPr>
        <w:color w:val="3370ff"/>
      </w:rPr>
    </w:lvl>
  </w:abstractNum>
  <w:abstractNum w:abstractNumId="51323">
    <w:lvl>
      <w:numFmt w:val="bullet"/>
      <w:suff w:val="tab"/>
      <w:lvlText w:val="•"/>
      <w:rPr>
        <w:color w:val="3370ff"/>
      </w:rPr>
    </w:lvl>
  </w:abstractNum>
  <w:abstractNum w:abstractNumId="51324">
    <w:lvl>
      <w:numFmt w:val="bullet"/>
      <w:suff w:val="tab"/>
      <w:lvlText w:val="•"/>
      <w:rPr>
        <w:color w:val="3370ff"/>
      </w:rPr>
    </w:lvl>
  </w:abstractNum>
  <w:abstractNum w:abstractNumId="51325">
    <w:lvl>
      <w:numFmt w:val="bullet"/>
      <w:suff w:val="tab"/>
      <w:lvlText w:val="•"/>
      <w:rPr>
        <w:color w:val="3370ff"/>
      </w:rPr>
    </w:lvl>
  </w:abstractNum>
  <w:abstractNum w:abstractNumId="51326">
    <w:lvl>
      <w:numFmt w:val="bullet"/>
      <w:suff w:val="tab"/>
      <w:lvlText w:val="•"/>
      <w:rPr>
        <w:color w:val="3370ff"/>
      </w:rPr>
    </w:lvl>
  </w:abstractNum>
  <w:abstractNum w:abstractNumId="51327">
    <w:lvl>
      <w:numFmt w:val="bullet"/>
      <w:suff w:val="tab"/>
      <w:lvlText w:val="•"/>
      <w:rPr>
        <w:color w:val="3370ff"/>
      </w:rPr>
    </w:lvl>
  </w:abstractNum>
  <w:abstractNum w:abstractNumId="51328">
    <w:lvl>
      <w:numFmt w:val="bullet"/>
      <w:suff w:val="tab"/>
      <w:lvlText w:val="•"/>
      <w:rPr>
        <w:color w:val="3370ff"/>
      </w:rPr>
    </w:lvl>
  </w:abstractNum>
  <w:abstractNum w:abstractNumId="51329">
    <w:lvl>
      <w:numFmt w:val="bullet"/>
      <w:suff w:val="tab"/>
      <w:lvlText w:val="•"/>
      <w:rPr>
        <w:color w:val="3370ff"/>
      </w:rPr>
    </w:lvl>
  </w:abstractNum>
  <w:abstractNum w:abstractNumId="51330">
    <w:lvl>
      <w:numFmt w:val="bullet"/>
      <w:suff w:val="tab"/>
      <w:lvlText w:val="•"/>
      <w:rPr>
        <w:color w:val="3370ff"/>
      </w:rPr>
    </w:lvl>
  </w:abstractNum>
  <w:abstractNum w:abstractNumId="51331">
    <w:lvl>
      <w:numFmt w:val="bullet"/>
      <w:suff w:val="tab"/>
      <w:lvlText w:val="•"/>
      <w:rPr>
        <w:color w:val="3370ff"/>
      </w:rPr>
    </w:lvl>
  </w:abstractNum>
  <w:abstractNum w:abstractNumId="51332">
    <w:lvl>
      <w:numFmt w:val="bullet"/>
      <w:suff w:val="tab"/>
      <w:lvlText w:val="•"/>
      <w:rPr>
        <w:color w:val="3370ff"/>
      </w:rPr>
    </w:lvl>
  </w:abstractNum>
  <w:abstractNum w:abstractNumId="51333">
    <w:lvl>
      <w:numFmt w:val="bullet"/>
      <w:suff w:val="tab"/>
      <w:lvlText w:val="•"/>
      <w:rPr>
        <w:color w:val="3370ff"/>
      </w:rPr>
    </w:lvl>
  </w:abstractNum>
  <w:abstractNum w:abstractNumId="51334">
    <w:lvl>
      <w:numFmt w:val="bullet"/>
      <w:suff w:val="tab"/>
      <w:lvlText w:val="•"/>
      <w:rPr>
        <w:color w:val="3370ff"/>
      </w:rPr>
    </w:lvl>
  </w:abstractNum>
  <w:abstractNum w:abstractNumId="51335">
    <w:lvl>
      <w:numFmt w:val="bullet"/>
      <w:suff w:val="tab"/>
      <w:lvlText w:val="•"/>
      <w:rPr>
        <w:color w:val="3370ff"/>
      </w:rPr>
    </w:lvl>
  </w:abstractNum>
  <w:abstractNum w:abstractNumId="51336">
    <w:lvl>
      <w:numFmt w:val="bullet"/>
      <w:suff w:val="tab"/>
      <w:lvlText w:val="￮"/>
      <w:rPr>
        <w:color w:val="3370ff"/>
      </w:rPr>
    </w:lvl>
  </w:abstractNum>
  <w:abstractNum w:abstractNumId="51337">
    <w:lvl>
      <w:numFmt w:val="bullet"/>
      <w:suff w:val="tab"/>
      <w:lvlText w:val="￮"/>
      <w:rPr>
        <w:color w:val="3370ff"/>
      </w:rPr>
    </w:lvl>
  </w:abstractNum>
  <w:abstractNum w:abstractNumId="51338">
    <w:lvl>
      <w:numFmt w:val="bullet"/>
      <w:suff w:val="tab"/>
      <w:lvlText w:val="￮"/>
      <w:rPr>
        <w:color w:val="3370ff"/>
      </w:rPr>
    </w:lvl>
  </w:abstractNum>
  <w:abstractNum w:abstractNumId="51339">
    <w:lvl>
      <w:numFmt w:val="bullet"/>
      <w:suff w:val="tab"/>
      <w:lvlText w:val="•"/>
      <w:rPr>
        <w:color w:val="3370ff"/>
      </w:rPr>
    </w:lvl>
  </w:abstractNum>
  <w:abstractNum w:abstractNumId="51340">
    <w:lvl>
      <w:numFmt w:val="bullet"/>
      <w:suff w:val="tab"/>
      <w:lvlText w:val="•"/>
      <w:rPr>
        <w:color w:val="3370ff"/>
      </w:rPr>
    </w:lvl>
  </w:abstractNum>
  <w:abstractNum w:abstractNumId="51341">
    <w:lvl>
      <w:numFmt w:val="bullet"/>
      <w:suff w:val="tab"/>
      <w:lvlText w:val="•"/>
      <w:rPr>
        <w:color w:val="3370ff"/>
      </w:rPr>
    </w:lvl>
  </w:abstractNum>
  <w:abstractNum w:abstractNumId="51342">
    <w:lvl>
      <w:numFmt w:val="bullet"/>
      <w:suff w:val="tab"/>
      <w:lvlText w:val="•"/>
      <w:rPr>
        <w:color w:val="3370ff"/>
      </w:rPr>
    </w:lvl>
  </w:abstractNum>
  <w:abstractNum w:abstractNumId="51343">
    <w:lvl>
      <w:numFmt w:val="bullet"/>
      <w:suff w:val="tab"/>
      <w:lvlText w:val="•"/>
      <w:rPr>
        <w:color w:val="3370ff"/>
      </w:rPr>
    </w:lvl>
  </w:abstractNum>
  <w:abstractNum w:abstractNumId="51344">
    <w:lvl>
      <w:numFmt w:val="bullet"/>
      <w:suff w:val="tab"/>
      <w:lvlText w:val="•"/>
      <w:rPr>
        <w:color w:val="3370ff"/>
      </w:rPr>
    </w:lvl>
  </w:abstractNum>
  <w:abstractNum w:abstractNumId="51345">
    <w:lvl>
      <w:numFmt w:val="bullet"/>
      <w:suff w:val="tab"/>
      <w:lvlText w:val="•"/>
      <w:rPr>
        <w:color w:val="3370ff"/>
      </w:rPr>
    </w:lvl>
  </w:abstractNum>
  <w:abstractNum w:abstractNumId="51346">
    <w:lvl>
      <w:numFmt w:val="bullet"/>
      <w:suff w:val="tab"/>
      <w:lvlText w:val="•"/>
      <w:rPr>
        <w:color w:val="3370ff"/>
      </w:rPr>
    </w:lvl>
  </w:abstractNum>
  <w:abstractNum w:abstractNumId="51347">
    <w:lvl>
      <w:numFmt w:val="bullet"/>
      <w:suff w:val="tab"/>
      <w:lvlText w:val="•"/>
      <w:rPr>
        <w:color w:val="3370ff"/>
      </w:rPr>
    </w:lvl>
  </w:abstractNum>
  <w:abstractNum w:abstractNumId="51348">
    <w:lvl>
      <w:numFmt w:val="bullet"/>
      <w:suff w:val="tab"/>
      <w:lvlText w:val="•"/>
      <w:rPr>
        <w:color w:val="3370ff"/>
      </w:rPr>
    </w:lvl>
  </w:abstractNum>
  <w:abstractNum w:abstractNumId="51349">
    <w:lvl>
      <w:numFmt w:val="bullet"/>
      <w:suff w:val="tab"/>
      <w:lvlText w:val="•"/>
      <w:rPr>
        <w:color w:val="3370ff"/>
      </w:rPr>
    </w:lvl>
  </w:abstractNum>
  <w:abstractNum w:abstractNumId="51350">
    <w:lvl>
      <w:numFmt w:val="bullet"/>
      <w:suff w:val="tab"/>
      <w:lvlText w:val="￮"/>
      <w:rPr>
        <w:color w:val="3370ff"/>
      </w:rPr>
    </w:lvl>
  </w:abstractNum>
  <w:abstractNum w:abstractNumId="51351">
    <w:lvl>
      <w:numFmt w:val="bullet"/>
      <w:suff w:val="tab"/>
      <w:lvlText w:val="￮"/>
      <w:rPr>
        <w:color w:val="3370ff"/>
      </w:rPr>
    </w:lvl>
  </w:abstractNum>
  <w:abstractNum w:abstractNumId="51352">
    <w:lvl>
      <w:numFmt w:val="bullet"/>
      <w:suff w:val="tab"/>
      <w:lvlText w:val="￮"/>
      <w:rPr>
        <w:color w:val="3370ff"/>
      </w:rPr>
    </w:lvl>
  </w:abstractNum>
  <w:abstractNum w:abstractNumId="51353">
    <w:lvl>
      <w:numFmt w:val="bullet"/>
      <w:suff w:val="tab"/>
      <w:lvlText w:val="•"/>
      <w:rPr>
        <w:color w:val="3370ff"/>
      </w:rPr>
    </w:lvl>
  </w:abstractNum>
  <w:abstractNum w:abstractNumId="51354">
    <w:lvl>
      <w:numFmt w:val="bullet"/>
      <w:suff w:val="tab"/>
      <w:lvlText w:val="•"/>
      <w:rPr>
        <w:color w:val="3370ff"/>
      </w:rPr>
    </w:lvl>
  </w:abstractNum>
  <w:abstractNum w:abstractNumId="51355">
    <w:lvl>
      <w:numFmt w:val="bullet"/>
      <w:suff w:val="tab"/>
      <w:lvlText w:val="•"/>
      <w:rPr>
        <w:color w:val="3370ff"/>
      </w:rPr>
    </w:lvl>
  </w:abstractNum>
  <w:abstractNum w:abstractNumId="51356">
    <w:lvl>
      <w:numFmt w:val="bullet"/>
      <w:suff w:val="tab"/>
      <w:lvlText w:val="•"/>
      <w:rPr>
        <w:color w:val="3370ff"/>
      </w:rPr>
    </w:lvl>
  </w:abstractNum>
  <w:abstractNum w:abstractNumId="51357">
    <w:lvl>
      <w:numFmt w:val="bullet"/>
      <w:suff w:val="tab"/>
      <w:lvlText w:val="•"/>
      <w:rPr>
        <w:color w:val="3370ff"/>
      </w:rPr>
    </w:lvl>
  </w:abstractNum>
  <w:abstractNum w:abstractNumId="51358">
    <w:lvl>
      <w:numFmt w:val="bullet"/>
      <w:suff w:val="tab"/>
      <w:lvlText w:val="•"/>
      <w:rPr>
        <w:color w:val="3370ff"/>
      </w:rPr>
    </w:lvl>
  </w:abstractNum>
  <w:abstractNum w:abstractNumId="51359">
    <w:lvl>
      <w:numFmt w:val="bullet"/>
      <w:suff w:val="tab"/>
      <w:lvlText w:val="•"/>
      <w:rPr>
        <w:color w:val="3370ff"/>
      </w:rPr>
    </w:lvl>
  </w:abstractNum>
  <w:abstractNum w:abstractNumId="51360">
    <w:lvl>
      <w:numFmt w:val="bullet"/>
      <w:suff w:val="tab"/>
      <w:lvlText w:val="•"/>
      <w:rPr>
        <w:color w:val="3370ff"/>
      </w:rPr>
    </w:lvl>
  </w:abstractNum>
  <w:abstractNum w:abstractNumId="51361">
    <w:lvl>
      <w:numFmt w:val="bullet"/>
      <w:suff w:val="tab"/>
      <w:lvlText w:val="•"/>
      <w:rPr>
        <w:color w:val="3370ff"/>
      </w:rPr>
    </w:lvl>
  </w:abstractNum>
  <w:abstractNum w:abstractNumId="51362">
    <w:lvl>
      <w:numFmt w:val="bullet"/>
      <w:suff w:val="tab"/>
      <w:lvlText w:val="•"/>
      <w:rPr>
        <w:color w:val="3370ff"/>
      </w:rPr>
    </w:lvl>
  </w:abstractNum>
  <w:abstractNum w:abstractNumId="51363">
    <w:lvl>
      <w:numFmt w:val="bullet"/>
      <w:suff w:val="tab"/>
      <w:lvlText w:val="￮"/>
      <w:rPr>
        <w:color w:val="3370ff"/>
      </w:rPr>
    </w:lvl>
  </w:abstractNum>
  <w:abstractNum w:abstractNumId="51364">
    <w:lvl>
      <w:numFmt w:val="bullet"/>
      <w:suff w:val="tab"/>
      <w:lvlText w:val="￮"/>
      <w:rPr>
        <w:color w:val="3370ff"/>
      </w:rPr>
    </w:lvl>
  </w:abstractNum>
  <w:abstractNum w:abstractNumId="51365">
    <w:lvl>
      <w:numFmt w:val="bullet"/>
      <w:suff w:val="tab"/>
      <w:lvlText w:val="￮"/>
      <w:rPr>
        <w:color w:val="3370ff"/>
      </w:rPr>
    </w:lvl>
  </w:abstractNum>
  <w:abstractNum w:abstractNumId="51366">
    <w:lvl>
      <w:numFmt w:val="bullet"/>
      <w:suff w:val="tab"/>
      <w:lvlText w:val="•"/>
      <w:rPr>
        <w:color w:val="3370ff"/>
      </w:rPr>
    </w:lvl>
  </w:abstractNum>
  <w:abstractNum w:abstractNumId="51367">
    <w:lvl>
      <w:numFmt w:val="bullet"/>
      <w:suff w:val="tab"/>
      <w:lvlText w:val="•"/>
      <w:rPr>
        <w:color w:val="3370ff"/>
      </w:rPr>
    </w:lvl>
  </w:abstractNum>
  <w:abstractNum w:abstractNumId="51368">
    <w:lvl>
      <w:numFmt w:val="bullet"/>
      <w:suff w:val="tab"/>
      <w:lvlText w:val="•"/>
      <w:rPr>
        <w:color w:val="3370ff"/>
      </w:rPr>
    </w:lvl>
  </w:abstractNum>
  <w:abstractNum w:abstractNumId="51369">
    <w:lvl>
      <w:numFmt w:val="bullet"/>
      <w:suff w:val="tab"/>
      <w:lvlText w:val="•"/>
      <w:rPr>
        <w:color w:val="3370ff"/>
      </w:rPr>
    </w:lvl>
  </w:abstractNum>
  <w:abstractNum w:abstractNumId="51370">
    <w:lvl>
      <w:numFmt w:val="bullet"/>
      <w:suff w:val="tab"/>
      <w:lvlText w:val="•"/>
      <w:rPr>
        <w:color w:val="3370ff"/>
      </w:rPr>
    </w:lvl>
  </w:abstractNum>
  <w:abstractNum w:abstractNumId="51371">
    <w:lvl>
      <w:numFmt w:val="bullet"/>
      <w:suff w:val="tab"/>
      <w:lvlText w:val="•"/>
      <w:rPr>
        <w:color w:val="3370ff"/>
      </w:rPr>
    </w:lvl>
  </w:abstractNum>
  <w:abstractNum w:abstractNumId="51372">
    <w:lvl>
      <w:numFmt w:val="bullet"/>
      <w:suff w:val="tab"/>
      <w:lvlText w:val="•"/>
      <w:rPr>
        <w:color w:val="3370ff"/>
      </w:rPr>
    </w:lvl>
  </w:abstractNum>
  <w:abstractNum w:abstractNumId="51373">
    <w:lvl>
      <w:numFmt w:val="bullet"/>
      <w:suff w:val="tab"/>
      <w:lvlText w:val="•"/>
      <w:rPr>
        <w:color w:val="3370ff"/>
      </w:rPr>
    </w:lvl>
  </w:abstractNum>
  <w:abstractNum w:abstractNumId="51374">
    <w:lvl>
      <w:numFmt w:val="bullet"/>
      <w:suff w:val="tab"/>
      <w:lvlText w:val="•"/>
      <w:rPr>
        <w:color w:val="3370ff"/>
      </w:rPr>
    </w:lvl>
  </w:abstractNum>
  <w:abstractNum w:abstractNumId="51375">
    <w:lvl>
      <w:numFmt w:val="bullet"/>
      <w:suff w:val="tab"/>
      <w:lvlText w:val="•"/>
      <w:rPr>
        <w:color w:val="3370ff"/>
      </w:rPr>
    </w:lvl>
  </w:abstractNum>
  <w:abstractNum w:abstractNumId="51376">
    <w:lvl>
      <w:numFmt w:val="bullet"/>
      <w:suff w:val="tab"/>
      <w:lvlText w:val="•"/>
      <w:rPr>
        <w:color w:val="3370ff"/>
      </w:rPr>
    </w:lvl>
  </w:abstractNum>
  <w:abstractNum w:abstractNumId="51377">
    <w:lvl>
      <w:numFmt w:val="bullet"/>
      <w:suff w:val="tab"/>
      <w:lvlText w:val="•"/>
      <w:rPr>
        <w:color w:val="3370ff"/>
      </w:rPr>
    </w:lvl>
  </w:abstractNum>
  <w:abstractNum w:abstractNumId="51378">
    <w:lvl>
      <w:numFmt w:val="bullet"/>
      <w:suff w:val="tab"/>
      <w:lvlText w:val="•"/>
      <w:rPr>
        <w:color w:val="3370ff"/>
      </w:rPr>
    </w:lvl>
  </w:abstractNum>
  <w:abstractNum w:abstractNumId="51379">
    <w:lvl>
      <w:numFmt w:val="bullet"/>
      <w:suff w:val="tab"/>
      <w:lvlText w:val="•"/>
      <w:rPr>
        <w:color w:val="3370ff"/>
      </w:rPr>
    </w:lvl>
  </w:abstractNum>
  <w:abstractNum w:abstractNumId="51380">
    <w:lvl>
      <w:numFmt w:val="bullet"/>
      <w:suff w:val="tab"/>
      <w:lvlText w:val="￮"/>
      <w:rPr>
        <w:color w:val="3370ff"/>
      </w:rPr>
    </w:lvl>
  </w:abstractNum>
  <w:abstractNum w:abstractNumId="51381">
    <w:lvl>
      <w:numFmt w:val="bullet"/>
      <w:suff w:val="tab"/>
      <w:lvlText w:val="￮"/>
      <w:rPr>
        <w:color w:val="3370ff"/>
      </w:rPr>
    </w:lvl>
  </w:abstractNum>
  <w:abstractNum w:abstractNumId="51382">
    <w:lvl>
      <w:numFmt w:val="bullet"/>
      <w:suff w:val="tab"/>
      <w:lvlText w:val="•"/>
      <w:rPr>
        <w:color w:val="3370ff"/>
      </w:rPr>
    </w:lvl>
  </w:abstractNum>
  <w:abstractNum w:abstractNumId="51383">
    <w:lvl>
      <w:numFmt w:val="bullet"/>
      <w:suff w:val="tab"/>
      <w:lvlText w:val="￮"/>
      <w:rPr>
        <w:color w:val="3370ff"/>
      </w:rPr>
    </w:lvl>
  </w:abstractNum>
  <w:abstractNum w:abstractNumId="51384">
    <w:lvl>
      <w:numFmt w:val="bullet"/>
      <w:suff w:val="tab"/>
      <w:lvlText w:val="￮"/>
      <w:rPr>
        <w:color w:val="3370ff"/>
      </w:rPr>
    </w:lvl>
  </w:abstractNum>
  <w:abstractNum w:abstractNumId="51385">
    <w:lvl>
      <w:numFmt w:val="bullet"/>
      <w:suff w:val="tab"/>
      <w:lvlText w:val="•"/>
      <w:rPr>
        <w:color w:val="3370ff"/>
      </w:rPr>
    </w:lvl>
  </w:abstractNum>
  <w:abstractNum w:abstractNumId="51386">
    <w:lvl>
      <w:numFmt w:val="bullet"/>
      <w:suff w:val="tab"/>
      <w:lvlText w:val="•"/>
      <w:rPr>
        <w:color w:val="3370ff"/>
      </w:rPr>
    </w:lvl>
  </w:abstractNum>
  <w:abstractNum w:abstractNumId="51387">
    <w:lvl>
      <w:numFmt w:val="bullet"/>
      <w:suff w:val="tab"/>
      <w:lvlText w:val="•"/>
      <w:rPr>
        <w:color w:val="3370ff"/>
      </w:rPr>
    </w:lvl>
  </w:abstractNum>
  <w:abstractNum w:abstractNumId="51388">
    <w:lvl>
      <w:numFmt w:val="bullet"/>
      <w:suff w:val="tab"/>
      <w:lvlText w:val="•"/>
      <w:rPr>
        <w:color w:val="3370ff"/>
      </w:rPr>
    </w:lvl>
  </w:abstractNum>
  <w:abstractNum w:abstractNumId="51389">
    <w:lvl>
      <w:numFmt w:val="bullet"/>
      <w:suff w:val="tab"/>
      <w:lvlText w:val="•"/>
      <w:rPr>
        <w:color w:val="3370ff"/>
      </w:rPr>
    </w:lvl>
  </w:abstractNum>
  <w:abstractNum w:abstractNumId="51390">
    <w:lvl>
      <w:numFmt w:val="bullet"/>
      <w:suff w:val="tab"/>
      <w:lvlText w:val="•"/>
      <w:rPr>
        <w:color w:val="3370ff"/>
      </w:rPr>
    </w:lvl>
  </w:abstractNum>
  <w:abstractNum w:abstractNumId="51391">
    <w:lvl>
      <w:numFmt w:val="bullet"/>
      <w:suff w:val="tab"/>
      <w:lvlText w:val="•"/>
      <w:rPr>
        <w:color w:val="3370ff"/>
      </w:rPr>
    </w:lvl>
  </w:abstractNum>
  <w:abstractNum w:abstractNumId="51392">
    <w:lvl>
      <w:numFmt w:val="bullet"/>
      <w:suff w:val="tab"/>
      <w:lvlText w:val="￮"/>
      <w:rPr>
        <w:color w:val="3370ff"/>
      </w:rPr>
    </w:lvl>
  </w:abstractNum>
  <w:abstractNum w:abstractNumId="51393">
    <w:lvl>
      <w:numFmt w:val="bullet"/>
      <w:suff w:val="tab"/>
      <w:lvlText w:val="￮"/>
      <w:rPr>
        <w:color w:val="3370ff"/>
      </w:rPr>
    </w:lvl>
  </w:abstractNum>
  <w:abstractNum w:abstractNumId="51394">
    <w:lvl>
      <w:numFmt w:val="bullet"/>
      <w:suff w:val="tab"/>
      <w:lvlText w:val="￮"/>
      <w:rPr>
        <w:color w:val="3370ff"/>
      </w:rPr>
    </w:lvl>
  </w:abstractNum>
  <w:abstractNum w:abstractNumId="51395">
    <w:lvl>
      <w:numFmt w:val="bullet"/>
      <w:suff w:val="tab"/>
      <w:lvlText w:val="•"/>
      <w:rPr>
        <w:color w:val="3370ff"/>
      </w:rPr>
    </w:lvl>
  </w:abstractNum>
  <w:abstractNum w:abstractNumId="51396">
    <w:lvl>
      <w:numFmt w:val="bullet"/>
      <w:suff w:val="tab"/>
      <w:lvlText w:val="•"/>
      <w:rPr>
        <w:color w:val="3370ff"/>
      </w:rPr>
    </w:lvl>
  </w:abstractNum>
  <w:abstractNum w:abstractNumId="51397">
    <w:lvl>
      <w:numFmt w:val="bullet"/>
      <w:suff w:val="tab"/>
      <w:lvlText w:val="•"/>
      <w:rPr>
        <w:color w:val="3370ff"/>
      </w:rPr>
    </w:lvl>
  </w:abstractNum>
  <w:abstractNum w:abstractNumId="51398">
    <w:lvl>
      <w:numFmt w:val="bullet"/>
      <w:suff w:val="tab"/>
      <w:lvlText w:val="•"/>
      <w:rPr>
        <w:color w:val="3370ff"/>
      </w:rPr>
    </w:lvl>
  </w:abstractNum>
  <w:abstractNum w:abstractNumId="51399">
    <w:lvl>
      <w:numFmt w:val="bullet"/>
      <w:suff w:val="tab"/>
      <w:lvlText w:val="•"/>
      <w:rPr>
        <w:color w:val="3370ff"/>
      </w:rPr>
    </w:lvl>
  </w:abstractNum>
  <w:abstractNum w:abstractNumId="51400">
    <w:lvl>
      <w:numFmt w:val="bullet"/>
      <w:suff w:val="tab"/>
      <w:lvlText w:val="￮"/>
      <w:rPr>
        <w:color w:val="3370ff"/>
      </w:rPr>
    </w:lvl>
  </w:abstractNum>
  <w:abstractNum w:abstractNumId="51401">
    <w:lvl>
      <w:numFmt w:val="bullet"/>
      <w:suff w:val="tab"/>
      <w:lvlText w:val="￮"/>
      <w:rPr>
        <w:color w:val="3370ff"/>
      </w:rPr>
    </w:lvl>
  </w:abstractNum>
  <w:abstractNum w:abstractNumId="51402">
    <w:lvl>
      <w:numFmt w:val="bullet"/>
      <w:suff w:val="tab"/>
      <w:lvlText w:val="•"/>
      <w:rPr>
        <w:color w:val="3370ff"/>
      </w:rPr>
    </w:lvl>
  </w:abstractNum>
  <w:abstractNum w:abstractNumId="51403">
    <w:lvl>
      <w:numFmt w:val="bullet"/>
      <w:suff w:val="tab"/>
      <w:lvlText w:val="•"/>
      <w:rPr>
        <w:color w:val="3370ff"/>
      </w:rPr>
    </w:lvl>
  </w:abstractNum>
  <w:abstractNum w:abstractNumId="51404">
    <w:lvl>
      <w:numFmt w:val="bullet"/>
      <w:suff w:val="tab"/>
      <w:lvlText w:val="•"/>
      <w:rPr>
        <w:color w:val="3370ff"/>
      </w:rPr>
    </w:lvl>
  </w:abstractNum>
  <w:abstractNum w:abstractNumId="51405">
    <w:lvl>
      <w:numFmt w:val="bullet"/>
      <w:suff w:val="tab"/>
      <w:lvlText w:val="•"/>
      <w:rPr>
        <w:color w:val="3370ff"/>
      </w:rPr>
    </w:lvl>
  </w:abstractNum>
  <w:abstractNum w:abstractNumId="51406">
    <w:lvl>
      <w:numFmt w:val="bullet"/>
      <w:suff w:val="tab"/>
      <w:lvlText w:val="•"/>
      <w:rPr>
        <w:color w:val="3370ff"/>
      </w:rPr>
    </w:lvl>
  </w:abstractNum>
  <w:abstractNum w:abstractNumId="51407">
    <w:lvl>
      <w:numFmt w:val="bullet"/>
      <w:suff w:val="tab"/>
      <w:lvlText w:val="•"/>
      <w:rPr>
        <w:color w:val="3370ff"/>
      </w:rPr>
    </w:lvl>
  </w:abstractNum>
  <w:abstractNum w:abstractNumId="51408">
    <w:lvl>
      <w:numFmt w:val="bullet"/>
      <w:suff w:val="tab"/>
      <w:lvlText w:val="•"/>
      <w:rPr>
        <w:color w:val="3370ff"/>
      </w:rPr>
    </w:lvl>
  </w:abstractNum>
  <w:abstractNum w:abstractNumId="51409">
    <w:lvl>
      <w:numFmt w:val="bullet"/>
      <w:suff w:val="tab"/>
      <w:lvlText w:val="•"/>
      <w:rPr>
        <w:color w:val="3370ff"/>
      </w:rPr>
    </w:lvl>
  </w:abstractNum>
  <w:abstractNum w:abstractNumId="51410">
    <w:lvl>
      <w:numFmt w:val="bullet"/>
      <w:suff w:val="tab"/>
      <w:lvlText w:val="•"/>
      <w:rPr>
        <w:color w:val="3370ff"/>
      </w:rPr>
    </w:lvl>
  </w:abstractNum>
  <w:abstractNum w:abstractNumId="51411">
    <w:lvl>
      <w:numFmt w:val="bullet"/>
      <w:suff w:val="tab"/>
      <w:lvlText w:val="•"/>
      <w:rPr>
        <w:color w:val="3370ff"/>
      </w:rPr>
    </w:lvl>
  </w:abstractNum>
  <w:abstractNum w:abstractNumId="51412">
    <w:lvl>
      <w:numFmt w:val="bullet"/>
      <w:suff w:val="tab"/>
      <w:lvlText w:val="•"/>
      <w:rPr>
        <w:color w:val="3370ff"/>
      </w:rPr>
    </w:lvl>
  </w:abstractNum>
  <w:abstractNum w:abstractNumId="51413">
    <w:lvl>
      <w:numFmt w:val="bullet"/>
      <w:suff w:val="tab"/>
      <w:lvlText w:val="•"/>
      <w:rPr>
        <w:color w:val="3370ff"/>
      </w:rPr>
    </w:lvl>
  </w:abstractNum>
  <w:abstractNum w:abstractNumId="51414">
    <w:lvl>
      <w:numFmt w:val="bullet"/>
      <w:suff w:val="tab"/>
      <w:lvlText w:val="•"/>
      <w:rPr>
        <w:color w:val="3370ff"/>
      </w:rPr>
    </w:lvl>
  </w:abstractNum>
  <w:abstractNum w:abstractNumId="51415">
    <w:lvl>
      <w:numFmt w:val="bullet"/>
      <w:suff w:val="tab"/>
      <w:lvlText w:val="￮"/>
      <w:rPr>
        <w:color w:val="3370ff"/>
      </w:rPr>
    </w:lvl>
  </w:abstractNum>
  <w:abstractNum w:abstractNumId="51416">
    <w:lvl>
      <w:numFmt w:val="bullet"/>
      <w:suff w:val="tab"/>
      <w:lvlText w:val="￮"/>
      <w:rPr>
        <w:color w:val="3370ff"/>
      </w:rPr>
    </w:lvl>
  </w:abstractNum>
  <w:abstractNum w:abstractNumId="51417">
    <w:lvl>
      <w:numFmt w:val="bullet"/>
      <w:suff w:val="tab"/>
      <w:lvlText w:val="•"/>
      <w:rPr>
        <w:color w:val="3370ff"/>
      </w:rPr>
    </w:lvl>
  </w:abstractNum>
  <w:abstractNum w:abstractNumId="51418">
    <w:lvl>
      <w:numFmt w:val="bullet"/>
      <w:suff w:val="tab"/>
      <w:lvlText w:val="•"/>
      <w:rPr>
        <w:color w:val="3370ff"/>
      </w:rPr>
    </w:lvl>
  </w:abstractNum>
  <w:abstractNum w:abstractNumId="51419">
    <w:lvl>
      <w:numFmt w:val="bullet"/>
      <w:suff w:val="tab"/>
      <w:lvlText w:val="•"/>
      <w:rPr>
        <w:color w:val="3370ff"/>
      </w:rPr>
    </w:lvl>
  </w:abstractNum>
  <w:abstractNum w:abstractNumId="51420">
    <w:lvl>
      <w:numFmt w:val="bullet"/>
      <w:suff w:val="tab"/>
      <w:lvlText w:val="•"/>
      <w:rPr>
        <w:color w:val="3370ff"/>
      </w:rPr>
    </w:lvl>
  </w:abstractNum>
  <w:abstractNum w:abstractNumId="51421">
    <w:lvl>
      <w:numFmt w:val="bullet"/>
      <w:suff w:val="tab"/>
      <w:lvlText w:val="•"/>
      <w:rPr>
        <w:color w:val="3370ff"/>
      </w:rPr>
    </w:lvl>
  </w:abstractNum>
  <w:abstractNum w:abstractNumId="51422">
    <w:lvl>
      <w:numFmt w:val="bullet"/>
      <w:suff w:val="tab"/>
      <w:lvlText w:val="•"/>
      <w:rPr>
        <w:color w:val="3370ff"/>
      </w:rPr>
    </w:lvl>
  </w:abstractNum>
  <w:abstractNum w:abstractNumId="51423">
    <w:lvl>
      <w:numFmt w:val="bullet"/>
      <w:suff w:val="tab"/>
      <w:lvlText w:val="•"/>
      <w:rPr>
        <w:color w:val="3370ff"/>
      </w:rPr>
    </w:lvl>
  </w:abstractNum>
  <w:abstractNum w:abstractNumId="51424">
    <w:lvl>
      <w:numFmt w:val="bullet"/>
      <w:suff w:val="tab"/>
      <w:lvlText w:val="•"/>
      <w:rPr>
        <w:color w:val="3370ff"/>
      </w:rPr>
    </w:lvl>
  </w:abstractNum>
  <w:abstractNum w:abstractNumId="51425">
    <w:lvl>
      <w:numFmt w:val="bullet"/>
      <w:suff w:val="tab"/>
      <w:lvlText w:val="•"/>
      <w:rPr>
        <w:color w:val="3370ff"/>
      </w:rPr>
    </w:lvl>
  </w:abstractNum>
  <w:abstractNum w:abstractNumId="51426">
    <w:lvl>
      <w:numFmt w:val="bullet"/>
      <w:suff w:val="tab"/>
      <w:lvlText w:val="•"/>
      <w:rPr>
        <w:color w:val="3370ff"/>
      </w:rPr>
    </w:lvl>
  </w:abstractNum>
  <w:abstractNum w:abstractNumId="51427">
    <w:lvl>
      <w:numFmt w:val="bullet"/>
      <w:suff w:val="tab"/>
      <w:lvlText w:val="•"/>
      <w:rPr>
        <w:color w:val="3370ff"/>
      </w:rPr>
    </w:lvl>
  </w:abstractNum>
  <w:abstractNum w:abstractNumId="51428">
    <w:lvl>
      <w:numFmt w:val="bullet"/>
      <w:suff w:val="tab"/>
      <w:lvlText w:val="•"/>
      <w:rPr>
        <w:color w:val="3370ff"/>
      </w:rPr>
    </w:lvl>
  </w:abstractNum>
  <w:abstractNum w:abstractNumId="51429">
    <w:lvl>
      <w:numFmt w:val="bullet"/>
      <w:suff w:val="tab"/>
      <w:lvlText w:val="•"/>
      <w:rPr>
        <w:color w:val="3370ff"/>
      </w:rPr>
    </w:lvl>
  </w:abstractNum>
  <w:abstractNum w:abstractNumId="51430">
    <w:lvl>
      <w:numFmt w:val="bullet"/>
      <w:suff w:val="tab"/>
      <w:lvlText w:val="•"/>
      <w:rPr>
        <w:color w:val="3370ff"/>
      </w:rPr>
    </w:lvl>
  </w:abstractNum>
  <w:abstractNum w:abstractNumId="51431">
    <w:lvl>
      <w:numFmt w:val="bullet"/>
      <w:suff w:val="tab"/>
      <w:lvlText w:val="•"/>
      <w:rPr>
        <w:color w:val="3370ff"/>
      </w:rPr>
    </w:lvl>
  </w:abstractNum>
  <w:abstractNum w:abstractNumId="51432">
    <w:lvl>
      <w:numFmt w:val="bullet"/>
      <w:suff w:val="tab"/>
      <w:lvlText w:val="•"/>
      <w:rPr>
        <w:color w:val="3370ff"/>
      </w:rPr>
    </w:lvl>
  </w:abstractNum>
  <w:abstractNum w:abstractNumId="51433">
    <w:lvl>
      <w:numFmt w:val="bullet"/>
      <w:suff w:val="tab"/>
      <w:lvlText w:val="•"/>
      <w:rPr>
        <w:color w:val="3370ff"/>
      </w:rPr>
    </w:lvl>
  </w:abstractNum>
  <w:abstractNum w:abstractNumId="51434">
    <w:lvl>
      <w:numFmt w:val="bullet"/>
      <w:suff w:val="tab"/>
      <w:lvlText w:val="•"/>
      <w:rPr>
        <w:color w:val="3370ff"/>
      </w:rPr>
    </w:lvl>
  </w:abstractNum>
  <w:abstractNum w:abstractNumId="51435">
    <w:lvl>
      <w:numFmt w:val="bullet"/>
      <w:suff w:val="tab"/>
      <w:lvlText w:val="•"/>
      <w:rPr>
        <w:color w:val="3370ff"/>
      </w:rPr>
    </w:lvl>
  </w:abstractNum>
  <w:abstractNum w:abstractNumId="51436">
    <w:lvl>
      <w:numFmt w:val="bullet"/>
      <w:suff w:val="tab"/>
      <w:lvlText w:val="•"/>
      <w:rPr>
        <w:color w:val="3370ff"/>
      </w:rPr>
    </w:lvl>
  </w:abstractNum>
  <w:abstractNum w:abstractNumId="51437">
    <w:lvl>
      <w:numFmt w:val="bullet"/>
      <w:suff w:val="tab"/>
      <w:lvlText w:val="￮"/>
      <w:rPr>
        <w:color w:val="3370ff"/>
      </w:rPr>
    </w:lvl>
  </w:abstractNum>
  <w:abstractNum w:abstractNumId="51438">
    <w:lvl>
      <w:numFmt w:val="bullet"/>
      <w:suff w:val="tab"/>
      <w:lvlText w:val="•"/>
      <w:rPr>
        <w:color w:val="3370ff"/>
      </w:rPr>
    </w:lvl>
  </w:abstractNum>
  <w:abstractNum w:abstractNumId="51439">
    <w:lvl>
      <w:numFmt w:val="bullet"/>
      <w:suff w:val="tab"/>
      <w:lvlText w:val="•"/>
      <w:rPr>
        <w:color w:val="3370ff"/>
      </w:rPr>
    </w:lvl>
  </w:abstractNum>
  <w:abstractNum w:abstractNumId="51440">
    <w:lvl>
      <w:numFmt w:val="bullet"/>
      <w:suff w:val="tab"/>
      <w:lvlText w:val="•"/>
      <w:rPr>
        <w:color w:val="3370ff"/>
      </w:rPr>
    </w:lvl>
  </w:abstractNum>
  <w:abstractNum w:abstractNumId="51441">
    <w:lvl>
      <w:numFmt w:val="bullet"/>
      <w:suff w:val="tab"/>
      <w:lvlText w:val="•"/>
      <w:rPr>
        <w:color w:val="3370ff"/>
      </w:rPr>
    </w:lvl>
  </w:abstractNum>
  <w:abstractNum w:abstractNumId="51442">
    <w:lvl>
      <w:numFmt w:val="bullet"/>
      <w:suff w:val="tab"/>
      <w:lvlText w:val="•"/>
      <w:rPr>
        <w:color w:val="3370ff"/>
      </w:rPr>
    </w:lvl>
  </w:abstractNum>
  <w:abstractNum w:abstractNumId="51443">
    <w:lvl>
      <w:numFmt w:val="bullet"/>
      <w:suff w:val="tab"/>
      <w:lvlText w:val="•"/>
      <w:rPr>
        <w:color w:val="3370ff"/>
      </w:rPr>
    </w:lvl>
  </w:abstractNum>
  <w:abstractNum w:abstractNumId="51444">
    <w:lvl>
      <w:numFmt w:val="bullet"/>
      <w:suff w:val="tab"/>
      <w:lvlText w:val="•"/>
      <w:rPr>
        <w:color w:val="3370ff"/>
      </w:rPr>
    </w:lvl>
  </w:abstractNum>
  <w:abstractNum w:abstractNumId="51445">
    <w:lvl>
      <w:numFmt w:val="bullet"/>
      <w:suff w:val="tab"/>
      <w:lvlText w:val="•"/>
      <w:rPr>
        <w:color w:val="3370ff"/>
      </w:rPr>
    </w:lvl>
  </w:abstractNum>
  <w:abstractNum w:abstractNumId="51446">
    <w:lvl>
      <w:numFmt w:val="bullet"/>
      <w:suff w:val="tab"/>
      <w:lvlText w:val="•"/>
      <w:rPr>
        <w:color w:val="3370ff"/>
      </w:rPr>
    </w:lvl>
  </w:abstractNum>
  <w:abstractNum w:abstractNumId="51447">
    <w:lvl>
      <w:numFmt w:val="bullet"/>
      <w:suff w:val="tab"/>
      <w:lvlText w:val="•"/>
      <w:rPr>
        <w:color w:val="3370ff"/>
      </w:rPr>
    </w:lvl>
  </w:abstractNum>
  <w:abstractNum w:abstractNumId="51448">
    <w:lvl>
      <w:numFmt w:val="bullet"/>
      <w:suff w:val="tab"/>
      <w:lvlText w:val="•"/>
      <w:rPr>
        <w:color w:val="3370ff"/>
      </w:rPr>
    </w:lvl>
  </w:abstractNum>
  <w:abstractNum w:abstractNumId="51449">
    <w:lvl>
      <w:numFmt w:val="bullet"/>
      <w:suff w:val="tab"/>
      <w:lvlText w:val="•"/>
      <w:rPr>
        <w:color w:val="3370ff"/>
      </w:rPr>
    </w:lvl>
  </w:abstractNum>
  <w:abstractNum w:abstractNumId="51450">
    <w:lvl>
      <w:numFmt w:val="bullet"/>
      <w:suff w:val="tab"/>
      <w:lvlText w:val="•"/>
      <w:rPr>
        <w:color w:val="3370ff"/>
      </w:rPr>
    </w:lvl>
  </w:abstractNum>
  <w:abstractNum w:abstractNumId="51451">
    <w:lvl>
      <w:numFmt w:val="bullet"/>
      <w:suff w:val="tab"/>
      <w:lvlText w:val="•"/>
      <w:rPr>
        <w:color w:val="3370ff"/>
      </w:rPr>
    </w:lvl>
  </w:abstractNum>
  <w:abstractNum w:abstractNumId="51452">
    <w:lvl>
      <w:numFmt w:val="bullet"/>
      <w:suff w:val="tab"/>
      <w:lvlText w:val="•"/>
      <w:rPr>
        <w:color w:val="3370ff"/>
      </w:rPr>
    </w:lvl>
  </w:abstractNum>
  <w:abstractNum w:abstractNumId="51453">
    <w:lvl>
      <w:numFmt w:val="bullet"/>
      <w:suff w:val="tab"/>
      <w:lvlText w:val="•"/>
      <w:rPr>
        <w:color w:val="3370ff"/>
      </w:rPr>
    </w:lvl>
  </w:abstractNum>
  <w:abstractNum w:abstractNumId="51454">
    <w:lvl>
      <w:numFmt w:val="bullet"/>
      <w:suff w:val="tab"/>
      <w:lvlText w:val="•"/>
      <w:rPr>
        <w:color w:val="3370ff"/>
      </w:rPr>
    </w:lvl>
  </w:abstractNum>
  <w:abstractNum w:abstractNumId="51455">
    <w:lvl>
      <w:numFmt w:val="bullet"/>
      <w:suff w:val="tab"/>
      <w:lvlText w:val="•"/>
      <w:rPr>
        <w:color w:val="3370ff"/>
      </w:rPr>
    </w:lvl>
  </w:abstractNum>
  <w:abstractNum w:abstractNumId="51456">
    <w:lvl>
      <w:numFmt w:val="bullet"/>
      <w:suff w:val="tab"/>
      <w:lvlText w:val="•"/>
      <w:rPr>
        <w:color w:val="3370ff"/>
      </w:rPr>
    </w:lvl>
  </w:abstractNum>
  <w:abstractNum w:abstractNumId="51457">
    <w:lvl>
      <w:numFmt w:val="bullet"/>
      <w:suff w:val="tab"/>
      <w:lvlText w:val="•"/>
      <w:rPr>
        <w:color w:val="3370ff"/>
      </w:rPr>
    </w:lvl>
  </w:abstractNum>
  <w:abstractNum w:abstractNumId="51458">
    <w:lvl>
      <w:numFmt w:val="bullet"/>
      <w:suff w:val="tab"/>
      <w:lvlText w:val="￮"/>
      <w:rPr>
        <w:color w:val="3370ff"/>
      </w:rPr>
    </w:lvl>
  </w:abstractNum>
  <w:abstractNum w:abstractNumId="51459">
    <w:lvl>
      <w:numFmt w:val="bullet"/>
      <w:suff w:val="tab"/>
      <w:lvlText w:val="￮"/>
      <w:rPr>
        <w:color w:val="3370ff"/>
      </w:rPr>
    </w:lvl>
  </w:abstractNum>
  <w:abstractNum w:abstractNumId="51460">
    <w:lvl>
      <w:numFmt w:val="bullet"/>
      <w:suff w:val="tab"/>
      <w:lvlText w:val="•"/>
      <w:rPr>
        <w:color w:val="3370ff"/>
      </w:rPr>
    </w:lvl>
  </w:abstractNum>
  <w:abstractNum w:abstractNumId="51461">
    <w:lvl>
      <w:numFmt w:val="bullet"/>
      <w:suff w:val="tab"/>
      <w:lvlText w:val="•"/>
      <w:rPr>
        <w:color w:val="3370ff"/>
      </w:rPr>
    </w:lvl>
  </w:abstractNum>
  <w:abstractNum w:abstractNumId="51462">
    <w:lvl>
      <w:numFmt w:val="bullet"/>
      <w:suff w:val="tab"/>
      <w:lvlText w:val="•"/>
      <w:rPr>
        <w:color w:val="3370ff"/>
      </w:rPr>
    </w:lvl>
  </w:abstractNum>
  <w:abstractNum w:abstractNumId="51463">
    <w:lvl>
      <w:numFmt w:val="bullet"/>
      <w:suff w:val="tab"/>
      <w:lvlText w:val="•"/>
      <w:rPr>
        <w:color w:val="3370ff"/>
      </w:rPr>
    </w:lvl>
  </w:abstractNum>
  <w:abstractNum w:abstractNumId="51464">
    <w:lvl>
      <w:numFmt w:val="bullet"/>
      <w:suff w:val="tab"/>
      <w:lvlText w:val="•"/>
      <w:rPr>
        <w:color w:val="3370ff"/>
      </w:rPr>
    </w:lvl>
  </w:abstractNum>
  <w:abstractNum w:abstractNumId="51465">
    <w:lvl>
      <w:numFmt w:val="bullet"/>
      <w:suff w:val="tab"/>
      <w:lvlText w:val="•"/>
      <w:rPr>
        <w:color w:val="3370ff"/>
      </w:rPr>
    </w:lvl>
  </w:abstractNum>
  <w:abstractNum w:abstractNumId="51466">
    <w:lvl>
      <w:numFmt w:val="bullet"/>
      <w:suff w:val="tab"/>
      <w:lvlText w:val="•"/>
      <w:rPr>
        <w:color w:val="3370ff"/>
      </w:rPr>
    </w:lvl>
  </w:abstractNum>
  <w:abstractNum w:abstractNumId="51467">
    <w:lvl>
      <w:numFmt w:val="bullet"/>
      <w:suff w:val="tab"/>
      <w:lvlText w:val="•"/>
      <w:rPr>
        <w:color w:val="3370ff"/>
      </w:rPr>
    </w:lvl>
  </w:abstractNum>
  <w:abstractNum w:abstractNumId="51468">
    <w:lvl>
      <w:numFmt w:val="bullet"/>
      <w:suff w:val="tab"/>
      <w:lvlText w:val="•"/>
      <w:rPr>
        <w:color w:val="3370ff"/>
      </w:rPr>
    </w:lvl>
  </w:abstractNum>
  <w:abstractNum w:abstractNumId="51469">
    <w:lvl>
      <w:numFmt w:val="bullet"/>
      <w:suff w:val="tab"/>
      <w:lvlText w:val="•"/>
      <w:rPr>
        <w:color w:val="3370ff"/>
      </w:rPr>
    </w:lvl>
  </w:abstractNum>
  <w:abstractNum w:abstractNumId="51470">
    <w:lvl>
      <w:numFmt w:val="bullet"/>
      <w:suff w:val="tab"/>
      <w:lvlText w:val="•"/>
      <w:rPr>
        <w:color w:val="3370ff"/>
      </w:rPr>
    </w:lvl>
  </w:abstractNum>
  <w:abstractNum w:abstractNumId="51471">
    <w:lvl>
      <w:numFmt w:val="bullet"/>
      <w:suff w:val="tab"/>
      <w:lvlText w:val="￮"/>
      <w:rPr>
        <w:color w:val="3370ff"/>
      </w:rPr>
    </w:lvl>
  </w:abstractNum>
  <w:abstractNum w:abstractNumId="51472">
    <w:lvl>
      <w:numFmt w:val="bullet"/>
      <w:suff w:val="tab"/>
      <w:lvlText w:val="•"/>
      <w:rPr>
        <w:color w:val="3370ff"/>
      </w:rPr>
    </w:lvl>
  </w:abstractNum>
  <w:abstractNum w:abstractNumId="51473">
    <w:lvl>
      <w:numFmt w:val="bullet"/>
      <w:suff w:val="tab"/>
      <w:lvlText w:val="•"/>
      <w:rPr>
        <w:color w:val="3370ff"/>
      </w:rPr>
    </w:lvl>
  </w:abstractNum>
  <w:abstractNum w:abstractNumId="51474">
    <w:lvl>
      <w:numFmt w:val="bullet"/>
      <w:suff w:val="tab"/>
      <w:lvlText w:val="•"/>
      <w:rPr>
        <w:color w:val="3370ff"/>
      </w:rPr>
    </w:lvl>
  </w:abstractNum>
  <w:abstractNum w:abstractNumId="51475">
    <w:lvl>
      <w:numFmt w:val="bullet"/>
      <w:suff w:val="tab"/>
      <w:lvlText w:val="•"/>
      <w:rPr>
        <w:color w:val="3370ff"/>
      </w:rPr>
    </w:lvl>
  </w:abstractNum>
  <w:abstractNum w:abstractNumId="51476">
    <w:lvl>
      <w:numFmt w:val="bullet"/>
      <w:suff w:val="tab"/>
      <w:lvlText w:val="•"/>
      <w:rPr>
        <w:color w:val="3370ff"/>
      </w:rPr>
    </w:lvl>
  </w:abstractNum>
  <w:abstractNum w:abstractNumId="51477">
    <w:lvl>
      <w:numFmt w:val="bullet"/>
      <w:suff w:val="tab"/>
      <w:lvlText w:val="￮"/>
      <w:rPr>
        <w:color w:val="3370ff"/>
      </w:rPr>
    </w:lvl>
  </w:abstractNum>
  <w:abstractNum w:abstractNumId="51478">
    <w:lvl>
      <w:numFmt w:val="bullet"/>
      <w:suff w:val="tab"/>
      <w:lvlText w:val="￮"/>
      <w:rPr>
        <w:color w:val="3370ff"/>
      </w:rPr>
    </w:lvl>
  </w:abstractNum>
  <w:abstractNum w:abstractNumId="51479">
    <w:lvl>
      <w:numFmt w:val="bullet"/>
      <w:suff w:val="tab"/>
      <w:lvlText w:val="￮"/>
      <w:rPr>
        <w:color w:val="3370ff"/>
      </w:rPr>
    </w:lvl>
  </w:abstractNum>
  <w:abstractNum w:abstractNumId="51480">
    <w:lvl>
      <w:numFmt w:val="bullet"/>
      <w:suff w:val="tab"/>
      <w:lvlText w:val="￮"/>
      <w:rPr>
        <w:color w:val="3370ff"/>
      </w:rPr>
    </w:lvl>
  </w:abstractNum>
  <w:abstractNum w:abstractNumId="51481">
    <w:lvl>
      <w:numFmt w:val="bullet"/>
      <w:suff w:val="tab"/>
      <w:lvlText w:val="•"/>
      <w:rPr>
        <w:color w:val="3370ff"/>
      </w:rPr>
    </w:lvl>
  </w:abstractNum>
  <w:abstractNum w:abstractNumId="51482">
    <w:lvl>
      <w:numFmt w:val="bullet"/>
      <w:suff w:val="tab"/>
      <w:lvlText w:val="•"/>
      <w:rPr>
        <w:color w:val="3370ff"/>
      </w:rPr>
    </w:lvl>
  </w:abstractNum>
  <w:abstractNum w:abstractNumId="51483">
    <w:lvl>
      <w:numFmt w:val="bullet"/>
      <w:suff w:val="tab"/>
      <w:lvlText w:val="•"/>
      <w:rPr>
        <w:color w:val="3370ff"/>
      </w:rPr>
    </w:lvl>
  </w:abstractNum>
  <w:abstractNum w:abstractNumId="51484">
    <w:lvl>
      <w:numFmt w:val="bullet"/>
      <w:suff w:val="tab"/>
      <w:lvlText w:val="•"/>
      <w:rPr>
        <w:color w:val="3370ff"/>
      </w:rPr>
    </w:lvl>
  </w:abstractNum>
  <w:abstractNum w:abstractNumId="51485">
    <w:lvl>
      <w:numFmt w:val="bullet"/>
      <w:suff w:val="tab"/>
      <w:lvlText w:val="•"/>
      <w:rPr>
        <w:color w:val="3370ff"/>
      </w:rPr>
    </w:lvl>
  </w:abstractNum>
  <w:abstractNum w:abstractNumId="51486">
    <w:lvl>
      <w:numFmt w:val="bullet"/>
      <w:suff w:val="tab"/>
      <w:lvlText w:val="•"/>
      <w:rPr>
        <w:color w:val="3370ff"/>
      </w:rPr>
    </w:lvl>
  </w:abstractNum>
  <w:abstractNum w:abstractNumId="51487">
    <w:lvl>
      <w:numFmt w:val="bullet"/>
      <w:suff w:val="tab"/>
      <w:lvlText w:val="•"/>
      <w:rPr>
        <w:color w:val="3370ff"/>
      </w:rPr>
    </w:lvl>
  </w:abstractNum>
  <w:abstractNum w:abstractNumId="51488">
    <w:lvl>
      <w:numFmt w:val="bullet"/>
      <w:suff w:val="tab"/>
      <w:lvlText w:val="•"/>
      <w:rPr>
        <w:color w:val="3370ff"/>
      </w:rPr>
    </w:lvl>
  </w:abstractNum>
  <w:abstractNum w:abstractNumId="51489">
    <w:lvl>
      <w:numFmt w:val="bullet"/>
      <w:suff w:val="tab"/>
      <w:lvlText w:val="•"/>
      <w:rPr>
        <w:color w:val="3370ff"/>
      </w:rPr>
    </w:lvl>
  </w:abstractNum>
  <w:abstractNum w:abstractNumId="51490">
    <w:lvl>
      <w:numFmt w:val="bullet"/>
      <w:suff w:val="tab"/>
      <w:lvlText w:val="•"/>
      <w:rPr>
        <w:color w:val="3370ff"/>
      </w:rPr>
    </w:lvl>
  </w:abstractNum>
  <w:abstractNum w:abstractNumId="51491">
    <w:lvl>
      <w:numFmt w:val="bullet"/>
      <w:suff w:val="tab"/>
      <w:lvlText w:val="•"/>
      <w:rPr>
        <w:color w:val="3370ff"/>
      </w:rPr>
    </w:lvl>
  </w:abstractNum>
  <w:abstractNum w:abstractNumId="51492">
    <w:lvl>
      <w:numFmt w:val="bullet"/>
      <w:suff w:val="tab"/>
      <w:lvlText w:val="•"/>
      <w:rPr>
        <w:color w:val="3370ff"/>
      </w:rPr>
    </w:lvl>
  </w:abstractNum>
  <w:abstractNum w:abstractNumId="51493">
    <w:lvl>
      <w:numFmt w:val="bullet"/>
      <w:suff w:val="tab"/>
      <w:lvlText w:val="•"/>
      <w:rPr>
        <w:color w:val="3370ff"/>
      </w:rPr>
    </w:lvl>
  </w:abstractNum>
  <w:abstractNum w:abstractNumId="51494">
    <w:lvl>
      <w:numFmt w:val="bullet"/>
      <w:suff w:val="tab"/>
      <w:lvlText w:val="•"/>
      <w:rPr>
        <w:color w:val="3370ff"/>
      </w:rPr>
    </w:lvl>
  </w:abstractNum>
  <w:abstractNum w:abstractNumId="51495">
    <w:lvl>
      <w:numFmt w:val="bullet"/>
      <w:suff w:val="tab"/>
      <w:lvlText w:val="•"/>
      <w:rPr>
        <w:color w:val="3370ff"/>
      </w:rPr>
    </w:lvl>
  </w:abstractNum>
  <w:abstractNum w:abstractNumId="51496">
    <w:lvl>
      <w:numFmt w:val="bullet"/>
      <w:suff w:val="tab"/>
      <w:lvlText w:val="￮"/>
      <w:rPr>
        <w:color w:val="3370ff"/>
      </w:rPr>
    </w:lvl>
  </w:abstractNum>
  <w:abstractNum w:abstractNumId="51497">
    <w:lvl>
      <w:numFmt w:val="bullet"/>
      <w:suff w:val="tab"/>
      <w:lvlText w:val="￮"/>
      <w:rPr>
        <w:color w:val="3370ff"/>
      </w:rPr>
    </w:lvl>
  </w:abstractNum>
  <w:abstractNum w:abstractNumId="51498">
    <w:lvl>
      <w:numFmt w:val="bullet"/>
      <w:suff w:val="tab"/>
      <w:lvlText w:val="￮"/>
      <w:rPr>
        <w:color w:val="3370ff"/>
      </w:rPr>
    </w:lvl>
  </w:abstractNum>
  <w:abstractNum w:abstractNumId="51499">
    <w:lvl>
      <w:numFmt w:val="bullet"/>
      <w:suff w:val="tab"/>
      <w:lvlText w:val="•"/>
      <w:rPr>
        <w:color w:val="3370ff"/>
      </w:rPr>
    </w:lvl>
  </w:abstractNum>
  <w:abstractNum w:abstractNumId="51500">
    <w:lvl>
      <w:numFmt w:val="bullet"/>
      <w:suff w:val="tab"/>
      <w:lvlText w:val="•"/>
      <w:rPr>
        <w:color w:val="3370ff"/>
      </w:rPr>
    </w:lvl>
  </w:abstractNum>
  <w:abstractNum w:abstractNumId="51501">
    <w:lvl>
      <w:numFmt w:val="bullet"/>
      <w:suff w:val="tab"/>
      <w:lvlText w:val="•"/>
      <w:rPr>
        <w:color w:val="3370ff"/>
      </w:rPr>
    </w:lvl>
  </w:abstractNum>
  <w:abstractNum w:abstractNumId="51502">
    <w:lvl>
      <w:numFmt w:val="bullet"/>
      <w:suff w:val="tab"/>
      <w:lvlText w:val="•"/>
      <w:rPr>
        <w:color w:val="3370ff"/>
      </w:rPr>
    </w:lvl>
  </w:abstractNum>
  <w:abstractNum w:abstractNumId="51503">
    <w:lvl>
      <w:numFmt w:val="bullet"/>
      <w:suff w:val="tab"/>
      <w:lvlText w:val="•"/>
      <w:rPr>
        <w:color w:val="3370ff"/>
      </w:rPr>
    </w:lvl>
  </w:abstractNum>
  <w:abstractNum w:abstractNumId="51504">
    <w:lvl>
      <w:numFmt w:val="bullet"/>
      <w:suff w:val="tab"/>
      <w:lvlText w:val="•"/>
      <w:rPr>
        <w:color w:val="3370ff"/>
      </w:rPr>
    </w:lvl>
  </w:abstractNum>
  <w:abstractNum w:abstractNumId="51505">
    <w:lvl>
      <w:numFmt w:val="bullet"/>
      <w:suff w:val="tab"/>
      <w:lvlText w:val="•"/>
      <w:rPr>
        <w:color w:val="3370ff"/>
      </w:rPr>
    </w:lvl>
  </w:abstractNum>
  <w:abstractNum w:abstractNumId="51506">
    <w:lvl>
      <w:numFmt w:val="bullet"/>
      <w:suff w:val="tab"/>
      <w:lvlText w:val="•"/>
      <w:rPr>
        <w:color w:val="3370ff"/>
      </w:rPr>
    </w:lvl>
  </w:abstractNum>
  <w:abstractNum w:abstractNumId="51507">
    <w:lvl>
      <w:numFmt w:val="bullet"/>
      <w:suff w:val="tab"/>
      <w:lvlText w:val="•"/>
      <w:rPr>
        <w:color w:val="3370ff"/>
      </w:rPr>
    </w:lvl>
  </w:abstractNum>
  <w:abstractNum w:abstractNumId="51508">
    <w:lvl>
      <w:numFmt w:val="bullet"/>
      <w:suff w:val="tab"/>
      <w:lvlText w:val="•"/>
      <w:rPr>
        <w:color w:val="3370ff"/>
      </w:rPr>
    </w:lvl>
  </w:abstractNum>
  <w:abstractNum w:abstractNumId="51509">
    <w:lvl>
      <w:numFmt w:val="bullet"/>
      <w:suff w:val="tab"/>
      <w:lvlText w:val="•"/>
      <w:rPr>
        <w:color w:val="3370ff"/>
      </w:rPr>
    </w:lvl>
  </w:abstractNum>
  <w:abstractNum w:abstractNumId="51510">
    <w:lvl>
      <w:numFmt w:val="bullet"/>
      <w:suff w:val="tab"/>
      <w:lvlText w:val="•"/>
      <w:rPr>
        <w:color w:val="3370ff"/>
      </w:rPr>
    </w:lvl>
  </w:abstractNum>
  <w:abstractNum w:abstractNumId="51511">
    <w:lvl>
      <w:numFmt w:val="bullet"/>
      <w:suff w:val="tab"/>
      <w:lvlText w:val="•"/>
      <w:rPr>
        <w:color w:val="3370ff"/>
      </w:rPr>
    </w:lvl>
  </w:abstractNum>
  <w:abstractNum w:abstractNumId="51512">
    <w:lvl>
      <w:numFmt w:val="bullet"/>
      <w:suff w:val="tab"/>
      <w:lvlText w:val="•"/>
      <w:rPr>
        <w:color w:val="3370ff"/>
      </w:rPr>
    </w:lvl>
  </w:abstractNum>
  <w:abstractNum w:abstractNumId="51513">
    <w:lvl>
      <w:numFmt w:val="bullet"/>
      <w:suff w:val="tab"/>
      <w:lvlText w:val="•"/>
      <w:rPr>
        <w:color w:val="3370ff"/>
      </w:rPr>
    </w:lvl>
  </w:abstractNum>
  <w:abstractNum w:abstractNumId="51514">
    <w:lvl>
      <w:numFmt w:val="bullet"/>
      <w:suff w:val="tab"/>
      <w:lvlText w:val="•"/>
      <w:rPr>
        <w:color w:val="3370ff"/>
      </w:rPr>
    </w:lvl>
  </w:abstractNum>
  <w:abstractNum w:abstractNumId="51515">
    <w:lvl>
      <w:numFmt w:val="bullet"/>
      <w:suff w:val="tab"/>
      <w:lvlText w:val="•"/>
      <w:rPr>
        <w:color w:val="3370ff"/>
      </w:rPr>
    </w:lvl>
  </w:abstractNum>
  <w:abstractNum w:abstractNumId="51516">
    <w:lvl>
      <w:numFmt w:val="bullet"/>
      <w:suff w:val="tab"/>
      <w:lvlText w:val="￮"/>
      <w:rPr>
        <w:color w:val="3370ff"/>
      </w:rPr>
    </w:lvl>
  </w:abstractNum>
  <w:abstractNum w:abstractNumId="51517">
    <w:lvl>
      <w:numFmt w:val="bullet"/>
      <w:suff w:val="tab"/>
      <w:lvlText w:val="￮"/>
      <w:rPr>
        <w:color w:val="3370ff"/>
      </w:rPr>
    </w:lvl>
  </w:abstractNum>
  <w:abstractNum w:abstractNumId="51518">
    <w:lvl>
      <w:numFmt w:val="bullet"/>
      <w:suff w:val="tab"/>
      <w:lvlText w:val="•"/>
      <w:rPr>
        <w:color w:val="3370ff"/>
      </w:rPr>
    </w:lvl>
  </w:abstractNum>
  <w:abstractNum w:abstractNumId="51519">
    <w:lvl>
      <w:numFmt w:val="bullet"/>
      <w:suff w:val="tab"/>
      <w:lvlText w:val="•"/>
      <w:rPr>
        <w:color w:val="3370ff"/>
      </w:rPr>
    </w:lvl>
  </w:abstractNum>
  <w:abstractNum w:abstractNumId="51520">
    <w:lvl>
      <w:numFmt w:val="bullet"/>
      <w:suff w:val="tab"/>
      <w:lvlText w:val="￮"/>
      <w:rPr>
        <w:color w:val="3370ff"/>
      </w:rPr>
    </w:lvl>
  </w:abstractNum>
  <w:abstractNum w:abstractNumId="51521">
    <w:lvl>
      <w:numFmt w:val="bullet"/>
      <w:suff w:val="tab"/>
      <w:lvlText w:val="￮"/>
      <w:rPr>
        <w:color w:val="3370ff"/>
      </w:rPr>
    </w:lvl>
  </w:abstractNum>
  <w:abstractNum w:abstractNumId="51522">
    <w:lvl>
      <w:numFmt w:val="bullet"/>
      <w:suff w:val="tab"/>
      <w:lvlText w:val="•"/>
      <w:rPr>
        <w:color w:val="3370ff"/>
      </w:rPr>
    </w:lvl>
  </w:abstractNum>
  <w:abstractNum w:abstractNumId="51523">
    <w:lvl>
      <w:numFmt w:val="bullet"/>
      <w:suff w:val="tab"/>
      <w:lvlText w:val="•"/>
      <w:rPr>
        <w:color w:val="3370ff"/>
      </w:rPr>
    </w:lvl>
  </w:abstractNum>
  <w:abstractNum w:abstractNumId="51524">
    <w:lvl>
      <w:numFmt w:val="bullet"/>
      <w:suff w:val="tab"/>
      <w:lvlText w:val="•"/>
      <w:rPr>
        <w:color w:val="3370ff"/>
      </w:rPr>
    </w:lvl>
  </w:abstractNum>
  <w:abstractNum w:abstractNumId="51525">
    <w:lvl>
      <w:start w:val="1"/>
      <w:numFmt w:val="decimal"/>
      <w:suff w:val="tab"/>
      <w:lvlText w:val="%1."/>
      <w:rPr>
        <w:color w:val="3370ff"/>
      </w:rPr>
    </w:lvl>
  </w:abstractNum>
  <w:abstractNum w:abstractNumId="51526">
    <w:lvl>
      <w:start w:val="2"/>
      <w:numFmt w:val="decimal"/>
      <w:suff w:val="tab"/>
      <w:lvlText w:val="%1."/>
      <w:rPr>
        <w:color w:val="3370ff"/>
      </w:rPr>
    </w:lvl>
  </w:abstractNum>
  <w:abstractNum w:abstractNumId="51527">
    <w:lvl>
      <w:start w:val="3"/>
      <w:numFmt w:val="decimal"/>
      <w:suff w:val="tab"/>
      <w:lvlText w:val="%1."/>
      <w:rPr>
        <w:color w:val="3370ff"/>
      </w:rPr>
    </w:lvl>
  </w:abstractNum>
  <w:abstractNum w:abstractNumId="51528">
    <w:lvl>
      <w:start w:val="4"/>
      <w:numFmt w:val="decimal"/>
      <w:suff w:val="tab"/>
      <w:lvlText w:val="%1."/>
      <w:rPr>
        <w:color w:val="3370ff"/>
      </w:rPr>
    </w:lvl>
  </w:abstractNum>
  <w:abstractNum w:abstractNumId="51529">
    <w:lvl>
      <w:numFmt w:val="bullet"/>
      <w:suff w:val="tab"/>
      <w:lvlText w:val="￮"/>
      <w:rPr>
        <w:color w:val="3370ff"/>
      </w:rPr>
    </w:lvl>
  </w:abstractNum>
  <w:abstractNum w:abstractNumId="51530">
    <w:lvl>
      <w:numFmt w:val="bullet"/>
      <w:suff w:val="tab"/>
      <w:lvlText w:val="￮"/>
      <w:rPr>
        <w:color w:val="3370ff"/>
      </w:rPr>
    </w:lvl>
  </w:abstractNum>
  <w:abstractNum w:abstractNumId="51531">
    <w:lvl>
      <w:start w:val="5"/>
      <w:numFmt w:val="decimal"/>
      <w:suff w:val="tab"/>
      <w:lvlText w:val="%1."/>
      <w:rPr>
        <w:color w:val="3370ff"/>
      </w:rPr>
    </w:lvl>
  </w:abstractNum>
  <w:abstractNum w:abstractNumId="51532">
    <w:lvl>
      <w:numFmt w:val="bullet"/>
      <w:suff w:val="tab"/>
      <w:lvlText w:val="•"/>
      <w:rPr>
        <w:color w:val="3370ff"/>
      </w:rPr>
    </w:lvl>
  </w:abstractNum>
  <w:abstractNum w:abstractNumId="51533">
    <w:lvl>
      <w:numFmt w:val="bullet"/>
      <w:suff w:val="tab"/>
      <w:lvlText w:val="•"/>
      <w:rPr>
        <w:color w:val="3370ff"/>
      </w:rPr>
    </w:lvl>
  </w:abstractNum>
  <w:abstractNum w:abstractNumId="51534">
    <w:lvl>
      <w:numFmt w:val="bullet"/>
      <w:suff w:val="tab"/>
      <w:lvlText w:val="￮"/>
      <w:rPr>
        <w:color w:val="3370ff"/>
      </w:rPr>
    </w:lvl>
  </w:abstractNum>
  <w:abstractNum w:abstractNumId="51535">
    <w:lvl>
      <w:numFmt w:val="bullet"/>
      <w:suff w:val="tab"/>
      <w:lvlText w:val="￮"/>
      <w:rPr>
        <w:color w:val="3370ff"/>
      </w:rPr>
    </w:lvl>
  </w:abstractNum>
  <w:abstractNum w:abstractNumId="51536">
    <w:lvl>
      <w:numFmt w:val="bullet"/>
      <w:suff w:val="tab"/>
      <w:lvlText w:val="￮"/>
      <w:rPr>
        <w:color w:val="3370ff"/>
      </w:rPr>
    </w:lvl>
  </w:abstractNum>
  <w:abstractNum w:abstractNumId="51537">
    <w:lvl>
      <w:numFmt w:val="bullet"/>
      <w:suff w:val="tab"/>
      <w:lvlText w:val="•"/>
      <w:rPr>
        <w:color w:val="3370ff"/>
      </w:rPr>
    </w:lvl>
  </w:abstractNum>
  <w:abstractNum w:abstractNumId="51538">
    <w:lvl>
      <w:numFmt w:val="bullet"/>
      <w:suff w:val="tab"/>
      <w:lvlText w:val="•"/>
      <w:rPr>
        <w:color w:val="3370ff"/>
      </w:rPr>
    </w:lvl>
  </w:abstractNum>
  <w:abstractNum w:abstractNumId="51539">
    <w:lvl>
      <w:numFmt w:val="bullet"/>
      <w:suff w:val="tab"/>
      <w:lvlText w:val="•"/>
      <w:rPr>
        <w:color w:val="3370ff"/>
      </w:rPr>
    </w:lvl>
  </w:abstractNum>
  <w:abstractNum w:abstractNumId="51540">
    <w:lvl>
      <w:start w:val="1"/>
      <w:numFmt w:val="decimal"/>
      <w:suff w:val="tab"/>
      <w:lvlText w:val="%1."/>
      <w:rPr>
        <w:color w:val="3370ff"/>
      </w:rPr>
    </w:lvl>
  </w:abstractNum>
  <w:abstractNum w:abstractNumId="51541">
    <w:lvl>
      <w:start w:val="2"/>
      <w:numFmt w:val="decimal"/>
      <w:suff w:val="tab"/>
      <w:lvlText w:val="%1."/>
      <w:rPr>
        <w:color w:val="3370ff"/>
      </w:rPr>
    </w:lvl>
  </w:abstractNum>
  <w:abstractNum w:abstractNumId="51542">
    <w:lvl>
      <w:start w:val="3"/>
      <w:numFmt w:val="decimal"/>
      <w:suff w:val="tab"/>
      <w:lvlText w:val="%1."/>
      <w:rPr>
        <w:color w:val="3370ff"/>
      </w:rPr>
    </w:lvl>
  </w:abstractNum>
  <w:abstractNum w:abstractNumId="51543">
    <w:lvl>
      <w:start w:val="4"/>
      <w:numFmt w:val="decimal"/>
      <w:suff w:val="tab"/>
      <w:lvlText w:val="%1."/>
      <w:rPr>
        <w:color w:val="3370ff"/>
      </w:rPr>
    </w:lvl>
  </w:abstractNum>
  <w:abstractNum w:abstractNumId="51544">
    <w:lvl>
      <w:start w:val="5"/>
      <w:numFmt w:val="decimal"/>
      <w:suff w:val="tab"/>
      <w:lvlText w:val="%1."/>
      <w:rPr>
        <w:color w:val="3370ff"/>
      </w:rPr>
    </w:lvl>
  </w:abstractNum>
  <w:abstractNum w:abstractNumId="51545">
    <w:lvl>
      <w:start w:val="6"/>
      <w:numFmt w:val="decimal"/>
      <w:suff w:val="tab"/>
      <w:lvlText w:val="%1."/>
      <w:rPr>
        <w:color w:val="3370ff"/>
      </w:rPr>
    </w:lvl>
  </w:abstractNum>
  <w:abstractNum w:abstractNumId="51546">
    <w:lvl>
      <w:numFmt w:val="bullet"/>
      <w:suff w:val="tab"/>
      <w:lvlText w:val="•"/>
      <w:rPr>
        <w:color w:val="3370ff"/>
      </w:rPr>
    </w:lvl>
  </w:abstractNum>
  <w:abstractNum w:abstractNumId="51547">
    <w:lvl>
      <w:start w:val="7"/>
      <w:numFmt w:val="decimal"/>
      <w:suff w:val="tab"/>
      <w:lvlText w:val="%1."/>
      <w:rPr>
        <w:color w:val="3370ff"/>
      </w:rPr>
    </w:lvl>
  </w:abstractNum>
  <w:abstractNum w:abstractNumId="51548">
    <w:lvl>
      <w:start w:val="8"/>
      <w:numFmt w:val="decimal"/>
      <w:suff w:val="tab"/>
      <w:lvlText w:val="%1."/>
      <w:rPr>
        <w:color w:val="3370ff"/>
      </w:rPr>
    </w:lvl>
  </w:abstractNum>
  <w:abstractNum w:abstractNumId="51549">
    <w:lvl>
      <w:numFmt w:val="bullet"/>
      <w:suff w:val="tab"/>
      <w:lvlText w:val="•"/>
      <w:rPr>
        <w:color w:val="3370ff"/>
      </w:rPr>
    </w:lvl>
  </w:abstractNum>
  <w:abstractNum w:abstractNumId="51550">
    <w:lvl>
      <w:numFmt w:val="bullet"/>
      <w:suff w:val="tab"/>
      <w:lvlText w:val="￮"/>
      <w:rPr>
        <w:color w:val="3370ff"/>
      </w:rPr>
    </w:lvl>
  </w:abstractNum>
  <w:abstractNum w:abstractNumId="51551">
    <w:lvl>
      <w:numFmt w:val="bullet"/>
      <w:suff w:val="tab"/>
      <w:lvlText w:val="•"/>
      <w:rPr>
        <w:color w:val="3370ff"/>
      </w:rPr>
    </w:lvl>
  </w:abstractNum>
  <w:abstractNum w:abstractNumId="51552">
    <w:lvl>
      <w:numFmt w:val="bullet"/>
      <w:suff w:val="tab"/>
      <w:lvlText w:val="￮"/>
      <w:rPr>
        <w:color w:val="3370ff"/>
      </w:rPr>
    </w:lvl>
  </w:abstractNum>
  <w:abstractNum w:abstractNumId="51553">
    <w:lvl>
      <w:numFmt w:val="bullet"/>
      <w:suff w:val="tab"/>
      <w:lvlText w:val="￮"/>
      <w:rPr>
        <w:color w:val="3370ff"/>
      </w:rPr>
    </w:lvl>
  </w:abstractNum>
  <w:abstractNum w:abstractNumId="51554">
    <w:lvl>
      <w:numFmt w:val="bullet"/>
      <w:suff w:val="tab"/>
      <w:lvlText w:val="•"/>
      <w:rPr>
        <w:color w:val="3370ff"/>
      </w:rPr>
    </w:lvl>
  </w:abstractNum>
  <w:abstractNum w:abstractNumId="51555">
    <w:lvl>
      <w:numFmt w:val="bullet"/>
      <w:suff w:val="tab"/>
      <w:lvlText w:val="￮"/>
      <w:rPr>
        <w:color w:val="3370ff"/>
      </w:rPr>
    </w:lvl>
  </w:abstractNum>
  <w:abstractNum w:abstractNumId="51556">
    <w:lvl>
      <w:numFmt w:val="bullet"/>
      <w:suff w:val="tab"/>
      <w:lvlText w:val="￮"/>
      <w:rPr>
        <w:color w:val="3370ff"/>
      </w:rPr>
    </w:lvl>
  </w:abstractNum>
  <w:abstractNum w:abstractNumId="51557">
    <w:lvl>
      <w:numFmt w:val="bullet"/>
      <w:suff w:val="tab"/>
      <w:lvlText w:val="▪"/>
      <w:rPr>
        <w:color w:val="3370ff"/>
        <w:sz w:val="11"/>
      </w:rPr>
    </w:lvl>
  </w:abstractNum>
  <w:abstractNum w:abstractNumId="51558">
    <w:lvl>
      <w:numFmt w:val="bullet"/>
      <w:suff w:val="tab"/>
      <w:lvlText w:val="•"/>
      <w:rPr>
        <w:color w:val="3370ff"/>
      </w:rPr>
    </w:lvl>
  </w:abstractNum>
  <w:abstractNum w:abstractNumId="51559">
    <w:lvl>
      <w:numFmt w:val="bullet"/>
      <w:suff w:val="tab"/>
      <w:lvlText w:val="￮"/>
      <w:rPr>
        <w:color w:val="3370ff"/>
      </w:rPr>
    </w:lvl>
  </w:abstractNum>
  <w:abstractNum w:abstractNumId="51560">
    <w:lvl>
      <w:numFmt w:val="bullet"/>
      <w:suff w:val="tab"/>
      <w:lvlText w:val="￮"/>
      <w:rPr>
        <w:color w:val="3370ff"/>
      </w:rPr>
    </w:lvl>
  </w:abstractNum>
  <w:abstractNum w:abstractNumId="51561">
    <w:lvl>
      <w:numFmt w:val="bullet"/>
      <w:suff w:val="tab"/>
      <w:lvlText w:val="￮"/>
      <w:rPr>
        <w:color w:val="3370ff"/>
      </w:rPr>
    </w:lvl>
  </w:abstractNum>
  <w:abstractNum w:abstractNumId="51562">
    <w:lvl>
      <w:numFmt w:val="bullet"/>
      <w:suff w:val="tab"/>
      <w:lvlText w:val="•"/>
      <w:rPr>
        <w:color w:val="3370ff"/>
      </w:rPr>
    </w:lvl>
  </w:abstractNum>
  <w:abstractNum w:abstractNumId="51563">
    <w:lvl>
      <w:numFmt w:val="bullet"/>
      <w:suff w:val="tab"/>
      <w:lvlText w:val="•"/>
      <w:rPr>
        <w:color w:val="3370ff"/>
      </w:rPr>
    </w:lvl>
  </w:abstractNum>
  <w:abstractNum w:abstractNumId="51564">
    <w:lvl>
      <w:numFmt w:val="bullet"/>
      <w:suff w:val="tab"/>
      <w:lvlText w:val="•"/>
      <w:rPr>
        <w:color w:val="3370ff"/>
      </w:rPr>
    </w:lvl>
  </w:abstractNum>
  <w:abstractNum w:abstractNumId="51565">
    <w:lvl>
      <w:numFmt w:val="bullet"/>
      <w:suff w:val="tab"/>
      <w:lvlText w:val="•"/>
      <w:rPr>
        <w:color w:val="3370ff"/>
      </w:rPr>
    </w:lvl>
  </w:abstractNum>
  <w:abstractNum w:abstractNumId="51566">
    <w:lvl>
      <w:numFmt w:val="bullet"/>
      <w:suff w:val="tab"/>
      <w:lvlText w:val="•"/>
      <w:rPr>
        <w:color w:val="3370ff"/>
      </w:rPr>
    </w:lvl>
  </w:abstractNum>
  <w:abstractNum w:abstractNumId="51567">
    <w:lvl>
      <w:numFmt w:val="bullet"/>
      <w:suff w:val="tab"/>
      <w:lvlText w:val="•"/>
      <w:rPr>
        <w:color w:val="3370ff"/>
      </w:rPr>
    </w:lvl>
  </w:abstractNum>
  <w:abstractNum w:abstractNumId="51568">
    <w:lvl>
      <w:numFmt w:val="bullet"/>
      <w:suff w:val="tab"/>
      <w:lvlText w:val="•"/>
      <w:rPr>
        <w:color w:val="3370ff"/>
      </w:rPr>
    </w:lvl>
  </w:abstractNum>
  <w:abstractNum w:abstractNumId="51569">
    <w:lvl>
      <w:numFmt w:val="bullet"/>
      <w:suff w:val="tab"/>
      <w:lvlText w:val="•"/>
      <w:rPr>
        <w:color w:val="3370ff"/>
      </w:rPr>
    </w:lvl>
  </w:abstractNum>
  <w:abstractNum w:abstractNumId="51570">
    <w:lvl>
      <w:numFmt w:val="bullet"/>
      <w:suff w:val="tab"/>
      <w:lvlText w:val="•"/>
      <w:rPr>
        <w:color w:val="3370ff"/>
      </w:rPr>
    </w:lvl>
  </w:abstractNum>
  <w:abstractNum w:abstractNumId="51571">
    <w:lvl>
      <w:numFmt w:val="bullet"/>
      <w:suff w:val="tab"/>
      <w:lvlText w:val="•"/>
      <w:rPr>
        <w:color w:val="3370ff"/>
      </w:rPr>
    </w:lvl>
  </w:abstractNum>
  <w:abstractNum w:abstractNumId="51572">
    <w:lvl>
      <w:numFmt w:val="bullet"/>
      <w:suff w:val="tab"/>
      <w:lvlText w:val="•"/>
      <w:rPr>
        <w:color w:val="3370ff"/>
      </w:rPr>
    </w:lvl>
  </w:abstractNum>
  <w:abstractNum w:abstractNumId="51573">
    <w:lvl>
      <w:numFmt w:val="bullet"/>
      <w:suff w:val="tab"/>
      <w:lvlText w:val="￮"/>
      <w:rPr>
        <w:color w:val="3370ff"/>
      </w:rPr>
    </w:lvl>
  </w:abstractNum>
  <w:abstractNum w:abstractNumId="51574">
    <w:lvl>
      <w:numFmt w:val="bullet"/>
      <w:suff w:val="tab"/>
      <w:lvlText w:val="▪"/>
      <w:rPr>
        <w:color w:val="3370ff"/>
        <w:sz w:val="11"/>
      </w:rPr>
    </w:lvl>
  </w:abstractNum>
  <w:abstractNum w:abstractNumId="51575">
    <w:lvl>
      <w:numFmt w:val="bullet"/>
      <w:suff w:val="tab"/>
      <w:lvlText w:val="▪"/>
      <w:rPr>
        <w:color w:val="3370ff"/>
        <w:sz w:val="11"/>
      </w:rPr>
    </w:lvl>
  </w:abstractNum>
  <w:abstractNum w:abstractNumId="51576">
    <w:lvl>
      <w:numFmt w:val="bullet"/>
      <w:suff w:val="tab"/>
      <w:lvlText w:val="▪"/>
      <w:rPr>
        <w:color w:val="3370ff"/>
        <w:sz w:val="11"/>
      </w:rPr>
    </w:lvl>
  </w:abstractNum>
  <w:abstractNum w:abstractNumId="51577">
    <w:lvl>
      <w:numFmt w:val="bullet"/>
      <w:suff w:val="tab"/>
      <w:lvlText w:val="▪"/>
      <w:rPr>
        <w:color w:val="3370ff"/>
        <w:sz w:val="11"/>
      </w:rPr>
    </w:lvl>
  </w:abstractNum>
  <w:abstractNum w:abstractNumId="51578">
    <w:lvl>
      <w:numFmt w:val="bullet"/>
      <w:suff w:val="tab"/>
      <w:lvlText w:val="￮"/>
      <w:rPr>
        <w:color w:val="3370ff"/>
      </w:rPr>
    </w:lvl>
  </w:abstractNum>
  <w:abstractNum w:abstractNumId="51579">
    <w:lvl>
      <w:numFmt w:val="bullet"/>
      <w:suff w:val="tab"/>
      <w:lvlText w:val="▪"/>
      <w:rPr>
        <w:color w:val="3370ff"/>
        <w:sz w:val="11"/>
      </w:rPr>
    </w:lvl>
  </w:abstractNum>
  <w:abstractNum w:abstractNumId="51580">
    <w:lvl>
      <w:numFmt w:val="bullet"/>
      <w:suff w:val="tab"/>
      <w:lvlText w:val="▪"/>
      <w:rPr>
        <w:color w:val="3370ff"/>
        <w:sz w:val="11"/>
      </w:rPr>
    </w:lvl>
  </w:abstractNum>
  <w:abstractNum w:abstractNumId="51581">
    <w:lvl>
      <w:numFmt w:val="bullet"/>
      <w:suff w:val="tab"/>
      <w:lvlText w:val="▪"/>
      <w:rPr>
        <w:color w:val="3370ff"/>
        <w:sz w:val="11"/>
      </w:rPr>
    </w:lvl>
  </w:abstractNum>
  <w:abstractNum w:abstractNumId="51582">
    <w:lvl>
      <w:numFmt w:val="bullet"/>
      <w:suff w:val="tab"/>
      <w:lvlText w:val="•"/>
      <w:rPr>
        <w:color w:val="3370ff"/>
      </w:rPr>
    </w:lvl>
  </w:abstractNum>
  <w:abstractNum w:abstractNumId="51583">
    <w:lvl>
      <w:numFmt w:val="bullet"/>
      <w:suff w:val="tab"/>
      <w:lvlText w:val="•"/>
      <w:rPr>
        <w:color w:val="3370ff"/>
      </w:rPr>
    </w:lvl>
  </w:abstractNum>
  <w:abstractNum w:abstractNumId="51584">
    <w:lvl>
      <w:numFmt w:val="bullet"/>
      <w:suff w:val="tab"/>
      <w:lvlText w:val="•"/>
      <w:rPr>
        <w:color w:val="3370ff"/>
      </w:rPr>
    </w:lvl>
  </w:abstractNum>
  <w:abstractNum w:abstractNumId="51585">
    <w:lvl>
      <w:numFmt w:val="bullet"/>
      <w:suff w:val="tab"/>
      <w:lvlText w:val="•"/>
      <w:rPr>
        <w:color w:val="3370ff"/>
      </w:rPr>
    </w:lvl>
  </w:abstractNum>
  <w:abstractNum w:abstractNumId="51586">
    <w:lvl>
      <w:numFmt w:val="bullet"/>
      <w:suff w:val="tab"/>
      <w:lvlText w:val="•"/>
      <w:rPr>
        <w:color w:val="3370ff"/>
      </w:rPr>
    </w:lvl>
  </w:abstractNum>
  <w:abstractNum w:abstractNumId="51587">
    <w:lvl>
      <w:numFmt w:val="bullet"/>
      <w:suff w:val="tab"/>
      <w:lvlText w:val="•"/>
      <w:rPr>
        <w:color w:val="3370ff"/>
      </w:rPr>
    </w:lvl>
  </w:abstractNum>
  <w:abstractNum w:abstractNumId="51588">
    <w:lvl>
      <w:numFmt w:val="bullet"/>
      <w:suff w:val="tab"/>
      <w:lvlText w:val="•"/>
      <w:rPr>
        <w:color w:val="3370ff"/>
      </w:rPr>
    </w:lvl>
  </w:abstractNum>
  <w:abstractNum w:abstractNumId="51589">
    <w:lvl>
      <w:numFmt w:val="bullet"/>
      <w:suff w:val="tab"/>
      <w:lvlText w:val="￮"/>
      <w:rPr>
        <w:color w:val="3370ff"/>
      </w:rPr>
    </w:lvl>
  </w:abstractNum>
  <w:abstractNum w:abstractNumId="51590">
    <w:lvl>
      <w:numFmt w:val="bullet"/>
      <w:suff w:val="tab"/>
      <w:lvlText w:val="￮"/>
      <w:rPr>
        <w:color w:val="3370ff"/>
      </w:rPr>
    </w:lvl>
  </w:abstractNum>
  <w:abstractNum w:abstractNumId="51591">
    <w:lvl>
      <w:numFmt w:val="bullet"/>
      <w:suff w:val="tab"/>
      <w:lvlText w:val="•"/>
      <w:rPr>
        <w:color w:val="3370ff"/>
      </w:rPr>
    </w:lvl>
  </w:abstractNum>
  <w:abstractNum w:abstractNumId="51592">
    <w:lvl>
      <w:numFmt w:val="bullet"/>
      <w:suff w:val="tab"/>
      <w:lvlText w:val="￮"/>
      <w:rPr>
        <w:color w:val="3370ff"/>
      </w:rPr>
    </w:lvl>
  </w:abstractNum>
  <w:abstractNum w:abstractNumId="51593">
    <w:lvl>
      <w:numFmt w:val="bullet"/>
      <w:suff w:val="tab"/>
      <w:lvlText w:val="•"/>
      <w:rPr>
        <w:color w:val="3370ff"/>
      </w:rPr>
    </w:lvl>
  </w:abstractNum>
  <w:abstractNum w:abstractNumId="51594">
    <w:lvl>
      <w:numFmt w:val="bullet"/>
      <w:suff w:val="tab"/>
      <w:lvlText w:val="•"/>
      <w:rPr>
        <w:color w:val="3370ff"/>
      </w:rPr>
    </w:lvl>
  </w:abstractNum>
  <w:abstractNum w:abstractNumId="51595">
    <w:lvl>
      <w:numFmt w:val="bullet"/>
      <w:suff w:val="tab"/>
      <w:lvlText w:val="•"/>
      <w:rPr>
        <w:color w:val="3370ff"/>
      </w:rPr>
    </w:lvl>
  </w:abstractNum>
  <w:abstractNum w:abstractNumId="51596">
    <w:lvl>
      <w:numFmt w:val="bullet"/>
      <w:suff w:val="tab"/>
      <w:lvlText w:val="•"/>
      <w:rPr>
        <w:color w:val="3370ff"/>
      </w:rPr>
    </w:lvl>
  </w:abstractNum>
  <w:abstractNum w:abstractNumId="51597">
    <w:lvl>
      <w:numFmt w:val="bullet"/>
      <w:suff w:val="tab"/>
      <w:lvlText w:val="•"/>
      <w:rPr>
        <w:color w:val="3370ff"/>
      </w:rPr>
    </w:lvl>
  </w:abstractNum>
  <w:abstractNum w:abstractNumId="51598">
    <w:lvl>
      <w:numFmt w:val="bullet"/>
      <w:suff w:val="tab"/>
      <w:lvlText w:val="•"/>
      <w:rPr>
        <w:color w:val="3370ff"/>
      </w:rPr>
    </w:lvl>
  </w:abstractNum>
  <w:abstractNum w:abstractNumId="51599">
    <w:lvl>
      <w:numFmt w:val="bullet"/>
      <w:suff w:val="tab"/>
      <w:lvlText w:val="•"/>
      <w:rPr>
        <w:color w:val="3370ff"/>
      </w:rPr>
    </w:lvl>
  </w:abstractNum>
  <w:abstractNum w:abstractNumId="51600">
    <w:lvl>
      <w:numFmt w:val="bullet"/>
      <w:suff w:val="tab"/>
      <w:lvlText w:val="•"/>
      <w:rPr>
        <w:color w:val="3370ff"/>
      </w:rPr>
    </w:lvl>
  </w:abstractNum>
  <w:abstractNum w:abstractNumId="51601">
    <w:lvl>
      <w:numFmt w:val="bullet"/>
      <w:suff w:val="tab"/>
      <w:lvlText w:val="•"/>
      <w:rPr>
        <w:color w:val="3370ff"/>
      </w:rPr>
    </w:lvl>
  </w:abstractNum>
  <w:abstractNum w:abstractNumId="51602">
    <w:lvl>
      <w:numFmt w:val="bullet"/>
      <w:suff w:val="tab"/>
      <w:lvlText w:val="•"/>
      <w:rPr>
        <w:color w:val="3370ff"/>
      </w:rPr>
    </w:lvl>
  </w:abstractNum>
  <w:abstractNum w:abstractNumId="51603">
    <w:lvl>
      <w:numFmt w:val="bullet"/>
      <w:suff w:val="tab"/>
      <w:lvlText w:val="•"/>
      <w:rPr>
        <w:color w:val="3370ff"/>
      </w:rPr>
    </w:lvl>
  </w:abstractNum>
  <w:abstractNum w:abstractNumId="51604">
    <w:lvl>
      <w:numFmt w:val="bullet"/>
      <w:suff w:val="tab"/>
      <w:lvlText w:val="•"/>
      <w:rPr>
        <w:color w:val="3370ff"/>
      </w:rPr>
    </w:lvl>
  </w:abstractNum>
  <w:abstractNum w:abstractNumId="51605">
    <w:lvl>
      <w:numFmt w:val="bullet"/>
      <w:suff w:val="tab"/>
      <w:lvlText w:val="•"/>
      <w:rPr>
        <w:color w:val="3370ff"/>
      </w:rPr>
    </w:lvl>
  </w:abstractNum>
  <w:abstractNum w:abstractNumId="51606">
    <w:lvl>
      <w:numFmt w:val="bullet"/>
      <w:suff w:val="tab"/>
      <w:lvlText w:val="•"/>
      <w:rPr>
        <w:color w:val="3370ff"/>
      </w:rPr>
    </w:lvl>
  </w:abstractNum>
  <w:abstractNum w:abstractNumId="51607">
    <w:lvl>
      <w:numFmt w:val="bullet"/>
      <w:suff w:val="tab"/>
      <w:lvlText w:val="•"/>
      <w:rPr>
        <w:color w:val="3370ff"/>
      </w:rPr>
    </w:lvl>
  </w:abstractNum>
  <w:abstractNum w:abstractNumId="51608">
    <w:lvl>
      <w:numFmt w:val="bullet"/>
      <w:suff w:val="tab"/>
      <w:lvlText w:val="•"/>
      <w:rPr>
        <w:color w:val="3370ff"/>
      </w:rPr>
    </w:lvl>
  </w:abstractNum>
  <w:abstractNum w:abstractNumId="51609">
    <w:lvl>
      <w:numFmt w:val="bullet"/>
      <w:suff w:val="tab"/>
      <w:lvlText w:val="•"/>
      <w:rPr>
        <w:color w:val="3370ff"/>
      </w:rPr>
    </w:lvl>
  </w:abstractNum>
  <w:abstractNum w:abstractNumId="51610">
    <w:lvl>
      <w:numFmt w:val="bullet"/>
      <w:suff w:val="tab"/>
      <w:lvlText w:val="•"/>
      <w:rPr>
        <w:color w:val="3370ff"/>
      </w:rPr>
    </w:lvl>
  </w:abstractNum>
  <w:abstractNum w:abstractNumId="51611">
    <w:lvl>
      <w:numFmt w:val="bullet"/>
      <w:suff w:val="tab"/>
      <w:lvlText w:val="•"/>
      <w:rPr>
        <w:color w:val="3370ff"/>
      </w:rPr>
    </w:lvl>
  </w:abstractNum>
  <w:abstractNum w:abstractNumId="51612">
    <w:lvl>
      <w:numFmt w:val="bullet"/>
      <w:suff w:val="tab"/>
      <w:lvlText w:val="•"/>
      <w:rPr>
        <w:color w:val="3370ff"/>
      </w:rPr>
    </w:lvl>
  </w:abstractNum>
  <w:abstractNum w:abstractNumId="51613">
    <w:lvl>
      <w:numFmt w:val="bullet"/>
      <w:suff w:val="tab"/>
      <w:lvlText w:val="•"/>
      <w:rPr>
        <w:color w:val="3370ff"/>
      </w:rPr>
    </w:lvl>
  </w:abstractNum>
  <w:abstractNum w:abstractNumId="51614">
    <w:lvl>
      <w:numFmt w:val="bullet"/>
      <w:suff w:val="tab"/>
      <w:lvlText w:val="•"/>
      <w:rPr>
        <w:color w:val="3370ff"/>
      </w:rPr>
    </w:lvl>
  </w:abstractNum>
  <w:abstractNum w:abstractNumId="51615">
    <w:lvl>
      <w:numFmt w:val="bullet"/>
      <w:suff w:val="tab"/>
      <w:lvlText w:val="•"/>
      <w:rPr>
        <w:color w:val="3370ff"/>
      </w:rPr>
    </w:lvl>
  </w:abstractNum>
  <w:abstractNum w:abstractNumId="51616">
    <w:lvl>
      <w:numFmt w:val="bullet"/>
      <w:suff w:val="tab"/>
      <w:lvlText w:val="•"/>
      <w:rPr>
        <w:color w:val="3370ff"/>
      </w:rPr>
    </w:lvl>
  </w:abstractNum>
  <w:abstractNum w:abstractNumId="51617">
    <w:lvl>
      <w:numFmt w:val="bullet"/>
      <w:suff w:val="tab"/>
      <w:lvlText w:val="•"/>
      <w:rPr>
        <w:color w:val="3370ff"/>
      </w:rPr>
    </w:lvl>
  </w:abstractNum>
  <w:abstractNum w:abstractNumId="51618">
    <w:lvl>
      <w:numFmt w:val="bullet"/>
      <w:suff w:val="tab"/>
      <w:lvlText w:val="•"/>
      <w:rPr>
        <w:color w:val="3370ff"/>
      </w:rPr>
    </w:lvl>
  </w:abstractNum>
  <w:abstractNum w:abstractNumId="51619">
    <w:lvl>
      <w:numFmt w:val="bullet"/>
      <w:suff w:val="tab"/>
      <w:lvlText w:val="•"/>
      <w:rPr>
        <w:color w:val="3370ff"/>
      </w:rPr>
    </w:lvl>
  </w:abstractNum>
  <w:abstractNum w:abstractNumId="51620">
    <w:lvl>
      <w:numFmt w:val="bullet"/>
      <w:suff w:val="tab"/>
      <w:lvlText w:val="•"/>
      <w:rPr>
        <w:color w:val="3370ff"/>
      </w:rPr>
    </w:lvl>
  </w:abstractNum>
  <w:abstractNum w:abstractNumId="51621">
    <w:lvl>
      <w:numFmt w:val="bullet"/>
      <w:suff w:val="tab"/>
      <w:lvlText w:val="•"/>
      <w:rPr>
        <w:color w:val="3370ff"/>
      </w:rPr>
    </w:lvl>
  </w:abstractNum>
  <w:abstractNum w:abstractNumId="51622">
    <w:lvl>
      <w:numFmt w:val="bullet"/>
      <w:suff w:val="tab"/>
      <w:lvlText w:val="•"/>
      <w:rPr>
        <w:color w:val="3370ff"/>
      </w:rPr>
    </w:lvl>
  </w:abstractNum>
  <w:num w:numId="1">
    <w:abstractNumId w:val="51164"/>
  </w:num>
  <w:num w:numId="2">
    <w:abstractNumId w:val="51165"/>
  </w:num>
  <w:num w:numId="3">
    <w:abstractNumId w:val="51166"/>
  </w:num>
  <w:num w:numId="4">
    <w:abstractNumId w:val="51167"/>
  </w:num>
  <w:num w:numId="5">
    <w:abstractNumId w:val="51168"/>
  </w:num>
  <w:num w:numId="6">
    <w:abstractNumId w:val="51169"/>
  </w:num>
  <w:num w:numId="7">
    <w:abstractNumId w:val="51170"/>
  </w:num>
  <w:num w:numId="8">
    <w:abstractNumId w:val="51171"/>
  </w:num>
  <w:num w:numId="9">
    <w:abstractNumId w:val="51172"/>
  </w:num>
  <w:num w:numId="10">
    <w:abstractNumId w:val="51173"/>
  </w:num>
  <w:num w:numId="11">
    <w:abstractNumId w:val="51174"/>
  </w:num>
  <w:num w:numId="12">
    <w:abstractNumId w:val="51175"/>
  </w:num>
  <w:num w:numId="13">
    <w:abstractNumId w:val="51176"/>
  </w:num>
  <w:num w:numId="14">
    <w:abstractNumId w:val="51177"/>
  </w:num>
  <w:num w:numId="15">
    <w:abstractNumId w:val="51178"/>
  </w:num>
  <w:num w:numId="16">
    <w:abstractNumId w:val="51179"/>
  </w:num>
  <w:num w:numId="17">
    <w:abstractNumId w:val="51180"/>
  </w:num>
  <w:num w:numId="18">
    <w:abstractNumId w:val="51181"/>
  </w:num>
  <w:num w:numId="19">
    <w:abstractNumId w:val="51182"/>
  </w:num>
  <w:num w:numId="20">
    <w:abstractNumId w:val="51183"/>
  </w:num>
  <w:num w:numId="21">
    <w:abstractNumId w:val="51184"/>
  </w:num>
  <w:num w:numId="22">
    <w:abstractNumId w:val="51185"/>
  </w:num>
  <w:num w:numId="23">
    <w:abstractNumId w:val="51186"/>
  </w:num>
  <w:num w:numId="24">
    <w:abstractNumId w:val="51187"/>
  </w:num>
  <w:num w:numId="25">
    <w:abstractNumId w:val="51188"/>
  </w:num>
  <w:num w:numId="26">
    <w:abstractNumId w:val="51189"/>
  </w:num>
  <w:num w:numId="27">
    <w:abstractNumId w:val="51190"/>
  </w:num>
  <w:num w:numId="28">
    <w:abstractNumId w:val="51191"/>
  </w:num>
  <w:num w:numId="29">
    <w:abstractNumId w:val="51192"/>
  </w:num>
  <w:num w:numId="30">
    <w:abstractNumId w:val="51193"/>
  </w:num>
  <w:num w:numId="31">
    <w:abstractNumId w:val="51194"/>
  </w:num>
  <w:num w:numId="32">
    <w:abstractNumId w:val="51195"/>
  </w:num>
  <w:num w:numId="33">
    <w:abstractNumId w:val="51196"/>
  </w:num>
  <w:num w:numId="34">
    <w:abstractNumId w:val="51197"/>
  </w:num>
  <w:num w:numId="35">
    <w:abstractNumId w:val="51198"/>
  </w:num>
  <w:num w:numId="36">
    <w:abstractNumId w:val="51199"/>
  </w:num>
  <w:num w:numId="37">
    <w:abstractNumId w:val="51200"/>
  </w:num>
  <w:num w:numId="38">
    <w:abstractNumId w:val="51201"/>
  </w:num>
  <w:num w:numId="39">
    <w:abstractNumId w:val="51202"/>
  </w:num>
  <w:num w:numId="40">
    <w:abstractNumId w:val="51203"/>
  </w:num>
  <w:num w:numId="41">
    <w:abstractNumId w:val="51204"/>
  </w:num>
  <w:num w:numId="42">
    <w:abstractNumId w:val="51205"/>
  </w:num>
  <w:num w:numId="43">
    <w:abstractNumId w:val="51206"/>
  </w:num>
  <w:num w:numId="44">
    <w:abstractNumId w:val="51207"/>
  </w:num>
  <w:num w:numId="45">
    <w:abstractNumId w:val="51208"/>
  </w:num>
  <w:num w:numId="46">
    <w:abstractNumId w:val="51209"/>
  </w:num>
  <w:num w:numId="47">
    <w:abstractNumId w:val="51210"/>
  </w:num>
  <w:num w:numId="48">
    <w:abstractNumId w:val="51211"/>
  </w:num>
  <w:num w:numId="49">
    <w:abstractNumId w:val="51212"/>
  </w:num>
  <w:num w:numId="50">
    <w:abstractNumId w:val="51213"/>
  </w:num>
  <w:num w:numId="51">
    <w:abstractNumId w:val="51214"/>
  </w:num>
  <w:num w:numId="52">
    <w:abstractNumId w:val="51215"/>
  </w:num>
  <w:num w:numId="53">
    <w:abstractNumId w:val="51216"/>
  </w:num>
  <w:num w:numId="54">
    <w:abstractNumId w:val="51217"/>
  </w:num>
  <w:num w:numId="55">
    <w:abstractNumId w:val="51218"/>
  </w:num>
  <w:num w:numId="56">
    <w:abstractNumId w:val="51219"/>
  </w:num>
  <w:num w:numId="57">
    <w:abstractNumId w:val="51220"/>
  </w:num>
  <w:num w:numId="58">
    <w:abstractNumId w:val="51221"/>
  </w:num>
  <w:num w:numId="59">
    <w:abstractNumId w:val="51222"/>
  </w:num>
  <w:num w:numId="60">
    <w:abstractNumId w:val="51223"/>
  </w:num>
  <w:num w:numId="61">
    <w:abstractNumId w:val="51224"/>
  </w:num>
  <w:num w:numId="62">
    <w:abstractNumId w:val="51225"/>
  </w:num>
  <w:num w:numId="63">
    <w:abstractNumId w:val="51226"/>
  </w:num>
  <w:num w:numId="64">
    <w:abstractNumId w:val="51227"/>
  </w:num>
  <w:num w:numId="65">
    <w:abstractNumId w:val="51228"/>
  </w:num>
  <w:num w:numId="66">
    <w:abstractNumId w:val="51229"/>
  </w:num>
  <w:num w:numId="67">
    <w:abstractNumId w:val="51230"/>
  </w:num>
  <w:num w:numId="68">
    <w:abstractNumId w:val="51231"/>
  </w:num>
  <w:num w:numId="69">
    <w:abstractNumId w:val="51232"/>
  </w:num>
  <w:num w:numId="70">
    <w:abstractNumId w:val="51233"/>
  </w:num>
  <w:num w:numId="71">
    <w:abstractNumId w:val="51234"/>
  </w:num>
  <w:num w:numId="72">
    <w:abstractNumId w:val="51235"/>
  </w:num>
  <w:num w:numId="73">
    <w:abstractNumId w:val="51236"/>
  </w:num>
  <w:num w:numId="74">
    <w:abstractNumId w:val="51237"/>
  </w:num>
  <w:num w:numId="75">
    <w:abstractNumId w:val="51238"/>
  </w:num>
  <w:num w:numId="76">
    <w:abstractNumId w:val="51239"/>
  </w:num>
  <w:num w:numId="77">
    <w:abstractNumId w:val="51240"/>
  </w:num>
  <w:num w:numId="78">
    <w:abstractNumId w:val="51241"/>
  </w:num>
  <w:num w:numId="79">
    <w:abstractNumId w:val="51242"/>
  </w:num>
  <w:num w:numId="80">
    <w:abstractNumId w:val="51243"/>
  </w:num>
  <w:num w:numId="81">
    <w:abstractNumId w:val="51244"/>
  </w:num>
  <w:num w:numId="82">
    <w:abstractNumId w:val="51245"/>
  </w:num>
  <w:num w:numId="83">
    <w:abstractNumId w:val="51246"/>
  </w:num>
  <w:num w:numId="84">
    <w:abstractNumId w:val="51247"/>
  </w:num>
  <w:num w:numId="85">
    <w:abstractNumId w:val="51248"/>
  </w:num>
  <w:num w:numId="86">
    <w:abstractNumId w:val="51249"/>
  </w:num>
  <w:num w:numId="87">
    <w:abstractNumId w:val="51250"/>
  </w:num>
  <w:num w:numId="88">
    <w:abstractNumId w:val="51251"/>
  </w:num>
  <w:num w:numId="89">
    <w:abstractNumId w:val="51252"/>
  </w:num>
  <w:num w:numId="90">
    <w:abstractNumId w:val="51253"/>
  </w:num>
  <w:num w:numId="91">
    <w:abstractNumId w:val="51254"/>
  </w:num>
  <w:num w:numId="92">
    <w:abstractNumId w:val="51255"/>
  </w:num>
  <w:num w:numId="93">
    <w:abstractNumId w:val="51256"/>
  </w:num>
  <w:num w:numId="94">
    <w:abstractNumId w:val="51257"/>
  </w:num>
  <w:num w:numId="95">
    <w:abstractNumId w:val="51258"/>
  </w:num>
  <w:num w:numId="96">
    <w:abstractNumId w:val="51259"/>
  </w:num>
  <w:num w:numId="97">
    <w:abstractNumId w:val="51260"/>
  </w:num>
  <w:num w:numId="98">
    <w:abstractNumId w:val="51261"/>
  </w:num>
  <w:num w:numId="99">
    <w:abstractNumId w:val="51262"/>
  </w:num>
  <w:num w:numId="100">
    <w:abstractNumId w:val="51263"/>
  </w:num>
  <w:num w:numId="101">
    <w:abstractNumId w:val="51264"/>
  </w:num>
  <w:num w:numId="102">
    <w:abstractNumId w:val="51265"/>
  </w:num>
  <w:num w:numId="103">
    <w:abstractNumId w:val="51266"/>
  </w:num>
  <w:num w:numId="104">
    <w:abstractNumId w:val="51267"/>
  </w:num>
  <w:num w:numId="105">
    <w:abstractNumId w:val="51268"/>
  </w:num>
  <w:num w:numId="106">
    <w:abstractNumId w:val="51269"/>
  </w:num>
  <w:num w:numId="107">
    <w:abstractNumId w:val="51270"/>
  </w:num>
  <w:num w:numId="108">
    <w:abstractNumId w:val="51271"/>
  </w:num>
  <w:num w:numId="109">
    <w:abstractNumId w:val="51272"/>
  </w:num>
  <w:num w:numId="110">
    <w:abstractNumId w:val="51273"/>
  </w:num>
  <w:num w:numId="111">
    <w:abstractNumId w:val="51274"/>
  </w:num>
  <w:num w:numId="112">
    <w:abstractNumId w:val="51275"/>
  </w:num>
  <w:num w:numId="113">
    <w:abstractNumId w:val="51276"/>
  </w:num>
  <w:num w:numId="114">
    <w:abstractNumId w:val="51277"/>
  </w:num>
  <w:num w:numId="115">
    <w:abstractNumId w:val="51278"/>
  </w:num>
  <w:num w:numId="116">
    <w:abstractNumId w:val="51279"/>
  </w:num>
  <w:num w:numId="117">
    <w:abstractNumId w:val="51280"/>
  </w:num>
  <w:num w:numId="118">
    <w:abstractNumId w:val="51281"/>
  </w:num>
  <w:num w:numId="119">
    <w:abstractNumId w:val="51282"/>
  </w:num>
  <w:num w:numId="120">
    <w:abstractNumId w:val="51283"/>
  </w:num>
  <w:num w:numId="121">
    <w:abstractNumId w:val="51284"/>
  </w:num>
  <w:num w:numId="122">
    <w:abstractNumId w:val="51285"/>
  </w:num>
  <w:num w:numId="123">
    <w:abstractNumId w:val="51286"/>
  </w:num>
  <w:num w:numId="124">
    <w:abstractNumId w:val="51287"/>
  </w:num>
  <w:num w:numId="125">
    <w:abstractNumId w:val="51288"/>
  </w:num>
  <w:num w:numId="126">
    <w:abstractNumId w:val="51289"/>
  </w:num>
  <w:num w:numId="127">
    <w:abstractNumId w:val="51290"/>
  </w:num>
  <w:num w:numId="128">
    <w:abstractNumId w:val="51291"/>
  </w:num>
  <w:num w:numId="129">
    <w:abstractNumId w:val="51292"/>
  </w:num>
  <w:num w:numId="130">
    <w:abstractNumId w:val="51293"/>
  </w:num>
  <w:num w:numId="131">
    <w:abstractNumId w:val="51294"/>
  </w:num>
  <w:num w:numId="132">
    <w:abstractNumId w:val="51295"/>
  </w:num>
  <w:num w:numId="133">
    <w:abstractNumId w:val="51296"/>
  </w:num>
  <w:num w:numId="134">
    <w:abstractNumId w:val="51297"/>
  </w:num>
  <w:num w:numId="135">
    <w:abstractNumId w:val="51298"/>
  </w:num>
  <w:num w:numId="136">
    <w:abstractNumId w:val="51299"/>
  </w:num>
  <w:num w:numId="137">
    <w:abstractNumId w:val="51300"/>
  </w:num>
  <w:num w:numId="138">
    <w:abstractNumId w:val="51301"/>
  </w:num>
  <w:num w:numId="139">
    <w:abstractNumId w:val="51302"/>
  </w:num>
  <w:num w:numId="140">
    <w:abstractNumId w:val="51303"/>
  </w:num>
  <w:num w:numId="141">
    <w:abstractNumId w:val="51304"/>
  </w:num>
  <w:num w:numId="142">
    <w:abstractNumId w:val="51305"/>
  </w:num>
  <w:num w:numId="143">
    <w:abstractNumId w:val="51306"/>
  </w:num>
  <w:num w:numId="144">
    <w:abstractNumId w:val="51307"/>
  </w:num>
  <w:num w:numId="145">
    <w:abstractNumId w:val="51308"/>
  </w:num>
  <w:num w:numId="146">
    <w:abstractNumId w:val="51309"/>
  </w:num>
  <w:num w:numId="147">
    <w:abstractNumId w:val="51310"/>
  </w:num>
  <w:num w:numId="148">
    <w:abstractNumId w:val="51311"/>
  </w:num>
  <w:num w:numId="149">
    <w:abstractNumId w:val="51312"/>
  </w:num>
  <w:num w:numId="150">
    <w:abstractNumId w:val="51313"/>
  </w:num>
  <w:num w:numId="151">
    <w:abstractNumId w:val="51314"/>
  </w:num>
  <w:num w:numId="152">
    <w:abstractNumId w:val="51315"/>
  </w:num>
  <w:num w:numId="153">
    <w:abstractNumId w:val="51316"/>
  </w:num>
  <w:num w:numId="154">
    <w:abstractNumId w:val="51317"/>
  </w:num>
  <w:num w:numId="155">
    <w:abstractNumId w:val="51318"/>
  </w:num>
  <w:num w:numId="156">
    <w:abstractNumId w:val="51319"/>
  </w:num>
  <w:num w:numId="157">
    <w:abstractNumId w:val="51320"/>
  </w:num>
  <w:num w:numId="158">
    <w:abstractNumId w:val="51321"/>
  </w:num>
  <w:num w:numId="159">
    <w:abstractNumId w:val="51322"/>
  </w:num>
  <w:num w:numId="160">
    <w:abstractNumId w:val="51323"/>
  </w:num>
  <w:num w:numId="161">
    <w:abstractNumId w:val="51324"/>
  </w:num>
  <w:num w:numId="162">
    <w:abstractNumId w:val="51325"/>
  </w:num>
  <w:num w:numId="163">
    <w:abstractNumId w:val="51326"/>
  </w:num>
  <w:num w:numId="164">
    <w:abstractNumId w:val="51327"/>
  </w:num>
  <w:num w:numId="165">
    <w:abstractNumId w:val="51328"/>
  </w:num>
  <w:num w:numId="166">
    <w:abstractNumId w:val="51329"/>
  </w:num>
  <w:num w:numId="167">
    <w:abstractNumId w:val="51330"/>
  </w:num>
  <w:num w:numId="168">
    <w:abstractNumId w:val="51331"/>
  </w:num>
  <w:num w:numId="169">
    <w:abstractNumId w:val="51332"/>
  </w:num>
  <w:num w:numId="170">
    <w:abstractNumId w:val="51333"/>
  </w:num>
  <w:num w:numId="171">
    <w:abstractNumId w:val="51334"/>
  </w:num>
  <w:num w:numId="172">
    <w:abstractNumId w:val="51335"/>
  </w:num>
  <w:num w:numId="173">
    <w:abstractNumId w:val="51336"/>
  </w:num>
  <w:num w:numId="174">
    <w:abstractNumId w:val="51337"/>
  </w:num>
  <w:num w:numId="175">
    <w:abstractNumId w:val="51338"/>
  </w:num>
  <w:num w:numId="176">
    <w:abstractNumId w:val="51339"/>
  </w:num>
  <w:num w:numId="177">
    <w:abstractNumId w:val="51340"/>
  </w:num>
  <w:num w:numId="178">
    <w:abstractNumId w:val="51341"/>
  </w:num>
  <w:num w:numId="179">
    <w:abstractNumId w:val="51342"/>
  </w:num>
  <w:num w:numId="180">
    <w:abstractNumId w:val="51343"/>
  </w:num>
  <w:num w:numId="181">
    <w:abstractNumId w:val="51344"/>
  </w:num>
  <w:num w:numId="182">
    <w:abstractNumId w:val="51345"/>
  </w:num>
  <w:num w:numId="183">
    <w:abstractNumId w:val="51346"/>
  </w:num>
  <w:num w:numId="184">
    <w:abstractNumId w:val="51347"/>
  </w:num>
  <w:num w:numId="185">
    <w:abstractNumId w:val="51348"/>
  </w:num>
  <w:num w:numId="186">
    <w:abstractNumId w:val="51349"/>
  </w:num>
  <w:num w:numId="187">
    <w:abstractNumId w:val="51350"/>
  </w:num>
  <w:num w:numId="188">
    <w:abstractNumId w:val="51351"/>
  </w:num>
  <w:num w:numId="189">
    <w:abstractNumId w:val="51352"/>
  </w:num>
  <w:num w:numId="190">
    <w:abstractNumId w:val="51353"/>
  </w:num>
  <w:num w:numId="191">
    <w:abstractNumId w:val="51354"/>
  </w:num>
  <w:num w:numId="192">
    <w:abstractNumId w:val="51355"/>
  </w:num>
  <w:num w:numId="193">
    <w:abstractNumId w:val="51356"/>
  </w:num>
  <w:num w:numId="194">
    <w:abstractNumId w:val="51357"/>
  </w:num>
  <w:num w:numId="195">
    <w:abstractNumId w:val="51358"/>
  </w:num>
  <w:num w:numId="196">
    <w:abstractNumId w:val="51359"/>
  </w:num>
  <w:num w:numId="197">
    <w:abstractNumId w:val="51360"/>
  </w:num>
  <w:num w:numId="198">
    <w:abstractNumId w:val="51361"/>
  </w:num>
  <w:num w:numId="199">
    <w:abstractNumId w:val="51362"/>
  </w:num>
  <w:num w:numId="200">
    <w:abstractNumId w:val="51363"/>
  </w:num>
  <w:num w:numId="201">
    <w:abstractNumId w:val="51364"/>
  </w:num>
  <w:num w:numId="202">
    <w:abstractNumId w:val="51365"/>
  </w:num>
  <w:num w:numId="203">
    <w:abstractNumId w:val="51366"/>
  </w:num>
  <w:num w:numId="204">
    <w:abstractNumId w:val="51367"/>
  </w:num>
  <w:num w:numId="205">
    <w:abstractNumId w:val="51368"/>
  </w:num>
  <w:num w:numId="206">
    <w:abstractNumId w:val="51369"/>
  </w:num>
  <w:num w:numId="207">
    <w:abstractNumId w:val="51370"/>
  </w:num>
  <w:num w:numId="208">
    <w:abstractNumId w:val="51371"/>
  </w:num>
  <w:num w:numId="209">
    <w:abstractNumId w:val="51372"/>
  </w:num>
  <w:num w:numId="210">
    <w:abstractNumId w:val="51373"/>
  </w:num>
  <w:num w:numId="211">
    <w:abstractNumId w:val="51374"/>
  </w:num>
  <w:num w:numId="212">
    <w:abstractNumId w:val="51375"/>
  </w:num>
  <w:num w:numId="213">
    <w:abstractNumId w:val="51376"/>
  </w:num>
  <w:num w:numId="214">
    <w:abstractNumId w:val="51377"/>
  </w:num>
  <w:num w:numId="215">
    <w:abstractNumId w:val="51378"/>
  </w:num>
  <w:num w:numId="216">
    <w:abstractNumId w:val="51379"/>
  </w:num>
  <w:num w:numId="217">
    <w:abstractNumId w:val="51380"/>
  </w:num>
  <w:num w:numId="218">
    <w:abstractNumId w:val="51381"/>
  </w:num>
  <w:num w:numId="219">
    <w:abstractNumId w:val="51382"/>
  </w:num>
  <w:num w:numId="220">
    <w:abstractNumId w:val="51383"/>
  </w:num>
  <w:num w:numId="221">
    <w:abstractNumId w:val="51384"/>
  </w:num>
  <w:num w:numId="222">
    <w:abstractNumId w:val="51385"/>
  </w:num>
  <w:num w:numId="223">
    <w:abstractNumId w:val="51386"/>
  </w:num>
  <w:num w:numId="224">
    <w:abstractNumId w:val="51387"/>
  </w:num>
  <w:num w:numId="225">
    <w:abstractNumId w:val="51388"/>
  </w:num>
  <w:num w:numId="226">
    <w:abstractNumId w:val="51389"/>
  </w:num>
  <w:num w:numId="227">
    <w:abstractNumId w:val="51390"/>
  </w:num>
  <w:num w:numId="228">
    <w:abstractNumId w:val="51391"/>
  </w:num>
  <w:num w:numId="229">
    <w:abstractNumId w:val="51392"/>
  </w:num>
  <w:num w:numId="230">
    <w:abstractNumId w:val="51393"/>
  </w:num>
  <w:num w:numId="231">
    <w:abstractNumId w:val="51394"/>
  </w:num>
  <w:num w:numId="232">
    <w:abstractNumId w:val="51395"/>
  </w:num>
  <w:num w:numId="233">
    <w:abstractNumId w:val="51396"/>
  </w:num>
  <w:num w:numId="234">
    <w:abstractNumId w:val="51397"/>
  </w:num>
  <w:num w:numId="235">
    <w:abstractNumId w:val="51398"/>
  </w:num>
  <w:num w:numId="236">
    <w:abstractNumId w:val="51399"/>
  </w:num>
  <w:num w:numId="237">
    <w:abstractNumId w:val="51400"/>
  </w:num>
  <w:num w:numId="238">
    <w:abstractNumId w:val="51401"/>
  </w:num>
  <w:num w:numId="239">
    <w:abstractNumId w:val="51402"/>
  </w:num>
  <w:num w:numId="240">
    <w:abstractNumId w:val="51403"/>
  </w:num>
  <w:num w:numId="241">
    <w:abstractNumId w:val="51404"/>
  </w:num>
  <w:num w:numId="242">
    <w:abstractNumId w:val="51405"/>
  </w:num>
  <w:num w:numId="243">
    <w:abstractNumId w:val="51406"/>
  </w:num>
  <w:num w:numId="244">
    <w:abstractNumId w:val="51407"/>
  </w:num>
  <w:num w:numId="245">
    <w:abstractNumId w:val="51408"/>
  </w:num>
  <w:num w:numId="246">
    <w:abstractNumId w:val="51409"/>
  </w:num>
  <w:num w:numId="247">
    <w:abstractNumId w:val="51410"/>
  </w:num>
  <w:num w:numId="248">
    <w:abstractNumId w:val="51411"/>
  </w:num>
  <w:num w:numId="249">
    <w:abstractNumId w:val="51412"/>
  </w:num>
  <w:num w:numId="250">
    <w:abstractNumId w:val="51413"/>
  </w:num>
  <w:num w:numId="251">
    <w:abstractNumId w:val="51414"/>
  </w:num>
  <w:num w:numId="252">
    <w:abstractNumId w:val="51415"/>
  </w:num>
  <w:num w:numId="253">
    <w:abstractNumId w:val="51416"/>
  </w:num>
  <w:num w:numId="254">
    <w:abstractNumId w:val="51417"/>
  </w:num>
  <w:num w:numId="255">
    <w:abstractNumId w:val="51418"/>
  </w:num>
  <w:num w:numId="256">
    <w:abstractNumId w:val="51419"/>
  </w:num>
  <w:num w:numId="257">
    <w:abstractNumId w:val="51420"/>
  </w:num>
  <w:num w:numId="258">
    <w:abstractNumId w:val="51421"/>
  </w:num>
  <w:num w:numId="259">
    <w:abstractNumId w:val="51422"/>
  </w:num>
  <w:num w:numId="260">
    <w:abstractNumId w:val="51423"/>
  </w:num>
  <w:num w:numId="261">
    <w:abstractNumId w:val="51424"/>
  </w:num>
  <w:num w:numId="262">
    <w:abstractNumId w:val="51425"/>
  </w:num>
  <w:num w:numId="263">
    <w:abstractNumId w:val="51426"/>
  </w:num>
  <w:num w:numId="264">
    <w:abstractNumId w:val="51427"/>
  </w:num>
  <w:num w:numId="265">
    <w:abstractNumId w:val="51428"/>
  </w:num>
  <w:num w:numId="266">
    <w:abstractNumId w:val="51429"/>
  </w:num>
  <w:num w:numId="267">
    <w:abstractNumId w:val="51430"/>
  </w:num>
  <w:num w:numId="268">
    <w:abstractNumId w:val="51431"/>
  </w:num>
  <w:num w:numId="269">
    <w:abstractNumId w:val="51432"/>
  </w:num>
  <w:num w:numId="270">
    <w:abstractNumId w:val="51433"/>
  </w:num>
  <w:num w:numId="271">
    <w:abstractNumId w:val="51434"/>
  </w:num>
  <w:num w:numId="272">
    <w:abstractNumId w:val="51435"/>
  </w:num>
  <w:num w:numId="273">
    <w:abstractNumId w:val="51436"/>
  </w:num>
  <w:num w:numId="274">
    <w:abstractNumId w:val="51437"/>
  </w:num>
  <w:num w:numId="275">
    <w:abstractNumId w:val="51438"/>
  </w:num>
  <w:num w:numId="276">
    <w:abstractNumId w:val="51439"/>
  </w:num>
  <w:num w:numId="277">
    <w:abstractNumId w:val="51440"/>
  </w:num>
  <w:num w:numId="278">
    <w:abstractNumId w:val="51441"/>
  </w:num>
  <w:num w:numId="279">
    <w:abstractNumId w:val="51442"/>
  </w:num>
  <w:num w:numId="280">
    <w:abstractNumId w:val="51443"/>
  </w:num>
  <w:num w:numId="281">
    <w:abstractNumId w:val="51444"/>
  </w:num>
  <w:num w:numId="282">
    <w:abstractNumId w:val="51445"/>
  </w:num>
  <w:num w:numId="283">
    <w:abstractNumId w:val="51446"/>
  </w:num>
  <w:num w:numId="284">
    <w:abstractNumId w:val="51447"/>
  </w:num>
  <w:num w:numId="285">
    <w:abstractNumId w:val="51448"/>
  </w:num>
  <w:num w:numId="286">
    <w:abstractNumId w:val="51449"/>
  </w:num>
  <w:num w:numId="287">
    <w:abstractNumId w:val="51450"/>
  </w:num>
  <w:num w:numId="288">
    <w:abstractNumId w:val="51451"/>
  </w:num>
  <w:num w:numId="289">
    <w:abstractNumId w:val="51452"/>
  </w:num>
  <w:num w:numId="290">
    <w:abstractNumId w:val="51453"/>
  </w:num>
  <w:num w:numId="291">
    <w:abstractNumId w:val="51454"/>
  </w:num>
  <w:num w:numId="292">
    <w:abstractNumId w:val="51455"/>
  </w:num>
  <w:num w:numId="293">
    <w:abstractNumId w:val="51456"/>
  </w:num>
  <w:num w:numId="294">
    <w:abstractNumId w:val="51457"/>
  </w:num>
  <w:num w:numId="295">
    <w:abstractNumId w:val="51458"/>
  </w:num>
  <w:num w:numId="296">
    <w:abstractNumId w:val="51459"/>
  </w:num>
  <w:num w:numId="297">
    <w:abstractNumId w:val="51460"/>
  </w:num>
  <w:num w:numId="298">
    <w:abstractNumId w:val="51461"/>
  </w:num>
  <w:num w:numId="299">
    <w:abstractNumId w:val="51462"/>
  </w:num>
  <w:num w:numId="300">
    <w:abstractNumId w:val="51463"/>
  </w:num>
  <w:num w:numId="301">
    <w:abstractNumId w:val="51464"/>
  </w:num>
  <w:num w:numId="302">
    <w:abstractNumId w:val="51465"/>
  </w:num>
  <w:num w:numId="303">
    <w:abstractNumId w:val="51466"/>
  </w:num>
  <w:num w:numId="304">
    <w:abstractNumId w:val="51467"/>
  </w:num>
  <w:num w:numId="305">
    <w:abstractNumId w:val="51468"/>
  </w:num>
  <w:num w:numId="306">
    <w:abstractNumId w:val="51469"/>
  </w:num>
  <w:num w:numId="307">
    <w:abstractNumId w:val="51470"/>
  </w:num>
  <w:num w:numId="308">
    <w:abstractNumId w:val="51471"/>
  </w:num>
  <w:num w:numId="309">
    <w:abstractNumId w:val="51472"/>
  </w:num>
  <w:num w:numId="310">
    <w:abstractNumId w:val="51473"/>
  </w:num>
  <w:num w:numId="311">
    <w:abstractNumId w:val="51474"/>
  </w:num>
  <w:num w:numId="312">
    <w:abstractNumId w:val="51475"/>
  </w:num>
  <w:num w:numId="313">
    <w:abstractNumId w:val="51476"/>
  </w:num>
  <w:num w:numId="314">
    <w:abstractNumId w:val="51477"/>
  </w:num>
  <w:num w:numId="315">
    <w:abstractNumId w:val="51478"/>
  </w:num>
  <w:num w:numId="316">
    <w:abstractNumId w:val="51479"/>
  </w:num>
  <w:num w:numId="317">
    <w:abstractNumId w:val="51480"/>
  </w:num>
  <w:num w:numId="318">
    <w:abstractNumId w:val="51481"/>
  </w:num>
  <w:num w:numId="319">
    <w:abstractNumId w:val="51482"/>
  </w:num>
  <w:num w:numId="320">
    <w:abstractNumId w:val="51483"/>
  </w:num>
  <w:num w:numId="321">
    <w:abstractNumId w:val="51484"/>
  </w:num>
  <w:num w:numId="322">
    <w:abstractNumId w:val="51485"/>
  </w:num>
  <w:num w:numId="323">
    <w:abstractNumId w:val="51486"/>
  </w:num>
  <w:num w:numId="324">
    <w:abstractNumId w:val="51487"/>
  </w:num>
  <w:num w:numId="325">
    <w:abstractNumId w:val="51488"/>
  </w:num>
  <w:num w:numId="326">
    <w:abstractNumId w:val="51489"/>
  </w:num>
  <w:num w:numId="327">
    <w:abstractNumId w:val="51490"/>
  </w:num>
  <w:num w:numId="328">
    <w:abstractNumId w:val="51491"/>
  </w:num>
  <w:num w:numId="329">
    <w:abstractNumId w:val="51492"/>
  </w:num>
  <w:num w:numId="330">
    <w:abstractNumId w:val="51493"/>
  </w:num>
  <w:num w:numId="331">
    <w:abstractNumId w:val="51494"/>
  </w:num>
  <w:num w:numId="332">
    <w:abstractNumId w:val="51495"/>
  </w:num>
  <w:num w:numId="333">
    <w:abstractNumId w:val="51496"/>
  </w:num>
  <w:num w:numId="334">
    <w:abstractNumId w:val="51497"/>
  </w:num>
  <w:num w:numId="335">
    <w:abstractNumId w:val="51498"/>
  </w:num>
  <w:num w:numId="336">
    <w:abstractNumId w:val="51499"/>
  </w:num>
  <w:num w:numId="337">
    <w:abstractNumId w:val="51500"/>
  </w:num>
  <w:num w:numId="338">
    <w:abstractNumId w:val="51501"/>
  </w:num>
  <w:num w:numId="339">
    <w:abstractNumId w:val="51502"/>
  </w:num>
  <w:num w:numId="340">
    <w:abstractNumId w:val="51503"/>
  </w:num>
  <w:num w:numId="341">
    <w:abstractNumId w:val="51504"/>
  </w:num>
  <w:num w:numId="342">
    <w:abstractNumId w:val="51505"/>
  </w:num>
  <w:num w:numId="343">
    <w:abstractNumId w:val="51506"/>
  </w:num>
  <w:num w:numId="344">
    <w:abstractNumId w:val="51507"/>
  </w:num>
  <w:num w:numId="345">
    <w:abstractNumId w:val="51508"/>
  </w:num>
  <w:num w:numId="346">
    <w:abstractNumId w:val="51509"/>
  </w:num>
  <w:num w:numId="347">
    <w:abstractNumId w:val="51510"/>
  </w:num>
  <w:num w:numId="348">
    <w:abstractNumId w:val="51511"/>
  </w:num>
  <w:num w:numId="349">
    <w:abstractNumId w:val="51512"/>
  </w:num>
  <w:num w:numId="350">
    <w:abstractNumId w:val="51513"/>
  </w:num>
  <w:num w:numId="351">
    <w:abstractNumId w:val="51514"/>
  </w:num>
  <w:num w:numId="352">
    <w:abstractNumId w:val="51515"/>
  </w:num>
  <w:num w:numId="353">
    <w:abstractNumId w:val="51516"/>
  </w:num>
  <w:num w:numId="354">
    <w:abstractNumId w:val="51517"/>
  </w:num>
  <w:num w:numId="355">
    <w:abstractNumId w:val="51518"/>
  </w:num>
  <w:num w:numId="356">
    <w:abstractNumId w:val="51519"/>
  </w:num>
  <w:num w:numId="357">
    <w:abstractNumId w:val="51520"/>
  </w:num>
  <w:num w:numId="358">
    <w:abstractNumId w:val="51521"/>
  </w:num>
  <w:num w:numId="359">
    <w:abstractNumId w:val="51522"/>
  </w:num>
  <w:num w:numId="360">
    <w:abstractNumId w:val="51523"/>
  </w:num>
  <w:num w:numId="361">
    <w:abstractNumId w:val="51524"/>
  </w:num>
  <w:num w:numId="362">
    <w:abstractNumId w:val="51525"/>
  </w:num>
  <w:num w:numId="363">
    <w:abstractNumId w:val="51526"/>
  </w:num>
  <w:num w:numId="364">
    <w:abstractNumId w:val="51527"/>
  </w:num>
  <w:num w:numId="365">
    <w:abstractNumId w:val="51528"/>
  </w:num>
  <w:num w:numId="366">
    <w:abstractNumId w:val="51529"/>
  </w:num>
  <w:num w:numId="367">
    <w:abstractNumId w:val="51530"/>
  </w:num>
  <w:num w:numId="368">
    <w:abstractNumId w:val="51531"/>
  </w:num>
  <w:num w:numId="369">
    <w:abstractNumId w:val="51532"/>
  </w:num>
  <w:num w:numId="370">
    <w:abstractNumId w:val="51533"/>
  </w:num>
  <w:num w:numId="371">
    <w:abstractNumId w:val="51534"/>
  </w:num>
  <w:num w:numId="372">
    <w:abstractNumId w:val="51535"/>
  </w:num>
  <w:num w:numId="373">
    <w:abstractNumId w:val="51536"/>
  </w:num>
  <w:num w:numId="374">
    <w:abstractNumId w:val="51537"/>
  </w:num>
  <w:num w:numId="375">
    <w:abstractNumId w:val="51538"/>
  </w:num>
  <w:num w:numId="376">
    <w:abstractNumId w:val="51539"/>
  </w:num>
  <w:num w:numId="377">
    <w:abstractNumId w:val="51540"/>
  </w:num>
  <w:num w:numId="378">
    <w:abstractNumId w:val="51541"/>
  </w:num>
  <w:num w:numId="379">
    <w:abstractNumId w:val="51542"/>
  </w:num>
  <w:num w:numId="380">
    <w:abstractNumId w:val="51543"/>
  </w:num>
  <w:num w:numId="381">
    <w:abstractNumId w:val="51544"/>
  </w:num>
  <w:num w:numId="382">
    <w:abstractNumId w:val="51545"/>
  </w:num>
  <w:num w:numId="383">
    <w:abstractNumId w:val="51546"/>
  </w:num>
  <w:num w:numId="384">
    <w:abstractNumId w:val="51547"/>
  </w:num>
  <w:num w:numId="385">
    <w:abstractNumId w:val="51548"/>
  </w:num>
  <w:num w:numId="386">
    <w:abstractNumId w:val="51549"/>
  </w:num>
  <w:num w:numId="387">
    <w:abstractNumId w:val="51550"/>
  </w:num>
  <w:num w:numId="388">
    <w:abstractNumId w:val="51551"/>
  </w:num>
  <w:num w:numId="389">
    <w:abstractNumId w:val="51552"/>
  </w:num>
  <w:num w:numId="390">
    <w:abstractNumId w:val="51553"/>
  </w:num>
  <w:num w:numId="391">
    <w:abstractNumId w:val="51554"/>
  </w:num>
  <w:num w:numId="392">
    <w:abstractNumId w:val="51555"/>
  </w:num>
  <w:num w:numId="393">
    <w:abstractNumId w:val="51556"/>
  </w:num>
  <w:num w:numId="394">
    <w:abstractNumId w:val="51557"/>
  </w:num>
  <w:num w:numId="395">
    <w:abstractNumId w:val="51558"/>
  </w:num>
  <w:num w:numId="396">
    <w:abstractNumId w:val="51559"/>
  </w:num>
  <w:num w:numId="397">
    <w:abstractNumId w:val="51560"/>
  </w:num>
  <w:num w:numId="398">
    <w:abstractNumId w:val="51561"/>
  </w:num>
  <w:num w:numId="399">
    <w:abstractNumId w:val="51562"/>
  </w:num>
  <w:num w:numId="400">
    <w:abstractNumId w:val="51563"/>
  </w:num>
  <w:num w:numId="401">
    <w:abstractNumId w:val="51564"/>
  </w:num>
  <w:num w:numId="402">
    <w:abstractNumId w:val="51565"/>
  </w:num>
  <w:num w:numId="403">
    <w:abstractNumId w:val="51566"/>
  </w:num>
  <w:num w:numId="404">
    <w:abstractNumId w:val="51567"/>
  </w:num>
  <w:num w:numId="405">
    <w:abstractNumId w:val="51568"/>
  </w:num>
  <w:num w:numId="406">
    <w:abstractNumId w:val="51569"/>
  </w:num>
  <w:num w:numId="407">
    <w:abstractNumId w:val="51570"/>
  </w:num>
  <w:num w:numId="408">
    <w:abstractNumId w:val="51571"/>
  </w:num>
  <w:num w:numId="409">
    <w:abstractNumId w:val="51572"/>
  </w:num>
  <w:num w:numId="410">
    <w:abstractNumId w:val="51573"/>
  </w:num>
  <w:num w:numId="411">
    <w:abstractNumId w:val="51574"/>
  </w:num>
  <w:num w:numId="412">
    <w:abstractNumId w:val="51575"/>
  </w:num>
  <w:num w:numId="413">
    <w:abstractNumId w:val="51576"/>
  </w:num>
  <w:num w:numId="414">
    <w:abstractNumId w:val="51577"/>
  </w:num>
  <w:num w:numId="415">
    <w:abstractNumId w:val="51578"/>
  </w:num>
  <w:num w:numId="416">
    <w:abstractNumId w:val="51579"/>
  </w:num>
  <w:num w:numId="417">
    <w:abstractNumId w:val="51580"/>
  </w:num>
  <w:num w:numId="418">
    <w:abstractNumId w:val="51581"/>
  </w:num>
  <w:num w:numId="419">
    <w:abstractNumId w:val="51582"/>
  </w:num>
  <w:num w:numId="420">
    <w:abstractNumId w:val="51583"/>
  </w:num>
  <w:num w:numId="421">
    <w:abstractNumId w:val="51584"/>
  </w:num>
  <w:num w:numId="422">
    <w:abstractNumId w:val="51585"/>
  </w:num>
  <w:num w:numId="423">
    <w:abstractNumId w:val="51586"/>
  </w:num>
  <w:num w:numId="424">
    <w:abstractNumId w:val="51587"/>
  </w:num>
  <w:num w:numId="425">
    <w:abstractNumId w:val="51588"/>
  </w:num>
  <w:num w:numId="426">
    <w:abstractNumId w:val="51589"/>
  </w:num>
  <w:num w:numId="427">
    <w:abstractNumId w:val="51590"/>
  </w:num>
  <w:num w:numId="428">
    <w:abstractNumId w:val="51591"/>
  </w:num>
  <w:num w:numId="429">
    <w:abstractNumId w:val="51592"/>
  </w:num>
  <w:num w:numId="430">
    <w:abstractNumId w:val="51593"/>
  </w:num>
  <w:num w:numId="431">
    <w:abstractNumId w:val="51594"/>
  </w:num>
  <w:num w:numId="432">
    <w:abstractNumId w:val="51595"/>
  </w:num>
  <w:num w:numId="433">
    <w:abstractNumId w:val="51596"/>
  </w:num>
  <w:num w:numId="434">
    <w:abstractNumId w:val="51597"/>
  </w:num>
  <w:num w:numId="435">
    <w:abstractNumId w:val="51598"/>
  </w:num>
  <w:num w:numId="436">
    <w:abstractNumId w:val="51599"/>
  </w:num>
  <w:num w:numId="437">
    <w:abstractNumId w:val="51600"/>
  </w:num>
  <w:num w:numId="438">
    <w:abstractNumId w:val="51601"/>
  </w:num>
  <w:num w:numId="439">
    <w:abstractNumId w:val="51602"/>
  </w:num>
  <w:num w:numId="440">
    <w:abstractNumId w:val="51603"/>
  </w:num>
  <w:num w:numId="441">
    <w:abstractNumId w:val="51604"/>
  </w:num>
  <w:num w:numId="442">
    <w:abstractNumId w:val="51605"/>
  </w:num>
  <w:num w:numId="443">
    <w:abstractNumId w:val="51606"/>
  </w:num>
  <w:num w:numId="444">
    <w:abstractNumId w:val="51607"/>
  </w:num>
  <w:num w:numId="445">
    <w:abstractNumId w:val="51608"/>
  </w:num>
  <w:num w:numId="446">
    <w:abstractNumId w:val="51609"/>
  </w:num>
  <w:num w:numId="447">
    <w:abstractNumId w:val="51610"/>
  </w:num>
  <w:num w:numId="448">
    <w:abstractNumId w:val="51611"/>
  </w:num>
  <w:num w:numId="449">
    <w:abstractNumId w:val="51612"/>
  </w:num>
  <w:num w:numId="450">
    <w:abstractNumId w:val="51613"/>
  </w:num>
  <w:num w:numId="451">
    <w:abstractNumId w:val="51614"/>
  </w:num>
  <w:num w:numId="452">
    <w:abstractNumId w:val="51615"/>
  </w:num>
  <w:num w:numId="453">
    <w:abstractNumId w:val="51616"/>
  </w:num>
  <w:num w:numId="454">
    <w:abstractNumId w:val="51617"/>
  </w:num>
  <w:num w:numId="455">
    <w:abstractNumId w:val="51618"/>
  </w:num>
  <w:num w:numId="456">
    <w:abstractNumId w:val="51619"/>
  </w:num>
  <w:num w:numId="457">
    <w:abstractNumId w:val="51620"/>
  </w:num>
  <w:num w:numId="458">
    <w:abstractNumId w:val="51621"/>
  </w:num>
  <w:num w:numId="459">
    <w:abstractNumId w:val="5162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ksgf73ukjokp.sg.larksuite.com/docx/J7Y5d6w9moPT6JxQIgalbqybgif" TargetMode="External" Type="http://schemas.openxmlformats.org/officeDocument/2006/relationships/hyperlink"/><Relationship Id="rId5" Target="numbering.xml" Type="http://schemas.openxmlformats.org/officeDocument/2006/relationships/numbering"/><Relationship Id="rId6" Target="https://ksgf73ukjokp.sg.larksuite.com/docx/SLB5dwR8eo5xy9xNLAFllX1Lg4b?from=from_copylink" TargetMode="External" Type="http://schemas.openxmlformats.org/officeDocument/2006/relationships/hyperlink"/><Relationship Id="rId7" Target="https://ksgf73ukjokp.sg.larksuite.com/docx/YSOvdYTKQowkpWxaHShlkJw1gId?from=from_copylink" TargetMode="External" Type="http://schemas.openxmlformats.org/officeDocument/2006/relationships/hyperlink"/><Relationship Id="rId8" Target="https://ksgf73ukjokp.sg.larksuite.com/docx/YSOvdYTKQowkpWxaHShlkJw1gId?from=from_copylink" TargetMode="External" Type="http://schemas.openxmlformats.org/officeDocument/2006/relationships/hyperlink"/><Relationship Id="rId9" Target="https://ksgf73ukjokp.sg.larksuite.com/wiki/KTRJwrRIoiGlMYkHlaDliiBHgoe"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2026-07-13T04:09:52Z</dcterms:created>
  <dc:creator>Apache POI</dc:creator>
</cp:coreProperties>
</file>