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0A6" w:rsidRDefault="00CA10A6" w:rsidP="00CA10A6">
      <w:pPr>
        <w:ind w:left="0"/>
        <w:jc w:val="both"/>
      </w:pPr>
      <w:r>
        <w:rPr>
          <w:noProof/>
          <w:lang w:eastAsia="en-GB"/>
        </w:rPr>
        <mc:AlternateContent>
          <mc:Choice Requires="wps">
            <w:drawing>
              <wp:anchor distT="0" distB="0" distL="114300" distR="114300" simplePos="0" relativeHeight="251659264" behindDoc="0" locked="0" layoutInCell="1" allowOverlap="1" wp14:anchorId="0B6F7D77" wp14:editId="4F2CE45E">
                <wp:simplePos x="0" y="0"/>
                <wp:positionH relativeFrom="margin">
                  <wp:align>right</wp:align>
                </wp:positionH>
                <wp:positionV relativeFrom="paragraph">
                  <wp:posOffset>0</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Default="00CA10A6"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Executive Summary</w:t>
                            </w:r>
                          </w:p>
                          <w:p w:rsidR="00E77B71" w:rsidRPr="00C4600D" w:rsidRDefault="00E77B71"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CA10A6">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Dale Stubbs</w:t>
                            </w: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6F7D77" id="_x0000_t202" coordsize="21600,21600" o:spt="202" path="m,l,21600r21600,l21600,xe">
                <v:stroke joinstyle="miter"/>
                <v:path gradientshapeok="t" o:connecttype="rect"/>
              </v:shapetype>
              <v:shape id="Text Box 2" o:spid="_x0000_s1026" type="#_x0000_t202" style="position:absolute;left:0;text-align:left;margin-left:398.95pt;margin-top:0;width:450.1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" fillcolor="#e7e6e6 [3214]" strokecolor="black [3213]">
                <v:textbox style="mso-fit-shape-to-text:t">
                  <w:txbxContent>
                    <w:p w:rsidR="00E77B71" w:rsidRDefault="00CA10A6"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Executive Summary</w:t>
                      </w:r>
                    </w:p>
                    <w:p w:rsidR="00E77B71" w:rsidRPr="00C4600D" w:rsidRDefault="00E77B71"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CA10A6">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Dale Stubbs</w:t>
                      </w: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v:textbox>
                <w10:wrap type="square" anchorx="margin"/>
              </v:shape>
            </w:pict>
          </mc:Fallback>
        </mc:AlternateContent>
      </w:r>
    </w:p>
    <w:p w:rsidR="00CA10A6" w:rsidRDefault="00CA10A6" w:rsidP="00CA10A6">
      <w:pPr>
        <w:ind w:left="0"/>
        <w:jc w:val="both"/>
      </w:pPr>
      <w:r>
        <w:t>The high street computer shop can be a very useful place to visit on occasions when something goes wrong that you can’t fix by yourself. This can be an expensive solution to the issues you may face especially if the problems keep occurring, Enter Anti-Forensics Solutions.</w:t>
      </w:r>
    </w:p>
    <w:p w:rsidR="00CA10A6" w:rsidRDefault="00CA10A6" w:rsidP="00CA10A6">
      <w:pPr>
        <w:ind w:left="0"/>
        <w:jc w:val="both"/>
      </w:pPr>
    </w:p>
    <w:p w:rsidR="00CA10A6" w:rsidRDefault="00CA10A6" w:rsidP="00CA10A6">
      <w:pPr>
        <w:ind w:left="0"/>
        <w:jc w:val="both"/>
      </w:pPr>
      <w:r>
        <w:t>We are a ‘high street</w:t>
      </w:r>
      <w:r>
        <w:t>’ style Anti-Forensics sho</w:t>
      </w:r>
      <w:r>
        <w:t>p based entirely online. This eliminates the requirement for you to remove your PC or laptop from where it’s situated which also eliminates the potential for damage to your hard drive.</w:t>
      </w:r>
    </w:p>
    <w:p w:rsidR="00CA10A6" w:rsidRDefault="00CA10A6" w:rsidP="00CA10A6">
      <w:pPr>
        <w:ind w:left="0"/>
        <w:jc w:val="both"/>
      </w:pPr>
    </w:p>
    <w:p w:rsidR="00CA10A6" w:rsidRDefault="00CA10A6" w:rsidP="00CA10A6">
      <w:pPr>
        <w:ind w:left="0"/>
        <w:jc w:val="both"/>
      </w:pPr>
      <w:r>
        <w:t xml:space="preserve">We offer a wide range of tools for our customers that range from </w:t>
      </w:r>
      <w:r w:rsidRPr="00CA10A6">
        <w:t>Password unlocking tools and Encryption key recovery</w:t>
      </w:r>
      <w:r>
        <w:t xml:space="preserve"> to </w:t>
      </w:r>
      <w:r w:rsidRPr="00CA10A6">
        <w:t>Wireshark, Network security assessment tool, Network monitor and Packet sniffers</w:t>
      </w:r>
      <w:r>
        <w:t>.</w:t>
      </w:r>
    </w:p>
    <w:p w:rsidR="00CA10A6" w:rsidRDefault="00CA10A6" w:rsidP="00CA10A6">
      <w:pPr>
        <w:ind w:left="0"/>
        <w:jc w:val="both"/>
      </w:pPr>
    </w:p>
    <w:p w:rsidR="00CA10A6" w:rsidRDefault="00CA10A6" w:rsidP="00CA10A6">
      <w:pPr>
        <w:ind w:left="0"/>
        <w:jc w:val="both"/>
      </w:pPr>
      <w:r>
        <w:t>We distribute all of our tools on bootable pen drives via the UK Postal Service. This means that once you’ve bought the tool you own the tool and can use it as much as is required.</w:t>
      </w:r>
    </w:p>
    <w:p w:rsidR="00CA10A6" w:rsidRDefault="00CA10A6" w:rsidP="00CA10A6">
      <w:pPr>
        <w:ind w:left="0"/>
        <w:jc w:val="both"/>
      </w:pPr>
    </w:p>
    <w:p w:rsidR="00F073CE" w:rsidRPr="00CA10A6" w:rsidRDefault="00CA10A6" w:rsidP="00E77B71">
      <w:pPr>
        <w:ind w:left="0"/>
        <w:jc w:val="both"/>
      </w:pPr>
      <w:r>
        <w:t>All of our tools were originally open source tools and therefore have not cost us a thing, eliminating the dreaded overheads of hiring multiple programmers with specialist expertise. As the tools are open source we needed to ensure that all legal channels were followed before creation of the tools.</w:t>
      </w:r>
      <w:bookmarkStart w:id="0" w:name="_GoBack"/>
      <w:bookmarkEnd w:id="0"/>
    </w:p>
    <w:sectPr w:rsidR="00F073CE" w:rsidRPr="00CA1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B3A"/>
      </v:shape>
    </w:pict>
  </w:numPicBullet>
  <w:abstractNum w:abstractNumId="0" w15:restartNumberingAfterBreak="0">
    <w:nsid w:val="1FC627C3"/>
    <w:multiLevelType w:val="hybridMultilevel"/>
    <w:tmpl w:val="463CE49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D03F60"/>
    <w:multiLevelType w:val="hybridMultilevel"/>
    <w:tmpl w:val="F7181422"/>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71"/>
    <w:rsid w:val="000478AC"/>
    <w:rsid w:val="00237241"/>
    <w:rsid w:val="002E4D10"/>
    <w:rsid w:val="00994478"/>
    <w:rsid w:val="00B51769"/>
    <w:rsid w:val="00CA10A6"/>
    <w:rsid w:val="00E07199"/>
    <w:rsid w:val="00E77B71"/>
    <w:rsid w:val="00F073CE"/>
    <w:rsid w:val="00F57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7C92-ACE7-47F9-95A7-D9E6D9CD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Dale Stubbs</cp:lastModifiedBy>
  <cp:revision>2</cp:revision>
  <dcterms:created xsi:type="dcterms:W3CDTF">2016-03-16T20:54:00Z</dcterms:created>
  <dcterms:modified xsi:type="dcterms:W3CDTF">2016-03-16T20:54:00Z</dcterms:modified>
</cp:coreProperties>
</file>