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B6B08" w14:textId="77777777" w:rsidR="00016DD9" w:rsidRDefault="00016DD9" w:rsidP="00561A16">
      <w:pPr>
        <w:tabs>
          <w:tab w:val="num" w:pos="720"/>
        </w:tabs>
        <w:spacing w:after="0" w:line="240" w:lineRule="auto"/>
        <w:ind w:left="720" w:hanging="360"/>
        <w:jc w:val="left"/>
        <w:textAlignment w:val="baseline"/>
      </w:pPr>
    </w:p>
    <w:p w14:paraId="675D8574" w14:textId="5950D785" w:rsidR="00016DD9" w:rsidRDefault="00016DD9" w:rsidP="00016DD9">
      <w:pPr>
        <w:spacing w:after="0" w:line="240" w:lineRule="auto"/>
        <w:ind w:left="720"/>
        <w:jc w:val="lef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>
        <w:rPr>
          <w:rFonts w:ascii="inherit" w:eastAsia="Times New Roman" w:hAnsi="inherit" w:cs="Arial"/>
          <w:color w:val="3C4043"/>
          <w:sz w:val="21"/>
          <w:szCs w:val="21"/>
        </w:rPr>
        <w:t>Sửa lỗi data:</w:t>
      </w:r>
    </w:p>
    <w:p w14:paraId="0E2C8CB2" w14:textId="74C3327D" w:rsidR="00016DD9" w:rsidRDefault="00016DD9" w:rsidP="00016DD9">
      <w:pPr>
        <w:pStyle w:val="ListParagraph"/>
        <w:numPr>
          <w:ilvl w:val="0"/>
          <w:numId w:val="2"/>
        </w:numPr>
        <w:jc w:val="lef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>Dữ liệu bị ghi sai ở 2 cột age (123, 144) và number_employ (122)</w:t>
      </w:r>
    </w:p>
    <w:p w14:paraId="3F5DAF07" w14:textId="0A8A414F" w:rsidR="00016DD9" w:rsidRDefault="00016DD9" w:rsidP="00351F70">
      <w:pPr>
        <w:pStyle w:val="ListParagraph"/>
        <w:ind w:left="1080"/>
        <w:jc w:val="left"/>
        <w:textAlignment w:val="baseline"/>
        <w:rPr>
          <w:rFonts w:ascii="inherit" w:hAnsi="inherit" w:cs="Arial"/>
          <w:color w:val="3C4043"/>
          <w:sz w:val="21"/>
          <w:szCs w:val="21"/>
        </w:rPr>
      </w:pPr>
      <w:r w:rsidRPr="00016DD9">
        <w:rPr>
          <w:rFonts w:ascii="inherit" w:hAnsi="inherit" w:cs="Arial"/>
          <w:color w:val="3C4043"/>
          <w:sz w:val="21"/>
          <w:szCs w:val="21"/>
        </w:rPr>
        <w:drawing>
          <wp:inline distT="0" distB="0" distL="0" distR="0" wp14:anchorId="5E15458F" wp14:editId="275ABBF5">
            <wp:extent cx="982980" cy="1551338"/>
            <wp:effectExtent l="0" t="0" r="7620" b="0"/>
            <wp:docPr id="33960677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06776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5918" cy="155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DD9">
        <w:rPr>
          <w:rFonts w:ascii="inherit" w:hAnsi="inherit" w:cs="Arial"/>
          <w:color w:val="3C4043"/>
          <w:sz w:val="21"/>
          <w:szCs w:val="21"/>
        </w:rPr>
        <w:drawing>
          <wp:inline distT="0" distB="0" distL="0" distR="0" wp14:anchorId="74F8297F" wp14:editId="471BE0A6">
            <wp:extent cx="1417443" cy="457240"/>
            <wp:effectExtent l="0" t="0" r="0" b="0"/>
            <wp:docPr id="1805775001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75001" name="Picture 1" descr="A close 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F795" w14:textId="79462CDA" w:rsidR="00E32AC1" w:rsidRDefault="00E32AC1" w:rsidP="00016DD9">
      <w:pPr>
        <w:pStyle w:val="ListParagraph"/>
        <w:numPr>
          <w:ilvl w:val="0"/>
          <w:numId w:val="2"/>
        </w:numPr>
        <w:jc w:val="lef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>Chuẩn hóa lại cột percent income thành phần trăm</w:t>
      </w:r>
    </w:p>
    <w:p w14:paraId="1E32EC89" w14:textId="77777777" w:rsidR="00016DD9" w:rsidRPr="00016DD9" w:rsidRDefault="00016DD9" w:rsidP="00351F70">
      <w:pPr>
        <w:pStyle w:val="ListParagraph"/>
        <w:ind w:left="1080"/>
        <w:jc w:val="left"/>
        <w:textAlignment w:val="baseline"/>
        <w:rPr>
          <w:rFonts w:ascii="inherit" w:hAnsi="inherit" w:cs="Arial"/>
          <w:color w:val="3C4043"/>
          <w:sz w:val="21"/>
          <w:szCs w:val="21"/>
        </w:rPr>
      </w:pPr>
    </w:p>
    <w:p w14:paraId="43D65B41" w14:textId="0545F1E5" w:rsidR="00561A16" w:rsidRPr="00561A16" w:rsidRDefault="00561A16" w:rsidP="00561A16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561A16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person_age:</w:t>
      </w:r>
      <w:r w:rsidRPr="00561A16">
        <w:rPr>
          <w:rFonts w:ascii="inherit" w:eastAsia="Times New Roman" w:hAnsi="inherit" w:cs="Arial"/>
          <w:color w:val="3C4043"/>
          <w:sz w:val="21"/>
          <w:szCs w:val="21"/>
        </w:rPr>
        <w:t> Age of the individual applying for the loan.</w:t>
      </w:r>
    </w:p>
    <w:p w14:paraId="1177B478" w14:textId="77777777" w:rsidR="00561A16" w:rsidRPr="00561A16" w:rsidRDefault="00561A16" w:rsidP="00561A16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561A16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person_income:</w:t>
      </w:r>
      <w:r w:rsidRPr="00561A16">
        <w:rPr>
          <w:rFonts w:ascii="inherit" w:eastAsia="Times New Roman" w:hAnsi="inherit" w:cs="Arial"/>
          <w:color w:val="3C4043"/>
          <w:sz w:val="21"/>
          <w:szCs w:val="21"/>
        </w:rPr>
        <w:t> Annual income of the individual.</w:t>
      </w:r>
    </w:p>
    <w:p w14:paraId="385309A1" w14:textId="77777777" w:rsidR="00561A16" w:rsidRPr="00561A16" w:rsidRDefault="00561A16" w:rsidP="00561A16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561A16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person_home_ownership:</w:t>
      </w:r>
      <w:r w:rsidRPr="00561A16">
        <w:rPr>
          <w:rFonts w:ascii="inherit" w:eastAsia="Times New Roman" w:hAnsi="inherit" w:cs="Arial"/>
          <w:color w:val="3C4043"/>
          <w:sz w:val="21"/>
          <w:szCs w:val="21"/>
        </w:rPr>
        <w:t> Type of home ownership of the individual.</w:t>
      </w:r>
    </w:p>
    <w:p w14:paraId="64A53B81" w14:textId="77777777" w:rsidR="00561A16" w:rsidRPr="00561A16" w:rsidRDefault="00561A16" w:rsidP="00561A16">
      <w:pPr>
        <w:numPr>
          <w:ilvl w:val="1"/>
          <w:numId w:val="1"/>
        </w:numPr>
        <w:spacing w:after="60" w:line="240" w:lineRule="auto"/>
        <w:jc w:val="lef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561A16">
        <w:rPr>
          <w:rFonts w:ascii="inherit" w:eastAsia="Times New Roman" w:hAnsi="inherit" w:cs="Arial"/>
          <w:color w:val="3C4043"/>
          <w:sz w:val="21"/>
          <w:szCs w:val="21"/>
        </w:rPr>
        <w:t>rent: The individual is currently renting a property.</w:t>
      </w:r>
    </w:p>
    <w:p w14:paraId="31E8B1C9" w14:textId="77777777" w:rsidR="00561A16" w:rsidRPr="00561A16" w:rsidRDefault="00561A16" w:rsidP="00561A16">
      <w:pPr>
        <w:numPr>
          <w:ilvl w:val="1"/>
          <w:numId w:val="1"/>
        </w:numPr>
        <w:spacing w:after="60" w:line="240" w:lineRule="auto"/>
        <w:jc w:val="lef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561A16">
        <w:rPr>
          <w:rFonts w:ascii="inherit" w:eastAsia="Times New Roman" w:hAnsi="inherit" w:cs="Arial"/>
          <w:color w:val="3C4043"/>
          <w:sz w:val="21"/>
          <w:szCs w:val="21"/>
        </w:rPr>
        <w:t>mortgage: The individual has a mortgage on the property they own.</w:t>
      </w:r>
    </w:p>
    <w:p w14:paraId="46F93167" w14:textId="77777777" w:rsidR="00561A16" w:rsidRPr="00561A16" w:rsidRDefault="00561A16" w:rsidP="00561A16">
      <w:pPr>
        <w:numPr>
          <w:ilvl w:val="1"/>
          <w:numId w:val="1"/>
        </w:numPr>
        <w:spacing w:after="60" w:line="240" w:lineRule="auto"/>
        <w:jc w:val="lef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561A16">
        <w:rPr>
          <w:rFonts w:ascii="inherit" w:eastAsia="Times New Roman" w:hAnsi="inherit" w:cs="Arial"/>
          <w:color w:val="3C4043"/>
          <w:sz w:val="21"/>
          <w:szCs w:val="21"/>
        </w:rPr>
        <w:t>own: The individual owns their home outright.</w:t>
      </w:r>
    </w:p>
    <w:p w14:paraId="60E91DE6" w14:textId="77777777" w:rsidR="00561A16" w:rsidRPr="00561A16" w:rsidRDefault="00561A16" w:rsidP="00561A16">
      <w:pPr>
        <w:numPr>
          <w:ilvl w:val="1"/>
          <w:numId w:val="1"/>
        </w:numPr>
        <w:spacing w:after="60" w:line="240" w:lineRule="auto"/>
        <w:jc w:val="lef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561A16">
        <w:rPr>
          <w:rFonts w:ascii="inherit" w:eastAsia="Times New Roman" w:hAnsi="inherit" w:cs="Arial"/>
          <w:color w:val="3C4043"/>
          <w:sz w:val="21"/>
          <w:szCs w:val="21"/>
        </w:rPr>
        <w:t>other: Other categories of home ownership that may be specific to the dataset.</w:t>
      </w:r>
    </w:p>
    <w:p w14:paraId="6A2CE674" w14:textId="77777777" w:rsidR="00561A16" w:rsidRPr="00561A16" w:rsidRDefault="00561A16" w:rsidP="00561A16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561A16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person_emp_length:</w:t>
      </w:r>
      <w:r w:rsidRPr="00561A16">
        <w:rPr>
          <w:rFonts w:ascii="inherit" w:eastAsia="Times New Roman" w:hAnsi="inherit" w:cs="Arial"/>
          <w:color w:val="3C4043"/>
          <w:sz w:val="21"/>
          <w:szCs w:val="21"/>
        </w:rPr>
        <w:t> Employment length of the individual in years.</w:t>
      </w:r>
    </w:p>
    <w:p w14:paraId="5791F18A" w14:textId="77777777" w:rsidR="00561A16" w:rsidRPr="00561A16" w:rsidRDefault="00561A16" w:rsidP="00561A16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561A16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loan_intent:</w:t>
      </w:r>
      <w:r w:rsidRPr="00561A16">
        <w:rPr>
          <w:rFonts w:ascii="inherit" w:eastAsia="Times New Roman" w:hAnsi="inherit" w:cs="Arial"/>
          <w:color w:val="3C4043"/>
          <w:sz w:val="21"/>
          <w:szCs w:val="21"/>
        </w:rPr>
        <w:t> The intent behind the loan application.</w:t>
      </w:r>
    </w:p>
    <w:p w14:paraId="14EC2F93" w14:textId="77777777" w:rsidR="00561A16" w:rsidRPr="00561A16" w:rsidRDefault="00561A16" w:rsidP="00561A16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561A16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loan_grade:</w:t>
      </w:r>
      <w:r w:rsidRPr="00561A16">
        <w:rPr>
          <w:rFonts w:ascii="inherit" w:eastAsia="Times New Roman" w:hAnsi="inherit" w:cs="Arial"/>
          <w:color w:val="3C4043"/>
          <w:sz w:val="21"/>
          <w:szCs w:val="21"/>
        </w:rPr>
        <w:t> The grade assigned to the loan based on the creditworthiness of the borrower.</w:t>
      </w:r>
    </w:p>
    <w:p w14:paraId="43E9D838" w14:textId="77777777" w:rsidR="00561A16" w:rsidRPr="00561A16" w:rsidRDefault="00561A16" w:rsidP="00561A16">
      <w:pPr>
        <w:numPr>
          <w:ilvl w:val="1"/>
          <w:numId w:val="1"/>
        </w:numPr>
        <w:spacing w:after="60" w:line="240" w:lineRule="auto"/>
        <w:jc w:val="lef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561A16">
        <w:rPr>
          <w:rFonts w:ascii="inherit" w:eastAsia="Times New Roman" w:hAnsi="inherit" w:cs="Arial"/>
          <w:color w:val="3C4043"/>
          <w:sz w:val="21"/>
          <w:szCs w:val="21"/>
        </w:rPr>
        <w:t>A: The borrower has a high creditworthiness, indicating low risk.</w:t>
      </w:r>
    </w:p>
    <w:p w14:paraId="7D18B08F" w14:textId="77777777" w:rsidR="00561A16" w:rsidRPr="00561A16" w:rsidRDefault="00561A16" w:rsidP="00561A16">
      <w:pPr>
        <w:numPr>
          <w:ilvl w:val="1"/>
          <w:numId w:val="1"/>
        </w:numPr>
        <w:spacing w:after="60" w:line="240" w:lineRule="auto"/>
        <w:jc w:val="lef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561A16">
        <w:rPr>
          <w:rFonts w:ascii="inherit" w:eastAsia="Times New Roman" w:hAnsi="inherit" w:cs="Arial"/>
          <w:color w:val="3C4043"/>
          <w:sz w:val="21"/>
          <w:szCs w:val="21"/>
        </w:rPr>
        <w:t>B: The borrower is relatively low-risk, but not as creditworthy as Grade A.</w:t>
      </w:r>
    </w:p>
    <w:p w14:paraId="373A6472" w14:textId="77777777" w:rsidR="00561A16" w:rsidRPr="00561A16" w:rsidRDefault="00561A16" w:rsidP="00561A16">
      <w:pPr>
        <w:numPr>
          <w:ilvl w:val="1"/>
          <w:numId w:val="1"/>
        </w:numPr>
        <w:spacing w:after="60" w:line="240" w:lineRule="auto"/>
        <w:jc w:val="lef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561A16">
        <w:rPr>
          <w:rFonts w:ascii="inherit" w:eastAsia="Times New Roman" w:hAnsi="inherit" w:cs="Arial"/>
          <w:color w:val="3C4043"/>
          <w:sz w:val="21"/>
          <w:szCs w:val="21"/>
        </w:rPr>
        <w:t>C: The borrower's creditworthiness is moderate.</w:t>
      </w:r>
    </w:p>
    <w:p w14:paraId="562C450D" w14:textId="77777777" w:rsidR="00561A16" w:rsidRPr="00561A16" w:rsidRDefault="00561A16" w:rsidP="00561A16">
      <w:pPr>
        <w:numPr>
          <w:ilvl w:val="1"/>
          <w:numId w:val="1"/>
        </w:numPr>
        <w:spacing w:after="60" w:line="240" w:lineRule="auto"/>
        <w:jc w:val="lef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561A16">
        <w:rPr>
          <w:rFonts w:ascii="inherit" w:eastAsia="Times New Roman" w:hAnsi="inherit" w:cs="Arial"/>
          <w:color w:val="3C4043"/>
          <w:sz w:val="21"/>
          <w:szCs w:val="21"/>
        </w:rPr>
        <w:t>D: The borrower is considered to have higher risk compared to previous grades.</w:t>
      </w:r>
    </w:p>
    <w:p w14:paraId="7B61E32E" w14:textId="77777777" w:rsidR="00561A16" w:rsidRPr="00561A16" w:rsidRDefault="00561A16" w:rsidP="00561A16">
      <w:pPr>
        <w:numPr>
          <w:ilvl w:val="1"/>
          <w:numId w:val="1"/>
        </w:numPr>
        <w:spacing w:after="60" w:line="240" w:lineRule="auto"/>
        <w:jc w:val="lef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561A16">
        <w:rPr>
          <w:rFonts w:ascii="inherit" w:eastAsia="Times New Roman" w:hAnsi="inherit" w:cs="Arial"/>
          <w:color w:val="3C4043"/>
          <w:sz w:val="21"/>
          <w:szCs w:val="21"/>
        </w:rPr>
        <w:t>E: The borrower's creditworthiness is lower, indicating a higher risk.</w:t>
      </w:r>
    </w:p>
    <w:p w14:paraId="75554548" w14:textId="77777777" w:rsidR="00561A16" w:rsidRPr="00561A16" w:rsidRDefault="00561A16" w:rsidP="00561A16">
      <w:pPr>
        <w:numPr>
          <w:ilvl w:val="1"/>
          <w:numId w:val="1"/>
        </w:numPr>
        <w:spacing w:after="60" w:line="240" w:lineRule="auto"/>
        <w:jc w:val="lef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561A16">
        <w:rPr>
          <w:rFonts w:ascii="inherit" w:eastAsia="Times New Roman" w:hAnsi="inherit" w:cs="Arial"/>
          <w:color w:val="3C4043"/>
          <w:sz w:val="21"/>
          <w:szCs w:val="21"/>
        </w:rPr>
        <w:t>F: The borrower poses a significant credit risk.</w:t>
      </w:r>
    </w:p>
    <w:p w14:paraId="634FD8CF" w14:textId="77777777" w:rsidR="00561A16" w:rsidRPr="00561A16" w:rsidRDefault="00561A16" w:rsidP="00561A16">
      <w:pPr>
        <w:numPr>
          <w:ilvl w:val="1"/>
          <w:numId w:val="1"/>
        </w:numPr>
        <w:spacing w:after="60" w:line="240" w:lineRule="auto"/>
        <w:jc w:val="lef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561A16">
        <w:rPr>
          <w:rFonts w:ascii="inherit" w:eastAsia="Times New Roman" w:hAnsi="inherit" w:cs="Arial"/>
          <w:color w:val="3C4043"/>
          <w:sz w:val="21"/>
          <w:szCs w:val="21"/>
        </w:rPr>
        <w:t>G: The borrower's creditworthiness is the lowest, signifying the highest risk.</w:t>
      </w:r>
    </w:p>
    <w:p w14:paraId="093D6E92" w14:textId="77777777" w:rsidR="00561A16" w:rsidRPr="00561A16" w:rsidRDefault="00561A16" w:rsidP="00561A16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561A16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loan_amnt:</w:t>
      </w:r>
      <w:r w:rsidRPr="00561A16">
        <w:rPr>
          <w:rFonts w:ascii="inherit" w:eastAsia="Times New Roman" w:hAnsi="inherit" w:cs="Arial"/>
          <w:color w:val="3C4043"/>
          <w:sz w:val="21"/>
          <w:szCs w:val="21"/>
        </w:rPr>
        <w:t> The loan amount requested by the individual.</w:t>
      </w:r>
    </w:p>
    <w:p w14:paraId="14C783B3" w14:textId="77777777" w:rsidR="00561A16" w:rsidRPr="00561A16" w:rsidRDefault="00561A16" w:rsidP="00561A16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561A16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loan_int_rate:</w:t>
      </w:r>
      <w:r w:rsidRPr="00561A16">
        <w:rPr>
          <w:rFonts w:ascii="inherit" w:eastAsia="Times New Roman" w:hAnsi="inherit" w:cs="Arial"/>
          <w:color w:val="3C4043"/>
          <w:sz w:val="21"/>
          <w:szCs w:val="21"/>
        </w:rPr>
        <w:t> The interest rate associated with the loan.</w:t>
      </w:r>
    </w:p>
    <w:p w14:paraId="45142765" w14:textId="77777777" w:rsidR="00561A16" w:rsidRPr="00561A16" w:rsidRDefault="00561A16" w:rsidP="00561A16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561A16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loan_status:</w:t>
      </w:r>
      <w:r w:rsidRPr="00561A16">
        <w:rPr>
          <w:rFonts w:ascii="inherit" w:eastAsia="Times New Roman" w:hAnsi="inherit" w:cs="Arial"/>
          <w:color w:val="3C4043"/>
          <w:sz w:val="21"/>
          <w:szCs w:val="21"/>
        </w:rPr>
        <w:t> Loan status, where 0 indicates non-default and 1 indicates default.</w:t>
      </w:r>
    </w:p>
    <w:p w14:paraId="31381E77" w14:textId="77777777" w:rsidR="00561A16" w:rsidRPr="00561A16" w:rsidRDefault="00561A16" w:rsidP="00561A16">
      <w:pPr>
        <w:numPr>
          <w:ilvl w:val="1"/>
          <w:numId w:val="1"/>
        </w:numPr>
        <w:spacing w:after="60" w:line="240" w:lineRule="auto"/>
        <w:jc w:val="lef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561A16">
        <w:rPr>
          <w:rFonts w:ascii="inherit" w:eastAsia="Times New Roman" w:hAnsi="inherit" w:cs="Arial"/>
          <w:color w:val="3C4043"/>
          <w:sz w:val="21"/>
          <w:szCs w:val="21"/>
        </w:rPr>
        <w:t>0: Non-default - The borrower successfully repaid the loan as agreed, and there was no default.</w:t>
      </w:r>
    </w:p>
    <w:p w14:paraId="50F58DBA" w14:textId="77777777" w:rsidR="00561A16" w:rsidRPr="00561A16" w:rsidRDefault="00561A16" w:rsidP="00561A16">
      <w:pPr>
        <w:numPr>
          <w:ilvl w:val="1"/>
          <w:numId w:val="1"/>
        </w:numPr>
        <w:spacing w:after="60" w:line="240" w:lineRule="auto"/>
        <w:jc w:val="lef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561A16">
        <w:rPr>
          <w:rFonts w:ascii="inherit" w:eastAsia="Times New Roman" w:hAnsi="inherit" w:cs="Arial"/>
          <w:color w:val="3C4043"/>
          <w:sz w:val="21"/>
          <w:szCs w:val="21"/>
        </w:rPr>
        <w:t>1: Default - The borrower failed to repay the loan according to the agreed-upon terms and defaulted on the loan.</w:t>
      </w:r>
    </w:p>
    <w:p w14:paraId="774AF1E2" w14:textId="77777777" w:rsidR="00561A16" w:rsidRPr="00561A16" w:rsidRDefault="00561A16" w:rsidP="00561A16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561A16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loan_percent_income:</w:t>
      </w:r>
      <w:r w:rsidRPr="00561A16">
        <w:rPr>
          <w:rFonts w:ascii="inherit" w:eastAsia="Times New Roman" w:hAnsi="inherit" w:cs="Arial"/>
          <w:color w:val="3C4043"/>
          <w:sz w:val="21"/>
          <w:szCs w:val="21"/>
        </w:rPr>
        <w:t> The percentage of income represented by the loan amount.</w:t>
      </w:r>
    </w:p>
    <w:p w14:paraId="112E58BA" w14:textId="77777777" w:rsidR="00561A16" w:rsidRPr="00561A16" w:rsidRDefault="00561A16" w:rsidP="00561A16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561A16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cb_person_default_on_file:</w:t>
      </w:r>
      <w:r w:rsidRPr="00561A16">
        <w:rPr>
          <w:rFonts w:ascii="inherit" w:eastAsia="Times New Roman" w:hAnsi="inherit" w:cs="Arial"/>
          <w:color w:val="3C4043"/>
          <w:sz w:val="21"/>
          <w:szCs w:val="21"/>
        </w:rPr>
        <w:t> Historical default of the individual as per credit bureau records.</w:t>
      </w:r>
    </w:p>
    <w:p w14:paraId="3A0E8128" w14:textId="77777777" w:rsidR="00561A16" w:rsidRPr="00561A16" w:rsidRDefault="00561A16" w:rsidP="00561A16">
      <w:pPr>
        <w:numPr>
          <w:ilvl w:val="1"/>
          <w:numId w:val="1"/>
        </w:numPr>
        <w:spacing w:after="60" w:line="240" w:lineRule="auto"/>
        <w:jc w:val="lef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561A16">
        <w:rPr>
          <w:rFonts w:ascii="inherit" w:eastAsia="Times New Roman" w:hAnsi="inherit" w:cs="Arial"/>
          <w:color w:val="3C4043"/>
          <w:sz w:val="21"/>
          <w:szCs w:val="21"/>
        </w:rPr>
        <w:t>Y: The individual has a history of defaults on their credit file.</w:t>
      </w:r>
    </w:p>
    <w:p w14:paraId="597DAE1A" w14:textId="77777777" w:rsidR="00561A16" w:rsidRPr="00561A16" w:rsidRDefault="00561A16" w:rsidP="00561A16">
      <w:pPr>
        <w:numPr>
          <w:ilvl w:val="1"/>
          <w:numId w:val="1"/>
        </w:numPr>
        <w:spacing w:after="60" w:line="240" w:lineRule="auto"/>
        <w:jc w:val="lef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561A16">
        <w:rPr>
          <w:rFonts w:ascii="inherit" w:eastAsia="Times New Roman" w:hAnsi="inherit" w:cs="Arial"/>
          <w:color w:val="3C4043"/>
          <w:sz w:val="21"/>
          <w:szCs w:val="21"/>
        </w:rPr>
        <w:t>N: The individual does not have any history of defaults.</w:t>
      </w:r>
    </w:p>
    <w:p w14:paraId="458CFBBA" w14:textId="77777777" w:rsidR="00561A16" w:rsidRPr="00561A16" w:rsidRDefault="00561A16" w:rsidP="00561A16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561A16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cb_preson_cred_hist_length:</w:t>
      </w:r>
      <w:r w:rsidRPr="00561A16">
        <w:rPr>
          <w:rFonts w:ascii="inherit" w:eastAsia="Times New Roman" w:hAnsi="inherit" w:cs="Arial"/>
          <w:color w:val="3C4043"/>
          <w:sz w:val="21"/>
          <w:szCs w:val="21"/>
        </w:rPr>
        <w:t> The length of credit history for the individual.</w:t>
      </w:r>
    </w:p>
    <w:p w14:paraId="5AC4DFF9" w14:textId="77777777" w:rsidR="001325B4" w:rsidRDefault="001325B4"/>
    <w:p w14:paraId="55F94488" w14:textId="77777777" w:rsidR="007E6C1B" w:rsidRDefault="007E6C1B"/>
    <w:p w14:paraId="2CCBC7E8" w14:textId="77777777" w:rsidR="007E6C1B" w:rsidRDefault="007E6C1B"/>
    <w:p w14:paraId="2420B769" w14:textId="77777777" w:rsidR="007E6C1B" w:rsidRDefault="007E6C1B"/>
    <w:p w14:paraId="3C0DF84E" w14:textId="77777777" w:rsidR="007E6C1B" w:rsidRDefault="007E6C1B"/>
    <w:p w14:paraId="1333B06F" w14:textId="7D2F8686" w:rsidR="007E6C1B" w:rsidRDefault="00B85797">
      <w:r w:rsidRPr="00B85797">
        <w:lastRenderedPageBreak/>
        <w:drawing>
          <wp:inline distT="0" distB="0" distL="0" distR="0" wp14:anchorId="6A0A361A" wp14:editId="24CA7D35">
            <wp:extent cx="2248095" cy="1806097"/>
            <wp:effectExtent l="0" t="0" r="0" b="3810"/>
            <wp:docPr id="125989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93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5797">
        <w:drawing>
          <wp:inline distT="0" distB="0" distL="0" distR="0" wp14:anchorId="2348BD6A" wp14:editId="3897535D">
            <wp:extent cx="4427604" cy="3086367"/>
            <wp:effectExtent l="0" t="0" r="0" b="0"/>
            <wp:docPr id="45730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085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6220" w14:textId="6322582A" w:rsidR="007E6C1B" w:rsidRDefault="00B85797">
      <w:r w:rsidRPr="00B85797">
        <w:drawing>
          <wp:inline distT="0" distB="0" distL="0" distR="0" wp14:anchorId="379D3D51" wp14:editId="26462225">
            <wp:extent cx="4046571" cy="2278577"/>
            <wp:effectExtent l="0" t="0" r="0" b="7620"/>
            <wp:docPr id="554894182" name="Picture 1" descr="A green circle with red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94182" name="Picture 1" descr="A green circle with red cen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D5A7" w14:textId="1666B4D3" w:rsidR="007E6C1B" w:rsidRDefault="00B85797">
      <w:r w:rsidRPr="00B85797">
        <w:lastRenderedPageBreak/>
        <w:drawing>
          <wp:inline distT="0" distB="0" distL="0" distR="0" wp14:anchorId="7D33C602" wp14:editId="4640463E">
            <wp:extent cx="2255715" cy="1813717"/>
            <wp:effectExtent l="0" t="0" r="0" b="0"/>
            <wp:docPr id="268057242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57242" name="Picture 1" descr="A number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BCFA" w14:textId="1E5FA554" w:rsidR="00B85797" w:rsidRDefault="00B85797">
      <w:r w:rsidRPr="00B85797">
        <w:drawing>
          <wp:inline distT="0" distB="0" distL="0" distR="0" wp14:anchorId="56564DDF" wp14:editId="47F6535B">
            <wp:extent cx="4366638" cy="2735817"/>
            <wp:effectExtent l="0" t="0" r="0" b="7620"/>
            <wp:docPr id="525048768" name="Picture 1" descr="A graph of blue and whit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48768" name="Picture 1" descr="A graph of blue and white ba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02D7" w14:textId="77777777" w:rsidR="007E6C1B" w:rsidRDefault="007E6C1B"/>
    <w:p w14:paraId="6705B05F" w14:textId="194DA465" w:rsidR="007E6C1B" w:rsidRDefault="00B85797">
      <w:r w:rsidRPr="00B85797">
        <w:drawing>
          <wp:inline distT="0" distB="0" distL="0" distR="0" wp14:anchorId="52A884C4" wp14:editId="25FA3762">
            <wp:extent cx="3353091" cy="2530059"/>
            <wp:effectExtent l="0" t="0" r="0" b="3810"/>
            <wp:docPr id="384023899" name="Picture 1" descr="A graph with number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23899" name="Picture 1" descr="A graph with numbers and a blue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1E6D" w14:textId="15D0B0DD" w:rsidR="00B85797" w:rsidRDefault="00B85797">
      <w:r w:rsidRPr="00B85797">
        <w:lastRenderedPageBreak/>
        <w:drawing>
          <wp:inline distT="0" distB="0" distL="0" distR="0" wp14:anchorId="021DCEF4" wp14:editId="4C9910C0">
            <wp:extent cx="4267570" cy="2682472"/>
            <wp:effectExtent l="0" t="0" r="0" b="3810"/>
            <wp:docPr id="1814833335" name="Picture 1" descr="A graph of blue and whit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33335" name="Picture 1" descr="A graph of blue and white ba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5797">
        <w:drawing>
          <wp:inline distT="0" distB="0" distL="0" distR="0" wp14:anchorId="29558CE1" wp14:editId="520A64E3">
            <wp:extent cx="5121084" cy="2789162"/>
            <wp:effectExtent l="0" t="0" r="3810" b="0"/>
            <wp:docPr id="1374815141" name="Picture 1" descr="A graph with blue rectangles and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15141" name="Picture 1" descr="A graph with blue rectangles and red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F814" w14:textId="77777777" w:rsidR="007E2156" w:rsidRDefault="007E2156" w:rsidP="007E2156"/>
    <w:p w14:paraId="06A97996" w14:textId="4484DFBB" w:rsidR="007E2156" w:rsidRDefault="007E2156" w:rsidP="007E2156">
      <w:pPr>
        <w:tabs>
          <w:tab w:val="left" w:pos="912"/>
        </w:tabs>
      </w:pPr>
      <w:r>
        <w:tab/>
      </w:r>
      <w:r w:rsidRPr="007E2156">
        <w:drawing>
          <wp:inline distT="0" distB="0" distL="0" distR="0" wp14:anchorId="3887DA15" wp14:editId="0963843E">
            <wp:extent cx="3253429" cy="2766060"/>
            <wp:effectExtent l="0" t="0" r="4445" b="0"/>
            <wp:docPr id="1624633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338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348" cy="276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6ADD" w14:textId="4666547B" w:rsidR="007E2156" w:rsidRDefault="007E2156" w:rsidP="007E2156">
      <w:pPr>
        <w:tabs>
          <w:tab w:val="left" w:pos="912"/>
        </w:tabs>
      </w:pPr>
      <w:r w:rsidRPr="007E2156">
        <w:lastRenderedPageBreak/>
        <w:drawing>
          <wp:inline distT="0" distB="0" distL="0" distR="0" wp14:anchorId="5EC3BFA2" wp14:editId="169B9899">
            <wp:extent cx="4770533" cy="3154953"/>
            <wp:effectExtent l="0" t="0" r="0" b="7620"/>
            <wp:docPr id="719759702" name="Picture 1" descr="A blue graph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59702" name="Picture 1" descr="A blue graph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5226" w14:textId="77777777" w:rsidR="00EA21BD" w:rsidRDefault="00EA21BD" w:rsidP="00EA21BD"/>
    <w:p w14:paraId="43CD7907" w14:textId="79EB7099" w:rsidR="00EA21BD" w:rsidRPr="00EA21BD" w:rsidRDefault="00EA21BD" w:rsidP="00EA21BD">
      <w:pPr>
        <w:ind w:firstLine="720"/>
      </w:pPr>
      <w:r w:rsidRPr="00EA21BD">
        <w:drawing>
          <wp:inline distT="0" distB="0" distL="0" distR="0" wp14:anchorId="584BA9EC" wp14:editId="4D4098DA">
            <wp:extent cx="5760720" cy="3226435"/>
            <wp:effectExtent l="0" t="0" r="0" b="0"/>
            <wp:docPr id="45807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747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1BD" w:rsidRPr="00EA21BD" w:rsidSect="00317D53">
      <w:pgSz w:w="11907" w:h="16840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heri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02FF7"/>
    <w:multiLevelType w:val="hybridMultilevel"/>
    <w:tmpl w:val="07AC8A00"/>
    <w:lvl w:ilvl="0" w:tplc="E5BCF656">
      <w:numFmt w:val="bullet"/>
      <w:lvlText w:val="-"/>
      <w:lvlJc w:val="left"/>
      <w:pPr>
        <w:ind w:left="1080" w:hanging="360"/>
      </w:pPr>
      <w:rPr>
        <w:rFonts w:ascii="inherit" w:eastAsia="Times New Roman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8227FD"/>
    <w:multiLevelType w:val="multilevel"/>
    <w:tmpl w:val="8410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5651637">
    <w:abstractNumId w:val="1"/>
  </w:num>
  <w:num w:numId="2" w16cid:durableId="1770586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16"/>
    <w:rsid w:val="00016DD9"/>
    <w:rsid w:val="001325B4"/>
    <w:rsid w:val="00317D53"/>
    <w:rsid w:val="00351F70"/>
    <w:rsid w:val="003A4EEA"/>
    <w:rsid w:val="003E1798"/>
    <w:rsid w:val="004368F3"/>
    <w:rsid w:val="00561A16"/>
    <w:rsid w:val="00580270"/>
    <w:rsid w:val="007B1008"/>
    <w:rsid w:val="007E2156"/>
    <w:rsid w:val="007E6C1B"/>
    <w:rsid w:val="008602E8"/>
    <w:rsid w:val="00B85797"/>
    <w:rsid w:val="00CC74BF"/>
    <w:rsid w:val="00E32AC1"/>
    <w:rsid w:val="00EA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8CC53A"/>
  <w15:chartTrackingRefBased/>
  <w15:docId w15:val="{CD39CC03-74B6-4C93-AC7A-EDF6C1669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4BF"/>
    <w:pPr>
      <w:spacing w:line="360" w:lineRule="auto"/>
      <w:jc w:val="both"/>
    </w:pPr>
    <w:rPr>
      <w:rFonts w:cs="Calibri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rsid w:val="008602E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bCs/>
      <w:kern w:val="2"/>
      <w:sz w:val="36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74BF"/>
    <w:pPr>
      <w:keepNext/>
      <w:keepLines/>
      <w:spacing w:before="40" w:after="0"/>
      <w:jc w:val="left"/>
      <w:outlineLvl w:val="1"/>
    </w:pPr>
    <w:rPr>
      <w:rFonts w:eastAsiaTheme="majorEastAsia" w:cstheme="majorBidi"/>
      <w:kern w:val="2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C74BF"/>
    <w:pPr>
      <w:keepNext/>
      <w:keepLines/>
      <w:spacing w:before="40" w:after="0" w:line="259" w:lineRule="auto"/>
      <w:jc w:val="left"/>
      <w:outlineLvl w:val="2"/>
    </w:pPr>
    <w:rPr>
      <w:rFonts w:eastAsiaTheme="majorEastAsia" w:cstheme="majorBidi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8602E8"/>
    <w:pPr>
      <w:keepNext/>
      <w:tabs>
        <w:tab w:val="num" w:pos="1148"/>
      </w:tabs>
      <w:spacing w:before="120" w:after="120" w:line="240" w:lineRule="auto"/>
      <w:ind w:left="1148" w:hanging="13"/>
      <w:outlineLvl w:val="3"/>
    </w:pPr>
    <w:rPr>
      <w:rFonts w:eastAsia="Times New Roman" w:cs="Times New Roman"/>
      <w:b/>
      <w:kern w:val="2"/>
      <w:szCs w:val="20"/>
      <w:lang w:val="fr-FR" w:eastAsia="fr-FR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2E8"/>
    <w:rPr>
      <w:rFonts w:eastAsiaTheme="majorEastAsia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74BF"/>
    <w:rPr>
      <w:rFonts w:eastAsiaTheme="majorEastAsia" w:cstheme="majorBidi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74BF"/>
    <w:rPr>
      <w:rFonts w:eastAsiaTheme="majorEastAsia" w:cstheme="majorBidi"/>
      <w:szCs w:val="24"/>
    </w:rPr>
  </w:style>
  <w:style w:type="paragraph" w:styleId="ListParagraph">
    <w:name w:val="List Paragraph"/>
    <w:basedOn w:val="Normal"/>
    <w:autoRedefine/>
    <w:uiPriority w:val="34"/>
    <w:qFormat/>
    <w:rsid w:val="008602E8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2E8"/>
    <w:rPr>
      <w:rFonts w:eastAsia="Times New Roman"/>
      <w:b/>
      <w:szCs w:val="20"/>
      <w:lang w:val="fr-FR" w:eastAsia="fr-FR"/>
    </w:rPr>
  </w:style>
  <w:style w:type="paragraph" w:customStyle="1" w:styleId="Heading10">
    <w:name w:val="Heading1"/>
    <w:basedOn w:val="Normal"/>
    <w:link w:val="Heading1Char0"/>
    <w:autoRedefine/>
    <w:qFormat/>
    <w:rsid w:val="00CC74BF"/>
    <w:pPr>
      <w:jc w:val="left"/>
    </w:pPr>
    <w:rPr>
      <w:b/>
      <w:sz w:val="32"/>
      <w:szCs w:val="26"/>
    </w:rPr>
  </w:style>
  <w:style w:type="character" w:customStyle="1" w:styleId="Heading1Char0">
    <w:name w:val="Heading1 Char"/>
    <w:basedOn w:val="DefaultParagraphFont"/>
    <w:link w:val="Heading10"/>
    <w:rsid w:val="00CC74BF"/>
    <w:rPr>
      <w:rFonts w:cs="Calibri"/>
      <w:b/>
      <w:kern w:val="0"/>
      <w:sz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2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5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Dat</dc:creator>
  <cp:keywords/>
  <dc:description/>
  <cp:lastModifiedBy>Nguyen Dat</cp:lastModifiedBy>
  <cp:revision>1</cp:revision>
  <dcterms:created xsi:type="dcterms:W3CDTF">2024-12-10T11:32:00Z</dcterms:created>
  <dcterms:modified xsi:type="dcterms:W3CDTF">2024-12-11T12:27:00Z</dcterms:modified>
</cp:coreProperties>
</file>