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thức tổ chức hoạt động dạy và học trong giáo dục để hình thành và phát triển tư liệu con người theo từng giai đoạn, lứa tuổi khác nhau. (2.00 điểm)</w:t>
      </w:r>
    </w:p>
    <w:p>
      <w:r>
        <w:t>Câu 4: Phân loại các hiện tượng tâm lý theo các tiêu chí khác nhau và so sánh sự khác biệt giữa quá trình tâm lý, trạng thái tâm lý và thuộc tính tâm lý. (2.00 điểm)</w:t>
      </w:r>
    </w:p>
    <w:p>
      <w:r>
        <w:t>Câu 5: Đánh giá hiệu quả của phương pháp thực nghiệm trong nghiên cứu tâm lý và nêu rõ những ưu điểm cũng như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