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lý" trong đoạn văn, đồng thời chỉ ra sự khác biệt giữa hình ảnh tâm lý và hình ảnh vật lý. (1.5 điểm)</w:t>
      </w:r>
    </w:p>
    <w:p>
      <w:r>
        <w:t>Câu 3: 1. Câu hỏi: Hãy nêu ra và minh họa cách mà tính chủ thể trong tâm lý người có thể ảnh hưởng đến việc dạy học và giáo dục, đồng thời chỉ ra những điều chỉnh cần thiết để phù hợp với từng cá nhân trong quá trình này.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cần thiết để thiết kế một nghiên cứu tâm lý hiệu quả. (2.0 điểm)</w:t>
      </w:r>
    </w:p>
    <w:p>
      <w:r>
        <w:t>Câu 6: 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