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TỔNG QUAN NGHIÊN CỨU (bản rút gọn để chèn vào đề cương)</w:t>
      </w:r>
    </w:p>
    <w:p>
      <w:pPr>
        <w:jc w:val="both"/>
      </w:pPr>
      <w:r>
        <w:rPr>
          <w:i/>
        </w:rPr>
        <w:t>Đoạn dưới đây dùng để bổ sung vào `Tuan2_DeCuong_L5.docx`, đặt sau mục "Lý do chọn đề tài" hoặc trước mục "Khung lý luận chính trị" (mục 6). Mọi trích dẫn đã được kiểm chứng DOI; danh mục đầy đủ ở báo cáo tổng quan kèm theo.</w:t>
      </w:r>
    </w:p>
    <w:p>
      <w:pPr>
        <w:pStyle w:val="Heading2"/>
      </w:pPr>
      <w:r>
        <w:t>Tổng quan nghiên cứu</w:t>
      </w:r>
    </w:p>
    <w:p>
      <w:pPr>
        <w:jc w:val="both"/>
      </w:pPr>
      <w:r>
        <w:t>Hướng can thiệp số nhằm phục hồi tính tự quyết của người dùng trước thuật toán đã hình thành một dòng nghiên cứu rõ rệt trong lĩnh vực tương tác người–máy (HCI). Lyngs và cộng sự (2019) phân tích 367 công cụ tự kiểm soát số (digital self-control tools) và phân loại chúng thành bốn nhóm cơ chế — chặn/loại bỏ phiền nhiễu, tự theo dõi, thúc đẩy mục tiêu, và thưởng/phạt — phần lớn nhắm vào "hệ thống 1" bốc đồng theo lý thuyết hệ kép. Trong thử nghiệm thực địa sáu tuần với 58 sinh viên, Lyngs và cộng sự (2020) chứng minh rằng việc nhắc mục tiêu và gỡ bỏ news feed đều làm tăng khả năng tập trung và cảm giác kiểm soát. Cox và cộng sự (2016) đề xuất khái niệm "microboundary" — chèn một trở ngại nhỏ vừa đủ để ngắt hành vi tự động và kích hoạt phản tư — làm cơ sở thiết kế cho can thiệp dạng "khoảng dừng". Tuy nhiên, tổng quan hệ thống kèm phân tích gộp của Monge Roffarello và De Russis (2023) cảnh báo rằng hiệu ứng tổng hợp của các công cụ này chỉ ở mức khiêm tốn và thường thiếu tác động bền vững, một phần do người dùng dễ vô hiệu hóa hoặc chuyển sang thiết bị khác (Monge Roffarello &amp; De Russis, 2019, 2021).</w:t>
      </w:r>
    </w:p>
    <w:p>
      <w:pPr>
        <w:jc w:val="both"/>
      </w:pPr>
      <w:r>
        <w:t>Về cấu trúc đích cần phục hồi, Thuyết Tự quyết (Ryan &amp; Deci, 2000) xác lập "tự chủ" (autonomy) là một trong ba nhu cầu tâm lý nền tảng, và mô hình METUX (Peters và cộng sự, 2018) bắc cầu lý thuyết này sang thiết kế, cho thấy một công nghệ có thể thỏa mãn nhu cầu ở tầng giao diện nhưng lại bóp nghẹt nó ở tầng cuộc sống. Quan trọng cho thiết kế đánh giá, Lukoff và cộng sự (2021) thao tác hóa "cảm giác làm chủ hành động" (sense of agency) thành một cấu trúc đo được và triển khai qua một browser extension trên YouTube, phát hiện rằng phần gợi ý thuật toán làm giảm cảm giác này còn các tính năng hỗ trợ mục tiêu thì làm tăng nó. Trên bình diện nhận thức, Eslami và cộng sự (2015) cho thấy 62,5% người dùng không biết news feed của mình bị thuật toán lọc, và việc trực quan hóa cơ chế ẩn này làm tăng sự tham gia chủ động — tiền lệ trực tiếp cho một công cụ "trực quan hóa bong bóng lọc". Dù vậy, cần thận trọng tránh thổi phồng: Bakshy và cộng sự (2015) và Bruns (2019) chỉ ra rằng mức thu hẹp nguồn tin do chính lựa chọn của người dùng còn lớn hơn do thuật toán, nên một công cụ trung thực phải hiển thị mức đa dạng thực tế thay vì giả định một "bong bóng" bịt kín.</w:t>
      </w:r>
    </w:p>
    <w:p>
      <w:pPr>
        <w:jc w:val="both"/>
      </w:pPr>
      <w:r>
        <w:t>Đặt trong khung lý luận chính trị, dòng nghiên cứu phê phán cung cấp chẩn đoán: hiện tượng người dùng tiếp tục tiêu thụ nội dung không thực sự mong muốn phản ánh sự chi phối của "nhu cầu giả tạo" (Marcuse, 1964), còn việc đánh mất quyền làm chủ hoạt động tinh thần là biểu hiện của "tha hóa" (Marx, 1844/1959) trong điều kiện của chủ nghĩa tư bản giám sát (Zuboff, 2019) và nền kinh tế chú ý (Williams, 2018). Đồng thời, công cụ phải tránh tự mâu thuẫn về mặt đạo đức: Hansen và Jespersen (2013) phân biệt nudge minh bạch (kích hoạt tư duy phản tư) với nudge che giấu (lách qua tư duy), trong khi Gray và cộng sự (2018) cho thấy ranh giới mong manh với "dark pattern" thao túng.</w:t>
      </w:r>
    </w:p>
    <w:p>
      <w:pPr>
        <w:jc w:val="both"/>
      </w:pPr>
      <w:r>
        <w:rPr>
          <w:b/>
        </w:rPr>
        <w:t>Khoảng trống nghiên cứu.</w:t>
      </w:r>
      <w:r>
        <w:t xml:space="preserve"> Tổng hợp tài liệu cho thấy ba khoảng trống mà đề tài này lấp được: (1) cầu nối giữa lý luận phê phán của chủ nghĩa Mác và thực hành thiết kế công cụ HCI gần như chưa được nối trực tiếp — các nghiên cứu hoặc thuần phê phán, hoặc thuần kỹ thuật; (2) gần như toàn bộ bằng chứng đến từ bối cảnh phương Tây, thiếu kiểm chứng trong văn hóa tập thể Đông Nam Á; và (3) hiếm công cụ tích hợp đồng thời ba can thiệp (khoảng dừng phản tư, trực quan hóa thuật toán, nhật ký mục tiêu) trên nền một khung lý luận thống nhất. Đề tài Level 5 trực tiếp nhắm vào ba khoảng trống này.</w:t>
      </w:r>
    </w:p>
    <w:p>
      <w:pPr>
        <w:pStyle w:val="Heading3"/>
      </w:pPr>
      <w:r>
        <w:t>Tài liệu tham khảo bổ sung (gộp vào danh mục của đề cương)</w:t>
      </w:r>
    </w:p>
    <w:p>
      <w:pPr>
        <w:jc w:val="both"/>
      </w:pPr>
      <w:r>
        <w:t xml:space="preserve">Bakshy, E., Messing, S., &amp; Adamic, L. A. (2015). Exposure to ideologically diverse news and opinion on Facebook. </w:t>
      </w:r>
      <w:r>
        <w:rPr>
          <w:i/>
        </w:rPr>
        <w:t>Science, 348</w:t>
      </w:r>
      <w:r>
        <w:t>(6239), 1130–1132. https://doi.org/10.1126/science.aaa1160</w:t>
      </w:r>
    </w:p>
    <w:p>
      <w:pPr>
        <w:jc w:val="both"/>
      </w:pPr>
      <w:r>
        <w:t xml:space="preserve">Bruns, A. (2019). </w:t>
      </w:r>
      <w:r>
        <w:rPr>
          <w:i/>
        </w:rPr>
        <w:t>Are filter bubbles real?</w:t>
      </w:r>
      <w:r>
        <w:t xml:space="preserve"> Polity Press.</w:t>
      </w:r>
    </w:p>
    <w:p>
      <w:pPr>
        <w:jc w:val="both"/>
      </w:pPr>
      <w:r>
        <w:t xml:space="preserve">Cox, A. L., Gould, S. J. J., Cecchinato, M. E., Iacovides, I., &amp; Renfree, I. (2016). Design frictions for mindful interactions: The case for microboundaries. In </w:t>
      </w:r>
      <w:r>
        <w:rPr>
          <w:i/>
        </w:rPr>
        <w:t>Proceedings of the 2016 CHI Conference Extended Abstracts</w:t>
      </w:r>
      <w:r>
        <w:t xml:space="preserve"> (pp. 1389–1397). ACM. https://doi.org/10.1145/2851581.2892410</w:t>
      </w:r>
    </w:p>
    <w:p>
      <w:pPr>
        <w:jc w:val="both"/>
      </w:pPr>
      <w:r>
        <w:t xml:space="preserve">Eslami, M., Rickman, A., Vaccaro, K., Aleyasen, A., Vuong, A., Karahalios, K., Hamilton, K., &amp; Sandvig, C. (2015). "I always assumed that I wasn't really that close to [her]": Reasoning about invisible algorithms in news feeds. In </w:t>
      </w:r>
      <w:r>
        <w:rPr>
          <w:i/>
        </w:rPr>
        <w:t>Proceedings of the 33rd Annual ACM CHI Conference</w:t>
      </w:r>
      <w:r>
        <w:t xml:space="preserve"> (pp. 153–162). ACM. https://doi.org/10.1145/2702123.2702556</w:t>
      </w:r>
    </w:p>
    <w:p>
      <w:pPr>
        <w:jc w:val="both"/>
      </w:pPr>
      <w:r>
        <w:t xml:space="preserve">Gray, C. M., Kou, Y., Battles, B., Hoggatt, J., &amp; Toombs, A. L. (2018). The dark (patterns) side of UX design. In </w:t>
      </w:r>
      <w:r>
        <w:rPr>
          <w:i/>
        </w:rPr>
        <w:t>Proceedings of the 2018 CHI Conference</w:t>
      </w:r>
      <w:r>
        <w:t xml:space="preserve"> (Paper 534). ACM. https://doi.org/10.1145/3173574.3174108</w:t>
      </w:r>
    </w:p>
    <w:p>
      <w:pPr>
        <w:jc w:val="both"/>
      </w:pPr>
      <w:r>
        <w:t xml:space="preserve">Hansen, P. G., &amp; Jespersen, A. M. (2013). Nudge and the manipulation of choice. </w:t>
      </w:r>
      <w:r>
        <w:rPr>
          <w:i/>
        </w:rPr>
        <w:t>European Journal of Risk Regulation, 4</w:t>
      </w:r>
      <w:r>
        <w:t>(1), 3–28. https://doi.org/10.1017/S1867299X00002762</w:t>
      </w:r>
    </w:p>
    <w:p>
      <w:pPr>
        <w:jc w:val="both"/>
      </w:pPr>
      <w:r>
        <w:t xml:space="preserve">Lukoff, K., Lyngs, U., Zade, H., Liao, J. V., Choi, J., Fan, K., Munson, S. A., &amp; Hiniker, A. (2021). How the design of YouTube influences user sense of agency. In </w:t>
      </w:r>
      <w:r>
        <w:rPr>
          <w:i/>
        </w:rPr>
        <w:t>Proceedings of the 2021 CHI Conference</w:t>
      </w:r>
      <w:r>
        <w:t xml:space="preserve"> (Article 368). ACM. https://doi.org/10.1145/3411764.3445467</w:t>
      </w:r>
    </w:p>
    <w:p>
      <w:pPr>
        <w:jc w:val="both"/>
      </w:pPr>
      <w:r>
        <w:t xml:space="preserve">Lyngs, U., Lukoff, K., Slovák, P., Binns, R., Slack, A., Inzlicht, M., Van Kleek, M., &amp; Shadbolt, N. (2019). Self-control in cyberspace: Applying dual systems theory to a review of digital self-control tools. In </w:t>
      </w:r>
      <w:r>
        <w:rPr>
          <w:i/>
        </w:rPr>
        <w:t>Proceedings of the 2019 CHI Conference</w:t>
      </w:r>
      <w:r>
        <w:t xml:space="preserve"> (Paper 131). ACM. https://doi.org/10.1145/3290605.3300361</w:t>
      </w:r>
    </w:p>
    <w:p>
      <w:pPr>
        <w:jc w:val="both"/>
      </w:pPr>
      <w:r>
        <w:t xml:space="preserve">Lyngs, U., Lukoff, K., Slovák, P., Seymour, W., Webb, H., Jirotka, M., Zhao, J., Van Kleek, M., &amp; Shadbolt, N. (2020). "I just want to hack myself to not get distracted": Evaluating design interventions for self-control on Facebook. In </w:t>
      </w:r>
      <w:r>
        <w:rPr>
          <w:i/>
        </w:rPr>
        <w:t>Proceedings of the 2020 CHI Conference</w:t>
      </w:r>
      <w:r>
        <w:t xml:space="preserve"> (pp. 1–15). ACM. https://doi.org/10.1145/3313831.3376672</w:t>
      </w:r>
    </w:p>
    <w:p>
      <w:pPr>
        <w:jc w:val="both"/>
      </w:pPr>
      <w:r>
        <w:t xml:space="preserve">Monge Roffarello, A., &amp; De Russis, L. (2019). The race towards digital wellbeing: Issues and opportunities. In </w:t>
      </w:r>
      <w:r>
        <w:rPr>
          <w:i/>
        </w:rPr>
        <w:t>Proceedings of the 2019 CHI Conference</w:t>
      </w:r>
      <w:r>
        <w:t xml:space="preserve"> (Paper 386). ACM. https://doi.org/10.1145/3290605.3300616</w:t>
      </w:r>
    </w:p>
    <w:p>
      <w:pPr>
        <w:jc w:val="both"/>
      </w:pPr>
      <w:r>
        <w:t xml:space="preserve">Monge Roffarello, A., &amp; De Russis, L. (2023). Achieving digital wellbeing through digital self-control tools: A systematic review and meta-analysis. </w:t>
      </w:r>
      <w:r>
        <w:rPr>
          <w:i/>
        </w:rPr>
        <w:t>ACM Transactions on Computer-Human Interaction, 30</w:t>
      </w:r>
      <w:r>
        <w:t>(4), Article 53. https://doi.org/10.1145/3571810</w:t>
      </w:r>
    </w:p>
    <w:p>
      <w:pPr>
        <w:jc w:val="both"/>
      </w:pPr>
      <w:r>
        <w:t xml:space="preserve">Peters, D., Calvo, R. A., &amp; Ryan, R. M. (2018). Designing for motivation, engagement and wellbeing in digital experience. </w:t>
      </w:r>
      <w:r>
        <w:rPr>
          <w:i/>
        </w:rPr>
        <w:t>Frontiers in Psychology, 9</w:t>
      </w:r>
      <w:r>
        <w:t>, 797. https://doi.org/10.3389/fpsyg.2018.00797</w:t>
      </w:r>
    </w:p>
    <w:p>
      <w:pPr>
        <w:jc w:val="both"/>
      </w:pPr>
      <w:r>
        <w:t xml:space="preserve">Ryan, R. M., &amp; Deci, E. L. (2000). Self-determination theory and the facilitation of intrinsic motivation, social development, and well-being. </w:t>
      </w:r>
      <w:r>
        <w:rPr>
          <w:i/>
        </w:rPr>
        <w:t>American Psychologist, 55</w:t>
      </w:r>
      <w:r>
        <w:t>(1), 68–78. https://doi.org/10.1037/0003-066X.55.1.68</w:t>
      </w:r>
    </w:p>
    <w:p>
      <w:pPr>
        <w:jc w:val="both"/>
      </w:pPr>
      <w:r>
        <w:t xml:space="preserve">Williams, J. (2018). </w:t>
      </w:r>
      <w:r>
        <w:rPr>
          <w:i/>
        </w:rPr>
        <w:t>Stand out of our light: Freedom and resistance in the attention economy</w:t>
      </w:r>
      <w:r>
        <w:t>. Cambridge University Press. https://doi.org/10.1017/9781108453004</w:t>
      </w:r>
    </w:p>
    <w:p>
      <w:pPr>
        <w:jc w:val="both"/>
      </w:pPr>
      <w:r>
        <w:t xml:space="preserve">Zuboff, S. (2019). </w:t>
      </w:r>
      <w:r>
        <w:rPr>
          <w:i/>
        </w:rPr>
        <w:t>The age of surveillance capitalism</w:t>
      </w:r>
      <w:r>
        <w:t>. PublicAffairs.</w:t>
      </w:r>
    </w:p>
    <w:p>
      <w:pPr>
        <w:jc w:val="both"/>
      </w:pPr>
      <w:r>
        <w:rPr>
          <w:i/>
        </w:rPr>
        <w:t>(Marx 1844, Marcuse 1964 đã có trong danh mục đề cương hiện tại.)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