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4"/>
          <w:szCs w:val="24"/>
        </w:rPr>
        <w:t xml:space="preserve">ĐẠI HỌC FPT – PHÂN HIỆU TP. HỒ CHÍ MINH</w:t>
      </w:r>
    </w:p>
    <w:p>
      <w:pPr>
        <w:spacing w:after="40"/>
        <w:jc w:val="center"/>
      </w:pPr>
      <w:r>
        <w:rPr>
          <w:sz w:val="20"/>
          <w:szCs w:val="20"/>
        </w:rPr>
        <w:t xml:space="preserve">Môn MLN111 · Học kỳ Summer 2026 · Lớp SE1812 – Nhóm 07</w:t>
      </w:r>
    </w:p>
    <w:p>
      <w:pPr>
        <w:spacing w:after="200"/>
        <w:jc w:val="center"/>
      </w:pPr>
      <w:r>
        <w:rPr>
          <w:i/>
          <w:iCs/>
          <w:sz w:val="20"/>
          <w:szCs w:val="20"/>
        </w:rPr>
        <w:t xml:space="preserve">Giảng viên hướng dẫn: Thầy Nguyễn Trung Hiếu</w:t>
      </w:r>
    </w:p>
    <w:p>
      <w:pPr>
        <w:spacing w:after="60"/>
        <w:jc w:val="center"/>
      </w:pPr>
      <w:r>
        <w:rPr>
          <w:b/>
          <w:bCs/>
          <w:color w:val="2E5496"/>
          <w:sz w:val="22"/>
          <w:szCs w:val="22"/>
        </w:rPr>
        <w:t xml:space="preserve">RBL LEVEL 5 – NGHIÊN CỨU LIÊN NGÀNH</w:t>
      </w:r>
    </w:p>
    <w:p>
      <w:pPr>
        <w:spacing w:after="60"/>
        <w:jc w:val="center"/>
      </w:pPr>
      <w:r>
        <w:rPr>
          <w:b/>
          <w:bCs/>
          <w:sz w:val="30"/>
          <w:szCs w:val="30"/>
        </w:rPr>
        <w:t xml:space="preserve">SẢN PHẨM TUẦN 1</w:t>
      </w:r>
    </w:p>
    <w:p>
      <w:pPr>
        <w:spacing w:after="240"/>
        <w:jc w:val="center"/>
      </w:pPr>
      <w:r>
        <w:rPr>
          <w:i/>
          <w:iCs/>
          <w:sz w:val="22"/>
          <w:szCs w:val="22"/>
        </w:rPr>
        <w:t xml:space="preserve">Đề xuất chủ đề nghiên cứu liên ngành &amp; bối cảnh ứng dụng</w:t>
      </w:r>
    </w:p>
    <w:p>
      <w:pPr>
        <w:pStyle w:val="Heading1"/>
      </w:pPr>
      <w:r>
        <w:t xml:space="preserve">1. Bối cảnh và vấn đề thực tiễn</w:t>
      </w:r>
    </w:p>
    <w:p>
      <w:pPr>
        <w:spacing w:after="120" w:line="276"/>
        <w:jc w:val="both"/>
      </w:pPr>
      <w:r>
        <w:t xml:space="preserve">Nghiên cứu định tính ở học kỳ trước (Level 4, Nhóm 07) đã giải mã cơ chế tác động của thuật toán mạng xã hội tới tính chủ thể của sinh viên Đại học FPT. Qua bảy phỏng vấn sâu và 112 đoạn mã, nhóm xác lập ba phát hiện cốt lõi: (1) nghịch lý Biết–Làm – sinh viên hiểu rõ cơ chế thuật toán nhưng vẫn mất kiểm soát hành vi; (2) cơ chế Want–Like Split khiến người dùng tiếp tục tiêu thụ nội dung dù không thực sự thích; (3) nhận thức về “bong bóng lọc” còn mờ nhạt và thiếu chiến thuật đàm phán lại quyền tự quyết.</w:t>
      </w:r>
    </w:p>
    <w:p>
      <w:pPr>
        <w:spacing w:after="120" w:line="276"/>
        <w:jc w:val="both"/>
      </w:pPr>
      <w:r>
        <w:t xml:space="preserve">Phát hiện đó mới dừng ở </w:t>
      </w:r>
      <w:r>
        <w:rPr>
          <w:b/>
          <w:bCs/>
        </w:rPr>
        <w:t xml:space="preserve">chẩn đoán</w:t>
      </w:r>
      <w:r>
        <w:t xml:space="preserve">. Vấn đề thực tiễn còn bỏ ngỏ là: </w:t>
      </w:r>
      <w:r>
        <w:rPr>
          <w:b/>
          <w:bCs/>
        </w:rPr>
        <w:t xml:space="preserve">chưa có công cụ nào chuyển hóa các hiểu biết này thành can thiệp giúp sinh viên tái chiếm quyền làm chủ trước thuật toán</w:t>
      </w:r>
      <w:r>
        <w:t xml:space="preserve">. Level 5 nhắm thẳng vào khoảng trống đó: dùng khung lý luận chính trị (MLN111) làm nền thiết kế và năng lực kỹ thuật phần mềm (CNTT) làm công cụ tạo ra sản phẩm can thiệp thực tế, thử nghiệm trên sinh viên FPT.</w:t>
      </w:r>
    </w:p>
    <w:p>
      <w:pPr>
        <w:pStyle w:val="Heading1"/>
      </w:pPr>
      <w:r>
        <w:t xml:space="preserve">2. Hai chủ đề nghiên cứu liên ngành đề xuất</w:t>
      </w:r>
    </w:p>
    <w:p>
      <w:pPr>
        <w:spacing w:after="140" w:line="276"/>
        <w:jc w:val="both"/>
      </w:pPr>
      <w:r>
        <w:t xml:space="preserve">Hai chủ đề dưới chia sẻ cùng nền lý luận và dữ liệu Level 4, khác nhau ở trọng tâm sản phẩm để Giảng viên lựa chọn hướng phù hợp.</w:t>
      </w:r>
    </w:p>
    <w:p>
      <w:pPr>
        <w:pStyle w:val="Heading2"/>
      </w:pPr>
      <w:r>
        <w:t xml:space="preserve">Chủ đề 1 (ưu tiên) – Công cụ số tái chiếm tính chủ thể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AB7C4" w:sz="1"/>
              <w:left w:val="single" w:color="AAB7C4" w:sz="1"/>
              <w:bottom w:val="single" w:color="AAB7C4" w:sz="1"/>
              <w:right w:val="single" w:color="AAB7C4" w:sz="1"/>
            </w:tcBorders>
            <w:shd w:fill="1F3864" w:val="clear"/>
            <w:tcMar>
              <w:top w:type="dxa" w:w="60"/>
              <w:left w:type="dxa" w:w="110"/>
              <w:bottom w:type="dxa" w:w="60"/>
              <w:right w:type="dxa" w:w="110"/>
            </w:tcMar>
            <w:vAlign w:val="center"/>
          </w:tcPr>
          <w:p>
            <w:pPr>
              <w:spacing w:after="0" w:line="264"/>
              <w:jc w:val="left"/>
            </w:pPr>
            <w:r>
              <w:rPr>
                <w:b/>
                <w:bCs/>
                <w:color w:val="FFFFFF"/>
                <w:sz w:val="20"/>
                <w:szCs w:val="20"/>
              </w:rPr>
              <w:t xml:space="preserve">Tiêu chí</w:t>
            </w:r>
          </w:p>
        </w:tc>
        <w:tc>
          <w:tcPr>
            <w:tcW w:type="dxa" w:w="6626"/>
            <w:tcBorders>
              <w:top w:val="single" w:color="AAB7C4" w:sz="1"/>
              <w:left w:val="single" w:color="AAB7C4" w:sz="1"/>
              <w:bottom w:val="single" w:color="AAB7C4" w:sz="1"/>
              <w:right w:val="single" w:color="AAB7C4" w:sz="1"/>
            </w:tcBorders>
            <w:shd w:fill="1F3864" w:val="clear"/>
            <w:tcMar>
              <w:top w:type="dxa" w:w="60"/>
              <w:left w:type="dxa" w:w="110"/>
              <w:bottom w:type="dxa" w:w="60"/>
              <w:right w:type="dxa" w:w="110"/>
            </w:tcMar>
            <w:vAlign w:val="center"/>
          </w:tcPr>
          <w:p>
            <w:pPr>
              <w:spacing w:after="0" w:line="264"/>
              <w:jc w:val="left"/>
            </w:pPr>
            <w:r>
              <w:rPr>
                <w:b/>
                <w:bCs/>
                <w:color w:val="FFFFFF"/>
                <w:sz w:val="20"/>
                <w:szCs w:val="20"/>
              </w:rPr>
              <w:t xml:space="preserve">Nội dung</w:t>
            </w:r>
          </w:p>
        </w:tc>
      </w:tr>
      <w:tr>
        <w:tc>
          <w:tcPr>
            <w:tcW w:type="dxa" w:w="24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Tên đề tài</w:t>
            </w:r>
          </w:p>
        </w:tc>
        <w:tc>
          <w:tcPr>
            <w:tcW w:type="dxa" w:w="6626"/>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b/>
                <w:bCs/>
                <w:sz w:val="20"/>
                <w:szCs w:val="20"/>
              </w:rPr>
              <w:t xml:space="preserve">Vận dụng lý luận tha hóa và nhu cầu giả tạo của chủ nghĩa Mác để thiết kế công cụ số tái chiếm tính chủ thể cho sinh viên trước thuật toán mạng xã hội</w:t>
            </w:r>
            <w:r>
              <w:rPr>
                <w:sz w:val="20"/>
                <w:szCs w:val="20"/>
              </w:rPr>
              <w:t xml:space="preserve"> (nghiên cứu thiết kế – đánh giá).</w:t>
            </w:r>
          </w:p>
        </w:tc>
      </w:tr>
      <w:tr>
        <w:tc>
          <w:tcPr>
            <w:tcW w:type="dxa" w:w="24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Tổ hợp liên ngành</w:t>
            </w:r>
          </w:p>
        </w:tc>
        <w:tc>
          <w:tcPr>
            <w:tcW w:type="dxa" w:w="6626"/>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MLN111 (tha hóa, nhu cầu giả tạo, tính chủ thể) × Kỹ thuật phần mềm (thiết kế &amp; phát triển browser extension).</w:t>
            </w:r>
          </w:p>
        </w:tc>
      </w:tr>
      <w:tr>
        <w:tc>
          <w:tcPr>
            <w:tcW w:type="dxa" w:w="24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Bối cảnh ứng dụng / Đối tác</w:t>
            </w:r>
          </w:p>
        </w:tc>
        <w:tc>
          <w:tcPr>
            <w:tcW w:type="dxa" w:w="6626"/>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[ĐIỀN TÊN LỚP/CLB], Đại học FPT TP.HCM – nhóm sinh viên tình nguyện cài đặt và dùng thử công cụ trong 1–2 tuần.</w:t>
            </w:r>
          </w:p>
        </w:tc>
      </w:tr>
      <w:tr>
        <w:tc>
          <w:tcPr>
            <w:tcW w:type="dxa" w:w="24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Vấn đề thực tiễn</w:t>
            </w:r>
          </w:p>
        </w:tc>
        <w:tc>
          <w:tcPr>
            <w:tcW w:type="dxa" w:w="6626"/>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Sinh viên biết về thuật toán nhưng không chuyển hóa thành kiểm soát hành vi (nghịch lý Biết–Làm); thiếu công cụ hỗ trợ hành động.</w:t>
            </w:r>
          </w:p>
        </w:tc>
      </w:tr>
      <w:tr>
        <w:tc>
          <w:tcPr>
            <w:tcW w:type="dxa" w:w="24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Giá trị ứng dụng</w:t>
            </w:r>
          </w:p>
        </w:tc>
        <w:tc>
          <w:tcPr>
            <w:tcW w:type="dxa" w:w="6626"/>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Prototype extension chèn ba can thiệp đúng thời điểm: khoảng dừng phản tư, gương bong bóng lọc, nhật ký chủ thể.</w:t>
            </w:r>
          </w:p>
        </w:tc>
      </w:tr>
      <w:tr>
        <w:tc>
          <w:tcPr>
            <w:tcW w:type="dxa" w:w="24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Tính khả thi</w:t>
            </w:r>
          </w:p>
        </w:tc>
        <w:tc>
          <w:tcPr>
            <w:tcW w:type="dxa" w:w="6626"/>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Tái dùng dữ liệu &amp; lý luận Level 4; phạm vi 3 tính năng; thử nghiệm nội bộ một lớp/CLB; hoàn thành trong 5 tuần.</w:t>
            </w:r>
          </w:p>
        </w:tc>
      </w:tr>
    </w:tbl>
    <w:p>
      <w:pPr>
        <w:spacing w:after="60" w:line="276"/>
        <w:jc w:val="both"/>
      </w:pPr>
      <w:r>
        <w:t xml:space="preserve"/>
      </w:r>
    </w:p>
    <w:p>
      <w:pPr>
        <w:pStyle w:val="Heading2"/>
      </w:pPr>
      <w:r>
        <w:t xml:space="preserve">Chủ đề 2 (thay thế) – Trực quan hóa bong bóng lọc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AB7C4" w:sz="1"/>
              <w:left w:val="single" w:color="AAB7C4" w:sz="1"/>
              <w:bottom w:val="single" w:color="AAB7C4" w:sz="1"/>
              <w:right w:val="single" w:color="AAB7C4" w:sz="1"/>
            </w:tcBorders>
            <w:shd w:fill="1F3864" w:val="clear"/>
            <w:tcMar>
              <w:top w:type="dxa" w:w="60"/>
              <w:left w:type="dxa" w:w="110"/>
              <w:bottom w:type="dxa" w:w="60"/>
              <w:right w:type="dxa" w:w="110"/>
            </w:tcMar>
            <w:vAlign w:val="center"/>
          </w:tcPr>
          <w:p>
            <w:pPr>
              <w:spacing w:after="0" w:line="264"/>
              <w:jc w:val="left"/>
            </w:pPr>
            <w:r>
              <w:rPr>
                <w:b/>
                <w:bCs/>
                <w:color w:val="FFFFFF"/>
                <w:sz w:val="20"/>
                <w:szCs w:val="20"/>
              </w:rPr>
              <w:t xml:space="preserve">Tiêu chí</w:t>
            </w:r>
          </w:p>
        </w:tc>
        <w:tc>
          <w:tcPr>
            <w:tcW w:type="dxa" w:w="6626"/>
            <w:tcBorders>
              <w:top w:val="single" w:color="AAB7C4" w:sz="1"/>
              <w:left w:val="single" w:color="AAB7C4" w:sz="1"/>
              <w:bottom w:val="single" w:color="AAB7C4" w:sz="1"/>
              <w:right w:val="single" w:color="AAB7C4" w:sz="1"/>
            </w:tcBorders>
            <w:shd w:fill="1F3864" w:val="clear"/>
            <w:tcMar>
              <w:top w:type="dxa" w:w="60"/>
              <w:left w:type="dxa" w:w="110"/>
              <w:bottom w:type="dxa" w:w="60"/>
              <w:right w:type="dxa" w:w="110"/>
            </w:tcMar>
            <w:vAlign w:val="center"/>
          </w:tcPr>
          <w:p>
            <w:pPr>
              <w:spacing w:after="0" w:line="264"/>
              <w:jc w:val="left"/>
            </w:pPr>
            <w:r>
              <w:rPr>
                <w:b/>
                <w:bCs/>
                <w:color w:val="FFFFFF"/>
                <w:sz w:val="20"/>
                <w:szCs w:val="20"/>
              </w:rPr>
              <w:t xml:space="preserve">Nội dung</w:t>
            </w:r>
          </w:p>
        </w:tc>
      </w:tr>
      <w:tr>
        <w:tc>
          <w:tcPr>
            <w:tcW w:type="dxa" w:w="24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Tên đề tài</w:t>
            </w:r>
          </w:p>
        </w:tc>
        <w:tc>
          <w:tcPr>
            <w:tcW w:type="dxa" w:w="6626"/>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b/>
                <w:bCs/>
                <w:sz w:val="20"/>
                <w:szCs w:val="20"/>
              </w:rPr>
              <w:t xml:space="preserve">Trực quan hóa “bong bóng lọc” bằng extension trình duyệt nhằm phục hồi năng lực phản biện số cho sinh viên FPT.</w:t>
            </w:r>
          </w:p>
        </w:tc>
      </w:tr>
      <w:tr>
        <w:tc>
          <w:tcPr>
            <w:tcW w:type="dxa" w:w="24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Tổ hợp liên ngành</w:t>
            </w:r>
          </w:p>
        </w:tc>
        <w:tc>
          <w:tcPr>
            <w:tcW w:type="dxa" w:w="6626"/>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MLN111 (tha hóa nhận thức, tính chủ thể trong tiếp nhận thông tin) × Kỹ thuật phần mềm (thu thập &amp; trực quan hóa dữ liệu duyệt web).</w:t>
            </w:r>
          </w:p>
        </w:tc>
      </w:tr>
      <w:tr>
        <w:tc>
          <w:tcPr>
            <w:tcW w:type="dxa" w:w="24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Bối cảnh ứng dụng / Đối tác</w:t>
            </w:r>
          </w:p>
        </w:tc>
        <w:tc>
          <w:tcPr>
            <w:tcW w:type="dxa" w:w="6626"/>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[ĐIỀN TÊN LỚP/CLB], Đại học FPT TP.HCM.</w:t>
            </w:r>
          </w:p>
        </w:tc>
      </w:tr>
      <w:tr>
        <w:tc>
          <w:tcPr>
            <w:tcW w:type="dxa" w:w="24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Vấn đề thực tiễn</w:t>
            </w:r>
          </w:p>
        </w:tc>
        <w:tc>
          <w:tcPr>
            <w:tcW w:type="dxa" w:w="6626"/>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Nhận thức filter bubble mờ nhạt (phát hiện RQ3, Level 4); sinh viên không thấy được mức độ thu hẹp nguồn thông tin của mình.</w:t>
            </w:r>
          </w:p>
        </w:tc>
      </w:tr>
      <w:tr>
        <w:tc>
          <w:tcPr>
            <w:tcW w:type="dxa" w:w="24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Giá trị ứng dụng</w:t>
            </w:r>
          </w:p>
        </w:tc>
        <w:tc>
          <w:tcPr>
            <w:tcW w:type="dxa" w:w="6626"/>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Công cụ đo và hiển thị độ đa dạng nguồn tin đã tiêu thụ, gợi ý nguồn ngược chiều để mở rộng góc nhìn.</w:t>
            </w:r>
          </w:p>
        </w:tc>
      </w:tr>
      <w:tr>
        <w:tc>
          <w:tcPr>
            <w:tcW w:type="dxa" w:w="24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Tính khả thi</w:t>
            </w:r>
          </w:p>
        </w:tc>
        <w:tc>
          <w:tcPr>
            <w:tcW w:type="dxa" w:w="6626"/>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Phạm vi hẹp hơn (1 tính năng lõi); phù hợp nếu cần giảm tải kỹ thuật.</w:t>
            </w:r>
          </w:p>
        </w:tc>
      </w:tr>
    </w:tbl>
    <w:p>
      <w:pPr>
        <w:spacing w:after="60" w:line="276"/>
        <w:jc w:val="both"/>
      </w:pPr>
      <w:r>
        <w:t xml:space="preserve"/>
      </w:r>
    </w:p>
    <w:p>
      <w:pPr>
        <w:pStyle w:val="Heading1"/>
      </w:pPr>
      <w:r>
        <w:t xml:space="preserve">3. Lựa chọn ưu tiên và lý do</w:t>
      </w:r>
    </w:p>
    <w:p>
      <w:pPr>
        <w:spacing w:after="120" w:line="276"/>
        <w:jc w:val="both"/>
      </w:pPr>
      <w:r>
        <w:t xml:space="preserve">Nhóm đề xuất chọn </w:t>
      </w:r>
      <w:r>
        <w:rPr>
          <w:b/>
          <w:bCs/>
        </w:rPr>
        <w:t xml:space="preserve">Chủ đề 1</w:t>
      </w:r>
      <w:r>
        <w:t xml:space="preserve"> làm hướng chính. Lý do: (a) tận dụng trọn vẹn cả ba phát hiện Level 4 thay vì một; (b) ba tính năng cho phép demo trực quan, sinh động tại Showcase – đáp ứng tiêu chí “demo sản phẩm hoạt động tốt” ở mức Xuất sắc; (c) giá trị liên ngành nổi bật: lý luận tha hóa trực tiếp định hình mục tiêu và cơ chế của từng tính năng, không phải lớp trang trí cho một sản phẩm kỹ thuật có sẵn.</w:t>
      </w:r>
    </w:p>
    <w:p>
      <w:pPr>
        <w:spacing w:after="140" w:line="276"/>
        <w:jc w:val="both"/>
      </w:pPr>
      <w:r>
        <w:t xml:space="preserve">Chủ đề 2 được giữ làm phương án thu hẹp nếu nguồn lực kỹ thuật trong 5 tuần bị giới hạn.</w:t>
      </w:r>
    </w:p>
    <w:p>
      <w:pPr>
        <w:pBdr>
          <w:top w:val="single" w:color="2E5496" w:sz="6" w:space="6"/>
        </w:pBdr>
        <w:spacing w:after="60" w:before="200"/>
      </w:pPr>
      <w:r>
        <w:rPr>
          <w:b/>
          <w:bCs/>
          <w:sz w:val="20"/>
          <w:szCs w:val="20"/>
        </w:rPr>
        <w:t xml:space="preserve">Ghi chú cho nhóm: </w:t>
      </w:r>
      <w:r>
        <w:rPr>
          <w:i/>
          <w:iCs/>
          <w:sz w:val="20"/>
          <w:szCs w:val="20"/>
        </w:rPr>
        <w:t xml:space="preserve">điền tên lớp/CLB cụ thể vào ô đối tác (vd “lớp SE1812” hoặc “CLB ___”). Bối cảnh có tên cụ thể là điều kiện để Tuần 1 đạt mức Xuất sắc (0,9–1,0).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2026-06-29T02:26:44.895Z</dcterms:created>
  <dcterms:modified xsi:type="dcterms:W3CDTF">2026-06-29T02:26:44.895Z</dcterms:modified>
</cp:coreProperties>
</file>

<file path=docProps/custom.xml><?xml version="1.0" encoding="utf-8"?>
<Properties xmlns="http://schemas.openxmlformats.org/officeDocument/2006/custom-properties" xmlns:vt="http://schemas.openxmlformats.org/officeDocument/2006/docPropsVTypes"/>
</file>