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4"/>
          <w:szCs w:val="24"/>
        </w:rPr>
        <w:t xml:space="preserve">ĐẠI HỌC FPT – PHÂN HIỆU TP. HỒ CHÍ MINH</w:t>
      </w:r>
    </w:p>
    <w:p>
      <w:pPr>
        <w:spacing w:after="40"/>
        <w:jc w:val="center"/>
      </w:pPr>
      <w:r>
        <w:rPr>
          <w:sz w:val="20"/>
          <w:szCs w:val="20"/>
        </w:rPr>
        <w:t xml:space="preserve">Môn MLN111 · Học kỳ Summer 2026 · Lớp SE1812 – Nhóm 07</w:t>
      </w:r>
    </w:p>
    <w:p>
      <w:pPr>
        <w:spacing w:after="200"/>
        <w:jc w:val="center"/>
      </w:pPr>
      <w:r>
        <w:rPr>
          <w:i/>
          <w:iCs/>
          <w:sz w:val="20"/>
          <w:szCs w:val="20"/>
        </w:rPr>
        <w:t xml:space="preserve">Giảng viên hướng dẫn: Thầy Nguyễn Trung Hiếu</w:t>
      </w:r>
    </w:p>
    <w:p>
      <w:pPr>
        <w:spacing w:after="60"/>
        <w:jc w:val="center"/>
      </w:pPr>
      <w:r>
        <w:rPr>
          <w:b/>
          <w:bCs/>
          <w:color w:val="2E5496"/>
          <w:sz w:val="22"/>
          <w:szCs w:val="22"/>
        </w:rPr>
        <w:t xml:space="preserve">RBL LEVEL 5 – NGHIÊN CỨU LIÊN NGÀNH</w:t>
      </w:r>
    </w:p>
    <w:p>
      <w:pPr>
        <w:spacing w:after="60"/>
        <w:jc w:val="center"/>
      </w:pPr>
      <w:r>
        <w:rPr>
          <w:b/>
          <w:bCs/>
          <w:sz w:val="30"/>
          <w:szCs w:val="30"/>
        </w:rPr>
        <w:t xml:space="preserve">ĐỀ CƯƠNG NGHIÊN CỨU LIÊN NGÀNH</w:t>
      </w:r>
    </w:p>
    <w:p>
      <w:pPr>
        <w:spacing w:after="240"/>
        <w:jc w:val="center"/>
      </w:pPr>
      <w:r>
        <w:rPr>
          <w:i/>
          <w:iCs/>
          <w:sz w:val="22"/>
          <w:szCs w:val="22"/>
        </w:rPr>
        <w:t xml:space="preserve">Sản phẩm Tuần 2 – RBL Level 5</w:t>
      </w:r>
    </w:p>
    <w:p>
      <w:pPr>
        <w:spacing w:after="240"/>
        <w:jc w:val="center"/>
      </w:pPr>
      <w:r>
        <w:rPr>
          <w:b/>
          <w:bCs/>
          <w:sz w:val="22"/>
          <w:szCs w:val="22"/>
        </w:rPr>
        <w:t xml:space="preserve">Tên đề tài: Vận dụng lý luận tha hóa và nhu cầu giả tạo của chủ nghĩa Mác để thiết kế công cụ số tái chiếm tính chủ thể cho sinh viên trước thuật toán mạng xã hội</w:t>
      </w:r>
    </w:p>
    <w:p>
      <w:pPr>
        <w:pStyle w:val="Heading1"/>
      </w:pPr>
      <w:r>
        <w:t xml:space="preserve">1. Lý do chọn đề tài</w:t>
      </w:r>
    </w:p>
    <w:p>
      <w:pPr>
        <w:spacing w:after="120" w:line="276"/>
        <w:jc w:val="both"/>
      </w:pPr>
      <w:r>
        <w:t xml:space="preserve">Đề tài kế thừa trực tiếp nghiên cứu định tính Level 4 của Nhóm 07 về tác động của thuật toán mạng xã hội đến tính chủ thể của sinh viên FPT. Nghiên cứu trước đã trả lời câu hỏi “tại sao biết mà vẫn không làm được”, nhưng dừng lại ở mô tả – diễn giải. Trong khi đó, chính những người tham gia bày tỏ mong muốn có công cụ hỗ trợ kiểm soát hành vi.</w:t>
      </w:r>
    </w:p>
    <w:p>
      <w:pPr>
        <w:spacing w:after="120" w:line="276"/>
        <w:jc w:val="both"/>
      </w:pPr>
      <w:r>
        <w:t xml:space="preserve">Từ góc độ lý luận MLN111, hiện tượng sinh viên đánh mất quyền làm chủ hoạt động tinh thần của mình trước thuật toán là một biểu hiện của </w:t>
      </w:r>
      <w:r>
        <w:rPr>
          <w:b/>
          <w:bCs/>
        </w:rPr>
        <w:t xml:space="preserve">tha hóa</w:t>
      </w:r>
      <w:r>
        <w:t xml:space="preserve"> trong điều kiện số; còn việc tiếp tục tiêu thụ nội dung không thực sự mong muốn phản ánh sự chi phối của </w:t>
      </w:r>
      <w:r>
        <w:rPr>
          <w:b/>
          <w:bCs/>
        </w:rPr>
        <w:t xml:space="preserve">nhu cầu giả tạo</w:t>
      </w:r>
      <w:r>
        <w:t xml:space="preserve">. Nếu lý luận này có giá trị, nó không chỉ để phê phán mà phải dẫn tới hành động cải biến. Đề tài Level 5 đặt mục tiêu hiện thực hóa luận điểm đó thành một công cụ kỹ thuật cụ thể, biến phê phán triết học thành can thiệp khả dụng.</w:t>
      </w:r>
    </w:p>
    <w:p>
      <w:pPr>
        <w:pStyle w:val="Heading1"/>
      </w:pPr>
      <w:r>
        <w:t xml:space="preserve">2. Mục đích và mục tiêu nghiên cứu</w:t>
      </w:r>
    </w:p>
    <w:p>
      <w:pPr>
        <w:spacing w:after="100" w:line="276"/>
        <w:jc w:val="both"/>
      </w:pPr>
      <w:r>
        <w:rPr>
          <w:b/>
          <w:bCs/>
        </w:rPr>
        <w:t xml:space="preserve">Mục đích tổng quát:</w:t>
      </w:r>
      <w:r>
        <w:t xml:space="preserve"> thiết kế, xây dựng và đánh giá một công cụ số (browser extension) giúp sinh viên FPT tái chiếm tính chủ thể trước thuật toán mạng xã hội, trên nền lý luận tha hóa và nhu cầu giả tạo của chủ nghĩa Mác.</w:t>
      </w:r>
    </w:p>
    <w:p>
      <w:pPr>
        <w:spacing w:after="60" w:line="276"/>
        <w:jc w:val="both"/>
      </w:pPr>
      <w:r>
        <w:rPr>
          <w:b/>
          <w:bCs/>
        </w:rPr>
        <w:t xml:space="preserve">Mục tiêu cụ thể:</w:t>
      </w:r>
    </w:p>
    <w:p>
      <w:pPr>
        <w:pStyle w:val="ListParagraph"/>
        <w:numPr>
          <w:ilvl w:val="0"/>
          <w:numId w:val="2"/>
        </w:numPr>
        <w:spacing w:after="80" w:line="276"/>
        <w:jc w:val="both"/>
      </w:pPr>
      <w:r>
        <w:t xml:space="preserve">Chuyển hóa ba phát hiện cốt lõi của Level 4 (nghịch lý Biết–Làm, Want–Like Split, bong bóng lọc) thành đặc tả tính năng có cơ sở lý luận.</w:t>
      </w:r>
    </w:p>
    <w:p>
      <w:pPr>
        <w:pStyle w:val="ListParagraph"/>
        <w:numPr>
          <w:ilvl w:val="0"/>
          <w:numId w:val="2"/>
        </w:numPr>
        <w:spacing w:after="80" w:line="276"/>
        <w:jc w:val="both"/>
      </w:pPr>
      <w:r>
        <w:t xml:space="preserve">Phát triển prototype extension với ba tính năng can thiệp đúng thời điểm.</w:t>
      </w:r>
    </w:p>
    <w:p>
      <w:pPr>
        <w:pStyle w:val="ListParagraph"/>
        <w:numPr>
          <w:ilvl w:val="0"/>
          <w:numId w:val="2"/>
        </w:numPr>
        <w:spacing w:after="80" w:line="276"/>
        <w:jc w:val="both"/>
      </w:pPr>
      <w:r>
        <w:t xml:space="preserve">Thử nghiệm với sinh viên một lớp/CLB FPT và thu ≥10 phản hồi về tính khả dụng và cảm nhận về quyền tự quyết.</w:t>
      </w:r>
    </w:p>
    <w:p>
      <w:pPr>
        <w:pStyle w:val="ListParagraph"/>
        <w:numPr>
          <w:ilvl w:val="0"/>
          <w:numId w:val="2"/>
        </w:numPr>
        <w:spacing w:after="80" w:line="276"/>
        <w:jc w:val="both"/>
      </w:pPr>
      <w:r>
        <w:t xml:space="preserve">Đánh giá giá trị liên ngành và đề xuất hướng phát triển tiếp.</w:t>
      </w:r>
    </w:p>
    <w:p>
      <w:pPr>
        <w:pStyle w:val="Heading1"/>
      </w:pPr>
      <w:r>
        <w:t xml:space="preserve">3. Nhiệm vụ nghiên cứu</w:t>
      </w:r>
    </w:p>
    <w:p>
      <w:pPr>
        <w:pStyle w:val="ListParagraph"/>
        <w:numPr>
          <w:ilvl w:val="0"/>
          <w:numId w:val="3"/>
        </w:numPr>
        <w:spacing w:after="80" w:line="276"/>
        <w:jc w:val="both"/>
      </w:pPr>
      <w:r>
        <w:t xml:space="preserve">Hệ thống hóa khung lý luận MLN111 về tha hóa, nhu cầu giả tạo và tính chủ thể trong bối cảnh số.</w:t>
      </w:r>
    </w:p>
    <w:p>
      <w:pPr>
        <w:pStyle w:val="ListParagraph"/>
        <w:numPr>
          <w:ilvl w:val="0"/>
          <w:numId w:val="3"/>
        </w:numPr>
        <w:spacing w:after="80" w:line="276"/>
        <w:jc w:val="both"/>
      </w:pPr>
      <w:r>
        <w:t xml:space="preserve">Tổng hợp lại bộ phát hiện định tính Level 4 làm cơ sở phân tích nhu cầu (needs analysis).</w:t>
      </w:r>
    </w:p>
    <w:p>
      <w:pPr>
        <w:pStyle w:val="ListParagraph"/>
        <w:numPr>
          <w:ilvl w:val="0"/>
          <w:numId w:val="3"/>
        </w:numPr>
        <w:spacing w:after="80" w:line="276"/>
        <w:jc w:val="both"/>
      </w:pPr>
      <w:r>
        <w:t xml:space="preserve">Đặc tả – thiết kế – lập trình prototype theo quy trình Design Science Research.</w:t>
      </w:r>
    </w:p>
    <w:p>
      <w:pPr>
        <w:pStyle w:val="ListParagraph"/>
        <w:numPr>
          <w:ilvl w:val="0"/>
          <w:numId w:val="3"/>
        </w:numPr>
        <w:spacing w:after="80" w:line="276"/>
        <w:jc w:val="both"/>
      </w:pPr>
      <w:r>
        <w:t xml:space="preserve">Tổ chức thử nghiệm người dùng, thu thập và phân tích phản hồi.</w:t>
      </w:r>
    </w:p>
    <w:p>
      <w:pPr>
        <w:pStyle w:val="ListParagraph"/>
        <w:numPr>
          <w:ilvl w:val="0"/>
          <w:numId w:val="3"/>
        </w:numPr>
        <w:spacing w:after="80" w:line="276"/>
        <w:jc w:val="both"/>
      </w:pPr>
      <w:r>
        <w:t xml:space="preserve">Viết báo cáo nghiên cứu liên ngành và chuẩn bị demo Showcase.</w:t>
      </w:r>
    </w:p>
    <w:p>
      <w:pPr>
        <w:pStyle w:val="Heading1"/>
      </w:pPr>
      <w:r>
        <w:t xml:space="preserve">4. Câu hỏi nghiên cứu</w:t>
      </w:r>
    </w:p>
    <w:p>
      <w:pPr>
        <w:spacing w:after="80" w:line="276"/>
        <w:jc w:val="both"/>
      </w:pPr>
      <w:r>
        <w:t xml:space="preserve">Khác với Level 4 (câu hỏi mô tả hiện tượng), Level 5 chuyển sang câu hỏi </w:t>
      </w:r>
      <w:r>
        <w:rPr>
          <w:b/>
          <w:bCs/>
        </w:rPr>
        <w:t xml:space="preserve">thiết kế – đánh giá</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Mã</w:t>
            </w:r>
          </w:p>
        </w:tc>
        <w:tc>
          <w:tcPr>
            <w:tcW w:type="dxa" w:w="78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Câu hỏi nghiên cứu</w:t>
            </w:r>
          </w:p>
        </w:tc>
      </w:tr>
      <w:tr>
        <w:tc>
          <w:tcPr>
            <w:tcW w:type="dxa" w:w="1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RQ1</w:t>
            </w:r>
          </w:p>
        </w:tc>
        <w:tc>
          <w:tcPr>
            <w:tcW w:type="dxa" w:w="7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Làm thế nào chuyển hóa các phát hiện về tha hóa, Want–Like Split và bong bóng lọc thành đặc tả tính năng của một công cụ tái chiếm tính chủ thể?</w:t>
            </w:r>
          </w:p>
        </w:tc>
      </w:tr>
      <w:tr>
        <w:tc>
          <w:tcPr>
            <w:tcW w:type="dxa" w:w="1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RQ2</w:t>
            </w:r>
          </w:p>
        </w:tc>
        <w:tc>
          <w:tcPr>
            <w:tcW w:type="dxa" w:w="7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Sinh viên FPT trải nghiệm và đánh giá công cụ ra sao về tính khả dụng (usability) và mức độ phù hợp với nhu cầu thực tế?</w:t>
            </w:r>
          </w:p>
        </w:tc>
      </w:tr>
      <w:tr>
        <w:tc>
          <w:tcPr>
            <w:tcW w:type="dxa" w:w="1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RQ3</w:t>
            </w:r>
          </w:p>
        </w:tc>
        <w:tc>
          <w:tcPr>
            <w:tcW w:type="dxa" w:w="7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Trong giai đoạn thử nghiệm ngắn, công cụ tác động thế nào đến cảm nhận của người dùng về quyền tự quyết và khả năng kiểm soát hành vi?</w:t>
            </w:r>
          </w:p>
        </w:tc>
      </w:tr>
    </w:tbl>
    <w:p>
      <w:pPr>
        <w:spacing w:after="60" w:line="276"/>
        <w:jc w:val="both"/>
      </w:pPr>
      <w:r>
        <w:t xml:space="preserve"/>
      </w:r>
    </w:p>
    <w:p>
      <w:pPr>
        <w:pStyle w:val="Heading1"/>
      </w:pPr>
      <w:r>
        <w:t xml:space="preserve">5. Giả thuyết / Mệnh đề thiết kế</w:t>
      </w:r>
    </w:p>
    <w:p>
      <w:pPr>
        <w:spacing w:after="80" w:line="276"/>
        <w:jc w:val="both"/>
      </w:pPr>
      <w:r>
        <w:t xml:space="preserve">Do bản chất nghiên cứu thiết kế cỡ mẫu nhỏ, nhóm phát biểu dưới dạng </w:t>
      </w:r>
      <w:r>
        <w:rPr>
          <w:b/>
          <w:bCs/>
        </w:rPr>
        <w:t xml:space="preserve">mệnh đề thiết kế (design propositions)</w:t>
      </w:r>
      <w:r>
        <w:t xml:space="preserve"> để kiểm chứng định tính, không phải giả thuyết thống kê:</w:t>
      </w:r>
    </w:p>
    <w:p>
      <w:pPr>
        <w:pStyle w:val="ListParagraph"/>
        <w:numPr>
          <w:ilvl w:val="0"/>
          <w:numId w:val="3"/>
        </w:numPr>
        <w:spacing w:after="80" w:line="276"/>
        <w:jc w:val="both"/>
      </w:pPr>
      <w:r>
        <w:rPr>
          <w:b/>
          <w:bCs/>
        </w:rPr>
        <w:t xml:space="preserve">P1.</w:t>
      </w:r>
      <w:r>
        <w:t xml:space="preserve"> Một “khoảng dừng phản tư” chèn đúng thời điểm cao trào cuộn sẽ giúp người dùng phân biệt được “đang muốn” với “đang thích”, qua đó tăng cảm giác kiểm soát (đối ứng cơ chế Want–Like Split).</w:t>
      </w:r>
    </w:p>
    <w:p>
      <w:pPr>
        <w:pStyle w:val="ListParagraph"/>
        <w:numPr>
          <w:ilvl w:val="0"/>
          <w:numId w:val="3"/>
        </w:numPr>
        <w:spacing w:after="80" w:line="276"/>
        <w:jc w:val="both"/>
      </w:pPr>
      <w:r>
        <w:rPr>
          <w:b/>
          <w:bCs/>
        </w:rPr>
        <w:t xml:space="preserve">P2.</w:t>
      </w:r>
      <w:r>
        <w:t xml:space="preserve"> Việc trực quan hóa độ đa dạng nguồn tin làm người dùng nhận ra bong bóng lọc của mình và chủ động tìm nguồn ngược chiều (đối ứng tha hóa nhận thức).</w:t>
      </w:r>
    </w:p>
    <w:p>
      <w:pPr>
        <w:pStyle w:val="ListParagraph"/>
        <w:numPr>
          <w:ilvl w:val="0"/>
          <w:numId w:val="3"/>
        </w:numPr>
        <w:spacing w:after="80" w:line="276"/>
        <w:jc w:val="both"/>
      </w:pPr>
      <w:r>
        <w:rPr>
          <w:b/>
          <w:bCs/>
        </w:rPr>
        <w:t xml:space="preserve">P3.</w:t>
      </w:r>
      <w:r>
        <w:t xml:space="preserve"> Việc đặt ý định trước phiên và đối chiếu sau giúp người dùng tích lũy “micro-wins”, củng cố năng lực đàm phán lại quyền tự quyết (đối ứng nghịch lý Biết–Làm).</w:t>
      </w:r>
    </w:p>
    <w:p>
      <w:pPr>
        <w:pStyle w:val="Heading1"/>
      </w:pPr>
      <w:r>
        <w:t xml:space="preserve">6. Khung lý luận chính trị (nền tảng MLN111)</w:t>
      </w:r>
    </w:p>
    <w:p>
      <w:pPr>
        <w:spacing w:after="80" w:line="276"/>
        <w:jc w:val="both"/>
      </w:pPr>
      <w:r>
        <w:t xml:space="preserve">Đây là phần bổ sung đặc thù Level 5: lý luận chính trị không chỉ là tham chiếu mà là </w:t>
      </w:r>
      <w:r>
        <w:rPr>
          <w:b/>
          <w:bCs/>
        </w:rPr>
        <w:t xml:space="preserve">nền thiết kế</w:t>
      </w:r>
      <w:r>
        <w:t xml:space="preserve"> trực tiếp sinh ra mục tiêu và cơ chế của sản phẩm.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Phạm trù MLN111</w:t>
            </w:r>
          </w:p>
        </w:tc>
        <w:tc>
          <w:tcPr>
            <w:tcW w:type="dxa" w:w="33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Diễn giải trong bối cảnh số</w:t>
            </w:r>
          </w:p>
        </w:tc>
        <w:tc>
          <w:tcPr>
            <w:tcW w:type="dxa" w:w="31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Định hướng thiết kế</w:t>
            </w:r>
          </w:p>
        </w:tc>
      </w:tr>
      <w:tr>
        <w:tc>
          <w:tcPr>
            <w:tcW w:type="dxa" w:w="26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Tha hóa (alienation)</w:t>
            </w:r>
          </w:p>
        </w:tc>
        <w:tc>
          <w:tcPr>
            <w:tcW w:type="dxa" w:w="33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Sự chú ý và dữ liệu cá nhân bị khai thác; chủ thể mất quyền làm chủ hoạt động tinh thần của mình.</w:t>
            </w:r>
          </w:p>
        </w:tc>
        <w:tc>
          <w:tcPr>
            <w:tcW w:type="dxa" w:w="31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Tính năng trả lại quyền điều khiển: chặn cuộn vô tận, buộc người dùng ra quyết định có ý thức.</w:t>
            </w:r>
          </w:p>
        </w:tc>
      </w:tr>
      <w:tr>
        <w:tc>
          <w:tcPr>
            <w:tcW w:type="dxa" w:w="26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Nhu cầu giả tạo (false needs)</w:t>
            </w:r>
          </w:p>
        </w:tc>
        <w:tc>
          <w:tcPr>
            <w:tcW w:type="dxa" w:w="33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Người dùng tiếp tục tiêu thụ nội dung do hệ thống khen thưởng dẫn dắt, không phải nhu cầu thật (Want–Like Split).</w:t>
            </w:r>
          </w:p>
        </w:tc>
        <w:tc>
          <w:tcPr>
            <w:tcW w:type="dxa" w:w="31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Khoảng dừng phản tư phân biệt muốn/thích, phơi bày nhu cầu giả tạo.</w:t>
            </w:r>
          </w:p>
        </w:tc>
      </w:tr>
      <w:tr>
        <w:tc>
          <w:tcPr>
            <w:tcW w:type="dxa" w:w="26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Tính chủ thể &amp; tự do</w:t>
            </w:r>
          </w:p>
        </w:tc>
        <w:tc>
          <w:tcPr>
            <w:tcW w:type="dxa" w:w="33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Khôi phục năng lực tự quyết là điều kiện của tự do thực chất.</w:t>
            </w:r>
          </w:p>
        </w:tc>
        <w:tc>
          <w:tcPr>
            <w:tcW w:type="dxa" w:w="31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Nhật ký chủ thể: đặt ý định, đối chiếu, tích lũy năng lực làm chủ.</w:t>
            </w:r>
          </w:p>
        </w:tc>
      </w:tr>
    </w:tbl>
    <w:p>
      <w:pPr>
        <w:spacing w:after="60" w:line="276"/>
        <w:jc w:val="both"/>
      </w:pPr>
      <w:r>
        <w:t xml:space="preserve"/>
      </w:r>
    </w:p>
    <w:p>
      <w:pPr>
        <w:pStyle w:val="Heading1"/>
      </w:pPr>
      <w:r>
        <w:t xml:space="preserve">7. Phương pháp nghiên cứu</w:t>
      </w:r>
    </w:p>
    <w:p>
      <w:pPr>
        <w:spacing w:after="100" w:line="276"/>
        <w:jc w:val="both"/>
      </w:pPr>
      <w:r>
        <w:rPr>
          <w:b/>
          <w:bCs/>
        </w:rPr>
        <w:t xml:space="preserve">Phương pháp chuyên ngành (CNTT):</w:t>
      </w:r>
      <w:r>
        <w:t xml:space="preserve"> áp dụng quy trình </w:t>
      </w:r>
      <w:r>
        <w:rPr>
          <w:b/>
          <w:bCs/>
        </w:rPr>
        <w:t xml:space="preserve">Design Science Research – DSR</w:t>
      </w:r>
      <w:r>
        <w:t xml:space="preserve"> (Hevner và cộng sự, 2004): xác định vấn đề (đã hoàn thành ở Level 4) → thiết kế hiện vật (artifact) → trình diễn → đánh giá. Prototype được phát triển theo quy trình gate-based (đọc – duyệt – thực thi), commit từng phần, kiểm thử trước khi tích hợp.</w:t>
      </w:r>
    </w:p>
    <w:p>
      <w:pPr>
        <w:spacing w:after="100" w:line="276"/>
        <w:jc w:val="both"/>
      </w:pPr>
      <w:r>
        <w:rPr>
          <w:b/>
          <w:bCs/>
        </w:rPr>
        <w:t xml:space="preserve">Phương pháp lý luận:</w:t>
      </w:r>
      <w:r>
        <w:t xml:space="preserve"> tiếp tục phân tích chủ đề (Braun &amp; Clarke, 2006) trên dữ liệu phản hồi mới; diễn giải qua lăng kính tha hóa / nhu cầu giả tạo.</w:t>
      </w:r>
    </w:p>
    <w:p>
      <w:pPr>
        <w:spacing w:after="120" w:line="276"/>
        <w:jc w:val="both"/>
      </w:pPr>
      <w:r>
        <w:rPr>
          <w:b/>
          <w:bCs/>
        </w:rPr>
        <w:t xml:space="preserve">Đánh giá sản phẩm:</w:t>
      </w:r>
      <w:r>
        <w:t xml:space="preserve"> kết hợp thang đo khả dụng hệ thống </w:t>
      </w:r>
      <w:r>
        <w:rPr>
          <w:b/>
          <w:bCs/>
        </w:rPr>
        <w:t xml:space="preserve">SUS</w:t>
      </w:r>
      <w:r>
        <w:t xml:space="preserve"> (System Usability Scale, Brooke, 1996) với phỏng vấn ngắn tự báo cáo trước–sau (pre/post self-report) về cảm nhận quyền tự quyết. Cỡ mẫu thử nghiệm ≥10 người; số liệu chỉ mang tính mô tả, nhất quán với định hướng diễn giải của nghiên cứu.</w:t>
      </w:r>
    </w:p>
    <w:p>
      <w:pPr>
        <w:pStyle w:val="Heading1"/>
      </w:pPr>
      <w:r>
        <w:t xml:space="preserve">8. Mô tả sản phẩm ứng dụng dự kiến</w:t>
      </w:r>
    </w:p>
    <w:p>
      <w:pPr>
        <w:spacing w:after="80" w:line="276"/>
        <w:jc w:val="both"/>
      </w:pPr>
      <w:r>
        <w:t xml:space="preserve">Sản phẩm là một </w:t>
      </w:r>
      <w:r>
        <w:rPr>
          <w:b/>
          <w:bCs/>
        </w:rPr>
        <w:t xml:space="preserve">browser extension</w:t>
      </w:r>
      <w:r>
        <w:t xml:space="preserve"> (tên làm việc: </w:t>
      </w:r>
      <w:r>
        <w:rPr>
          <w:b/>
          <w:bCs/>
        </w:rPr>
        <w:t xml:space="preserve">“Tỉnh”</w:t>
      </w:r>
      <w:r>
        <w:t xml:space="preserve"> – có thể đổi), gồm ba tính năng, mỗi tính năng ánh xạ một phát hiện Level 4 và một phạm trù lý luận: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Tính năng</w:t>
            </w:r>
          </w:p>
        </w:tc>
        <w:tc>
          <w:tcPr>
            <w:tcW w:type="dxa" w:w="24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Neo phát hiện L4</w:t>
            </w:r>
          </w:p>
        </w:tc>
        <w:tc>
          <w:tcPr>
            <w:tcW w:type="dxa" w:w="42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Mô tả &amp; cơ chế</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Khoảng dừng phản tư</w:t>
            </w:r>
          </w:p>
        </w:tc>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Want–Like Split (M1) / nhu cầu giả tạo</w:t>
            </w:r>
          </w:p>
        </w:tc>
        <w:tc>
          <w:tcPr>
            <w:tcW w:type="dxa" w:w="4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Sau N phút cuộn liên tục, chèn một màn hình dừng hỏi “bạn đang muốn hay đang thích?”, yêu cầu quyết định có ý thức để tiếp tục.</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Gương bong bóng lọc</w:t>
            </w:r>
          </w:p>
        </w:tc>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Filter bubble (X3, Z2 yếu) / tha hóa nhận thức</w:t>
            </w:r>
          </w:p>
        </w:tc>
        <w:tc>
          <w:tcPr>
            <w:tcW w:type="dxa" w:w="4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Hiển thị thống kê độ đa dạng nguồn tin đã tiêu thụ; gợi ý nguồn ngược chiều.</w:t>
            </w:r>
          </w:p>
        </w:tc>
      </w:tr>
      <w:tr>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Nhật ký chủ thể</w:t>
            </w:r>
          </w:p>
        </w:tc>
        <w:tc>
          <w:tcPr>
            <w:tcW w:type="dxa" w:w="24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Nghịch lý Biết–Làm (Z1) / tính chủ thể</w:t>
            </w:r>
          </w:p>
        </w:tc>
        <w:tc>
          <w:tcPr>
            <w:tcW w:type="dxa" w:w="4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Đặt ý định trước phiên, đối chiếu sau, tích lũy “micro-wins” theo thời gian.</w:t>
            </w:r>
          </w:p>
        </w:tc>
      </w:tr>
    </w:tbl>
    <w:p>
      <w:pPr>
        <w:spacing w:after="40" w:line="276"/>
        <w:jc w:val="both"/>
      </w:pPr>
      <w:r>
        <w:t xml:space="preserve"/>
      </w:r>
    </w:p>
    <w:p>
      <w:pPr>
        <w:spacing w:after="120" w:line="276"/>
        <w:jc w:val="both"/>
      </w:pPr>
      <w:r>
        <w:rPr>
          <w:b/>
          <w:bCs/>
        </w:rPr>
        <w:t xml:space="preserve">Giá trị liên ngành:</w:t>
      </w:r>
      <w:r>
        <w:t xml:space="preserve"> nếu chỉ có CNTT, sản phẩm chỉ là một tiện ích đo screen-time thông thường; nếu chỉ có MLN111, kết quả chỉ là bài luận về tha hóa. Kết hợp cả hai tạo ra một công cụ tái chiếm chủ thể nhắm đúng cơ chế tâm lý mà nghiên cứu định tính đã phát hiện.</w:t>
      </w:r>
    </w:p>
    <w:p>
      <w:pPr>
        <w:pStyle w:val="Heading1"/>
      </w:pPr>
      <w:r>
        <w:t xml:space="preserve">9. Đối tác / bối cảnh ứng dụng và cam kết hợp tác</w:t>
      </w:r>
    </w:p>
    <w:p>
      <w:pPr>
        <w:spacing w:after="120" w:line="276"/>
        <w:jc w:val="both"/>
      </w:pPr>
      <w:r>
        <w:t xml:space="preserve">Bối cảnh ứng dụng: </w:t>
      </w:r>
      <w:r>
        <w:rPr>
          <w:b/>
          <w:bCs/>
        </w:rPr>
        <w:t xml:space="preserve">[ĐIỀN TÊN LỚP/CLB], Đại học FPT TP.HCM</w:t>
      </w:r>
      <w:r>
        <w:t xml:space="preserve">. Nhóm sẽ mời sinh viên tình nguyện cài đặt và dùng thử công cụ trong 1–2 tuần, sau đó tham gia phản hồi. Một thư/email xác nhận của lớp trưởng hoặc chủ nhiệm CLB về việc hỗ trợ thử nghiệm sẽ được đính kèm (điểm cộng cho mức Xuất sắc).</w:t>
      </w:r>
    </w:p>
    <w:p>
      <w:pPr>
        <w:pStyle w:val="Heading1"/>
      </w:pPr>
      <w:r>
        <w:t xml:space="preserve">10. Phân công liên ngành</w:t>
      </w:r>
    </w:p>
    <w:p>
      <w:pPr>
        <w:spacing w:after="80" w:line="276"/>
        <w:jc w:val="both"/>
      </w:pPr>
      <w:r>
        <w:t xml:space="preserve">Do nhóm cùng ngành Kỹ thuật phần mềm, tính liên ngành thể hiện ở </w:t>
      </w:r>
      <w:r>
        <w:rPr>
          <w:b/>
          <w:bCs/>
        </w:rPr>
        <w:t xml:space="preserve">sự kết hợp hai lĩnh vực tri thức</w:t>
      </w:r>
      <w:r>
        <w:t xml:space="preserve"> (lý luận chính trị × kỹ thuật phần mềm) và được phân vai theo chức năng chuyên môn đảm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Thành viên</w:t>
            </w:r>
          </w:p>
        </w:tc>
        <w:tc>
          <w:tcPr>
            <w:tcW w:type="dxa" w:w="22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MSSV</w:t>
            </w:r>
          </w:p>
        </w:tc>
        <w:tc>
          <w:tcPr>
            <w:tcW w:type="dxa" w:w="38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Vai trò chức năng</w:t>
            </w:r>
          </w:p>
        </w:tc>
      </w:tr>
      <w:tr>
        <w:tc>
          <w:tcPr>
            <w:tcW w:type="dxa" w:w="30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Hồ Quốc Đạt</w:t>
            </w:r>
          </w:p>
        </w:tc>
        <w:tc>
          <w:tcPr>
            <w:tcW w:type="dxa" w:w="2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SE193114</w:t>
            </w:r>
          </w:p>
        </w:tc>
        <w:tc>
          <w:tcPr>
            <w:tcW w:type="dxa" w:w="3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Trưởng nhóm · Kiến trúc &amp; phát triển prototype (CNTT)</w:t>
            </w:r>
          </w:p>
        </w:tc>
      </w:tr>
      <w:tr>
        <w:tc>
          <w:tcPr>
            <w:tcW w:type="dxa" w:w="30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Nguyễn Thị Mai Vỹ</w:t>
            </w:r>
          </w:p>
        </w:tc>
        <w:tc>
          <w:tcPr>
            <w:tcW w:type="dxa" w:w="2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SE193020</w:t>
            </w:r>
          </w:p>
        </w:tc>
        <w:tc>
          <w:tcPr>
            <w:tcW w:type="dxa" w:w="3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Thư ký · Phát triển giao diện &amp; xử lý dữ liệu test</w:t>
            </w:r>
          </w:p>
        </w:tc>
      </w:tr>
      <w:tr>
        <w:tc>
          <w:tcPr>
            <w:tcW w:type="dxa" w:w="30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Hoàng Tấn Đạt</w:t>
            </w:r>
          </w:p>
        </w:tc>
        <w:tc>
          <w:tcPr>
            <w:tcW w:type="dxa" w:w="2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SE196321</w:t>
            </w:r>
          </w:p>
        </w:tc>
        <w:tc>
          <w:tcPr>
            <w:tcW w:type="dxa" w:w="3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Phân tích lý luận (MLN111) · ánh xạ phát hiện → tính năng</w:t>
            </w:r>
          </w:p>
        </w:tc>
      </w:tr>
      <w:tr>
        <w:tc>
          <w:tcPr>
            <w:tcW w:type="dxa" w:w="30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Nguyễn Công Thành</w:t>
            </w:r>
          </w:p>
        </w:tc>
        <w:tc>
          <w:tcPr>
            <w:tcW w:type="dxa" w:w="2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SE196309</w:t>
            </w:r>
          </w:p>
        </w:tc>
        <w:tc>
          <w:tcPr>
            <w:tcW w:type="dxa" w:w="3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Khảo sát người dùng &amp; thu thập phản hồi (UX)</w:t>
            </w:r>
          </w:p>
        </w:tc>
      </w:tr>
      <w:tr>
        <w:tc>
          <w:tcPr>
            <w:tcW w:type="dxa" w:w="30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Phạm Trần Trung Hiếu</w:t>
            </w:r>
          </w:p>
        </w:tc>
        <w:tc>
          <w:tcPr>
            <w:tcW w:type="dxa" w:w="22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SE193483</w:t>
            </w:r>
          </w:p>
        </w:tc>
        <w:tc>
          <w:tcPr>
            <w:tcW w:type="dxa" w:w="38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Phân tích dữ liệu phản hồi &amp; viết báo cáo</w:t>
            </w:r>
          </w:p>
        </w:tc>
      </w:tr>
    </w:tbl>
    <w:p>
      <w:pPr>
        <w:spacing w:after="60" w:line="276"/>
        <w:jc w:val="both"/>
      </w:pPr>
      <w:r>
        <w:t xml:space="preserve"/>
      </w:r>
    </w:p>
    <w:p>
      <w:pPr>
        <w:pStyle w:val="Heading1"/>
      </w:pPr>
      <w:r>
        <w:t xml:space="preserve">11. Ý nghĩa nghiên cứu</w:t>
      </w:r>
    </w:p>
    <w:p>
      <w:pPr>
        <w:spacing w:after="100" w:line="276"/>
        <w:jc w:val="both"/>
      </w:pPr>
      <w:r>
        <w:rPr>
          <w:b/>
          <w:bCs/>
        </w:rPr>
        <w:t xml:space="preserve">Về học thuật:</w:t>
      </w:r>
      <w:r>
        <w:t xml:space="preserve"> đóng góp một ví dụ về việc kết nối lý luận tha hóa của chủ nghĩa Mác với thực hành thiết kế tương tác (interaction design) theo khung Design Science Research – một hướng còn ít được khai thác ở bối cảnh Việt Nam.</w:t>
      </w:r>
    </w:p>
    <w:p>
      <w:pPr>
        <w:spacing w:after="120" w:line="276"/>
        <w:jc w:val="both"/>
      </w:pPr>
      <w:r>
        <w:rPr>
          <w:b/>
          <w:bCs/>
        </w:rPr>
        <w:t xml:space="preserve">Về thực tiễn:</w:t>
      </w:r>
      <w:r>
        <w:t xml:space="preserve"> cung cấp một prototype có thể tiếp tục phát triển và triển khai cho chương trình giáo dục năng lực số – tự quyết của Đại học FPT, phục vụ trực tiếp sức khỏe số của sinh viên Gen Z.</w:t>
      </w:r>
    </w:p>
    <w:p>
      <w:pPr>
        <w:pStyle w:val="Heading1"/>
      </w:pPr>
      <w:r>
        <w:t xml:space="preserve">12. Kế hoạch thực 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700"/>
        <w:gridCol w:w="3226"/>
      </w:tblGrid>
      <w:tr>
        <w:trPr>
          <w:tblHeader/>
        </w:trPr>
        <w:tc>
          <w:tcPr>
            <w:tcW w:type="dxa" w:w="11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Tuần</w:t>
            </w:r>
          </w:p>
        </w:tc>
        <w:tc>
          <w:tcPr>
            <w:tcW w:type="dxa" w:w="4700"/>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Công việc chính</w:t>
            </w:r>
          </w:p>
        </w:tc>
        <w:tc>
          <w:tcPr>
            <w:tcW w:type="dxa" w:w="3226"/>
            <w:tcBorders>
              <w:top w:val="single" w:color="AAB7C4" w:sz="1"/>
              <w:left w:val="single" w:color="AAB7C4" w:sz="1"/>
              <w:bottom w:val="single" w:color="AAB7C4" w:sz="1"/>
              <w:right w:val="single" w:color="AAB7C4" w:sz="1"/>
            </w:tcBorders>
            <w:shd w:fill="1F3864" w:val="clear"/>
            <w:tcMar>
              <w:top w:type="dxa" w:w="60"/>
              <w:left w:type="dxa" w:w="110"/>
              <w:bottom w:type="dxa" w:w="60"/>
              <w:right w:type="dxa" w:w="110"/>
            </w:tcMar>
            <w:vAlign w:val="center"/>
          </w:tcPr>
          <w:p>
            <w:pPr>
              <w:spacing w:after="0" w:line="264"/>
              <w:jc w:val="left"/>
            </w:pPr>
            <w:r>
              <w:rPr>
                <w:b/>
                <w:bCs/>
                <w:color w:val="FFFFFF"/>
                <w:sz w:val="20"/>
                <w:szCs w:val="20"/>
              </w:rPr>
              <w:t xml:space="preserve">Sản phẩm</w:t>
            </w:r>
          </w:p>
        </w:tc>
      </w:tr>
      <w:tr>
        <w:tc>
          <w:tcPr>
            <w:tcW w:type="dxa" w:w="11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1</w:t>
            </w:r>
          </w:p>
        </w:tc>
        <w:tc>
          <w:tcPr>
            <w:tcW w:type="dxa" w:w="47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Đề xuất chủ đề liên ngành, xác lập bối cảnh ứng dụng.</w:t>
            </w:r>
          </w:p>
        </w:tc>
        <w:tc>
          <w:tcPr>
            <w:tcW w:type="dxa" w:w="3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≥2 chủ đề + bối cảnh (đã nộp)</w:t>
            </w:r>
          </w:p>
        </w:tc>
      </w:tr>
      <w:tr>
        <w:tc>
          <w:tcPr>
            <w:tcW w:type="dxa" w:w="11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2</w:t>
            </w:r>
          </w:p>
        </w:tc>
        <w:tc>
          <w:tcPr>
            <w:tcW w:type="dxa" w:w="47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Hoàn thiện đề cương; xác nhận đối tác; phân công; đặc tả prototype.</w:t>
            </w:r>
          </w:p>
        </w:tc>
        <w:tc>
          <w:tcPr>
            <w:tcW w:type="dxa" w:w="3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Đề cương + thư xác nhận</w:t>
            </w:r>
          </w:p>
        </w:tc>
      </w:tr>
      <w:tr>
        <w:tc>
          <w:tcPr>
            <w:tcW w:type="dxa" w:w="11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3</w:t>
            </w:r>
          </w:p>
        </w:tc>
        <w:tc>
          <w:tcPr>
            <w:tcW w:type="dxa" w:w="47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Phân tích nhu cầu; lập trình prototype v1; thử nghiệm sơ bộ.</w:t>
            </w:r>
          </w:p>
        </w:tc>
        <w:tc>
          <w:tcPr>
            <w:tcW w:type="dxa" w:w="3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Báo cáo sơ bộ + prototype v1 + ≥5 phản hồi</w:t>
            </w:r>
          </w:p>
        </w:tc>
      </w:tr>
      <w:tr>
        <w:tc>
          <w:tcPr>
            <w:tcW w:type="dxa" w:w="11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4</w:t>
            </w:r>
          </w:p>
        </w:tc>
        <w:tc>
          <w:tcPr>
            <w:tcW w:type="dxa" w:w="47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Hoàn thiện prototype; thu ≥10 phản hồi; viết báo cáo.</w:t>
            </w:r>
          </w:p>
        </w:tc>
        <w:tc>
          <w:tcPr>
            <w:tcW w:type="dxa" w:w="3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Báo cáo NC + sản phẩm hoàn chỉnh</w:t>
            </w:r>
          </w:p>
        </w:tc>
      </w:tr>
      <w:tr>
        <w:tc>
          <w:tcPr>
            <w:tcW w:type="dxa" w:w="11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5</w:t>
            </w:r>
          </w:p>
        </w:tc>
        <w:tc>
          <w:tcPr>
            <w:tcW w:type="dxa" w:w="4700"/>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Trình bày &amp; demo tại Research Showcase.</w:t>
            </w:r>
          </w:p>
        </w:tc>
        <w:tc>
          <w:tcPr>
            <w:tcW w:type="dxa" w:w="3226"/>
            <w:tcBorders>
              <w:top w:val="single" w:color="AAB7C4" w:sz="1"/>
              <w:left w:val="single" w:color="AAB7C4" w:sz="1"/>
              <w:bottom w:val="single" w:color="AAB7C4" w:sz="1"/>
              <w:right w:val="single" w:color="AAB7C4" w:sz="1"/>
            </w:tcBorders>
            <w:tcMar>
              <w:top w:type="dxa" w:w="60"/>
              <w:left w:type="dxa" w:w="110"/>
              <w:bottom w:type="dxa" w:w="60"/>
              <w:right w:type="dxa" w:w="110"/>
            </w:tcMar>
            <w:vAlign w:val="center"/>
          </w:tcPr>
          <w:p>
            <w:pPr>
              <w:spacing w:after="0" w:line="264"/>
              <w:jc w:val="left"/>
            </w:pPr>
            <w:r>
              <w:rPr>
                <w:sz w:val="20"/>
                <w:szCs w:val="20"/>
              </w:rPr>
              <w:t xml:space="preserve">Bài thuyết trình + demo + báo cáo Showcase</w:t>
            </w:r>
          </w:p>
        </w:tc>
      </w:tr>
    </w:tbl>
    <w:p>
      <w:pPr>
        <w:spacing w:after="60" w:line="276"/>
        <w:jc w:val="both"/>
      </w:pPr>
      <w:r>
        <w:t xml:space="preserve"/>
      </w:r>
    </w:p>
    <w:p>
      <w:pPr>
        <w:pStyle w:val="Heading1"/>
      </w:pPr>
      <w:r>
        <w:t xml:space="preserve">Tài liệu tham khảo (dự kiến)</w:t>
      </w:r>
    </w:p>
    <w:p>
      <w:pPr>
        <w:spacing w:after="60" w:line="264"/>
        <w:ind w:left="360" w:hanging="360"/>
        <w:jc w:val="both"/>
      </w:pPr>
      <w:r>
        <w:rPr>
          <w:sz w:val="20"/>
          <w:szCs w:val="20"/>
        </w:rPr>
        <w:t xml:space="preserve">Braun, V., &amp; Clarke, V. (2006). Using thematic analysis in psychology. Qualitative Research in Psychology, 3(2), 77–101.</w:t>
      </w:r>
    </w:p>
    <w:p>
      <w:pPr>
        <w:spacing w:after="60" w:line="264"/>
        <w:ind w:left="360" w:hanging="360"/>
        <w:jc w:val="both"/>
      </w:pPr>
      <w:r>
        <w:rPr>
          <w:sz w:val="20"/>
          <w:szCs w:val="20"/>
        </w:rPr>
        <w:t xml:space="preserve">Brooke, J. (1996). SUS: A “quick and dirty” usability scale. In Usability Evaluation in Industry. Taylor &amp; Francis.</w:t>
      </w:r>
    </w:p>
    <w:p>
      <w:pPr>
        <w:spacing w:after="60" w:line="264"/>
        <w:ind w:left="360" w:hanging="360"/>
        <w:jc w:val="both"/>
      </w:pPr>
      <w:r>
        <w:rPr>
          <w:sz w:val="20"/>
          <w:szCs w:val="20"/>
        </w:rPr>
        <w:t xml:space="preserve">Deci, E. L., &amp; Ryan, R. M. (1985). Intrinsic Motivation and Self-Determination in Human Behavior. Plenum.</w:t>
      </w:r>
    </w:p>
    <w:p>
      <w:pPr>
        <w:spacing w:after="60" w:line="264"/>
        <w:ind w:left="360" w:hanging="360"/>
        <w:jc w:val="both"/>
      </w:pPr>
      <w:r>
        <w:rPr>
          <w:sz w:val="20"/>
          <w:szCs w:val="20"/>
        </w:rPr>
        <w:t xml:space="preserve">Hevner, A. R., March, S. T., Park, J., &amp; Ram, S. (2004). Design science in information systems research. MIS Quarterly, 28(1), 75–105.</w:t>
      </w:r>
    </w:p>
    <w:p>
      <w:pPr>
        <w:spacing w:after="60" w:line="264"/>
        <w:ind w:left="360" w:hanging="360"/>
        <w:jc w:val="both"/>
      </w:pPr>
      <w:r>
        <w:rPr>
          <w:sz w:val="20"/>
          <w:szCs w:val="20"/>
        </w:rPr>
        <w:t xml:space="preserve">Marx, K. (1844). Bản thảo kinh tế – triết học năm 1844 (lý luận về tha hóa lao động).</w:t>
      </w:r>
    </w:p>
    <w:p>
      <w:pPr>
        <w:spacing w:after="60" w:line="264"/>
        <w:ind w:left="360" w:hanging="360"/>
        <w:jc w:val="both"/>
      </w:pPr>
      <w:r>
        <w:rPr>
          <w:sz w:val="20"/>
          <w:szCs w:val="20"/>
        </w:rPr>
        <w:t xml:space="preserve">Pariser, E. (2011). The Filter Bubble: What the Internet Is Hiding from You. Penguin Press.</w:t>
      </w:r>
    </w:p>
    <w:p>
      <w:pPr>
        <w:spacing w:after="60" w:line="264"/>
        <w:ind w:left="360" w:hanging="360"/>
        <w:jc w:val="both"/>
      </w:pPr>
      <w:r>
        <w:rPr>
          <w:sz w:val="20"/>
          <w:szCs w:val="20"/>
        </w:rPr>
        <w:t xml:space="preserve">López-Barranco và cộng sự (2026); Rogowska &amp; Lechowicz (2025); Yu và cộng sự (2024) – kế thừa từ tổng quan Level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2026-06-29T02:26:44.901Z</dcterms:created>
  <dcterms:modified xsi:type="dcterms:W3CDTF">2026-06-29T02:26:44.901Z</dcterms:modified>
</cp:coreProperties>
</file>

<file path=docProps/custom.xml><?xml version="1.0" encoding="utf-8"?>
<Properties xmlns="http://schemas.openxmlformats.org/officeDocument/2006/custom-properties" xmlns:vt="http://schemas.openxmlformats.org/officeDocument/2006/docPropsVTypes"/>
</file>