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2E74B5"/>
          <w:sz w:val="22"/>
        </w:rPr>
        <w:t>PRODUCT &amp; ARCHITECTURE GUIDE</w:t>
      </w:r>
    </w:p>
    <w:p>
      <w:pPr>
        <w:spacing w:before="320" w:after="160"/>
        <w:jc w:val="center"/>
      </w:pPr>
      <w:r>
        <w:rPr>
          <w:rFonts w:ascii="Calibri" w:hAnsi="Calibri"/>
          <w:b/>
          <w:color w:val="0B2545"/>
          <w:sz w:val="60"/>
        </w:rPr>
        <w:t>AI Tutor</w:t>
      </w:r>
    </w:p>
    <w:p>
      <w:pPr>
        <w:spacing w:after="560"/>
        <w:jc w:val="center"/>
      </w:pPr>
      <w:r>
        <w:rPr>
          <w:rFonts w:ascii="Calibri" w:hAnsi="Calibri"/>
          <w:color w:val="5B6470"/>
          <w:sz w:val="28"/>
        </w:rPr>
        <w:t>Learning platform foundation, product flows and Architecture V1.0</w:t>
      </w:r>
    </w:p>
    <w:p>
      <w:pPr>
        <w:ind w:left="792" w:right="792"/>
        <w:jc w:val="center"/>
      </w:pPr>
      <w:r>
        <w:rPr>
          <w:rFonts w:ascii="Calibri" w:hAnsi="Calibri"/>
          <w:color w:val="0B2545"/>
          <w:sz w:val="22"/>
        </w:rPr>
        <w:t>A practical guide to what the product is building, how a learner moves through it, and what is implemented today.</w:t>
      </w:r>
    </w:p>
    <w:p/>
    <w:p>
      <w:pPr>
        <w:jc w:val="center"/>
      </w:pPr>
      <w:r>
        <w:rPr>
          <w:rFonts w:ascii="Calibri" w:hAnsi="Calibri"/>
          <w:i/>
          <w:color w:val="5B6470"/>
          <w:sz w:val="19"/>
        </w:rPr>
        <w:t>Source of truth: numbered Markdown files in /docs</w:t>
      </w:r>
    </w:p>
    <w:p>
      <w:r>
        <w:br w:type="page"/>
      </w:r>
    </w:p>
    <w:p>
      <w:pPr>
        <w:pStyle w:val="Heading1"/>
      </w:pPr>
      <w:r>
        <w:t>How to use this guide</w:t>
      </w:r>
    </w:p>
    <w:p>
      <w:r>
        <w:t>Read the sections in order for the complete story. Section 08 is the fastest way to see what is already working in code; Section 09 is the delivery sequence.</w:t>
      </w:r>
    </w:p>
    <w:tbl>
      <w:tblPr>
        <w:tblStyle w:val="TableGrid"/>
        <w:tblW w:type="dxa" w:w="9360"/>
        <w:jc w:val="left"/>
        <w:tblLayout w:type="fixed"/>
        <w:tblLook w:firstColumn="1" w:firstRow="1" w:lastColumn="0" w:lastRow="0" w:noHBand="0" w:noVBand="1" w:val="04A0"/>
      </w:tblPr>
      <w:tblGrid>
        <w:gridCol w:w="4680"/>
        <w:gridCol w:w="4680"/>
      </w:tblGrid>
      <w:tr>
        <w:tc>
          <w:tcPr>
            <w:tcW w:type="dxa" w:w="1800"/>
            <w:shd w:fill="E8EEF5"/>
            <w:vAlign w:val="center"/>
            <w:tcMar>
              <w:top w:w="80" w:type="dxa"/>
              <w:start w:w="120" w:type="dxa"/>
              <w:bottom w:w="80" w:type="dxa"/>
              <w:end w:w="120" w:type="dxa"/>
            </w:tcMar>
          </w:tcPr>
          <w:p>
            <w:r>
              <w:rPr>
                <w:rFonts w:ascii="Calibri" w:hAnsi="Calibri"/>
                <w:b/>
                <w:color w:val="0B2545"/>
                <w:sz w:val="20"/>
              </w:rPr>
              <w:t>Section</w:t>
            </w:r>
          </w:p>
        </w:tc>
        <w:tc>
          <w:tcPr>
            <w:tcW w:type="dxa" w:w="7560"/>
            <w:shd w:fill="E8EEF5"/>
            <w:vAlign w:val="center"/>
            <w:tcMar>
              <w:top w:w="80" w:type="dxa"/>
              <w:start w:w="120" w:type="dxa"/>
              <w:bottom w:w="80" w:type="dxa"/>
              <w:end w:w="120" w:type="dxa"/>
            </w:tcMar>
          </w:tcPr>
          <w:p>
            <w:r>
              <w:rPr>
                <w:rFonts w:ascii="Calibri" w:hAnsi="Calibri"/>
                <w:b/>
                <w:color w:val="0B2545"/>
                <w:sz w:val="20"/>
              </w:rPr>
              <w:t>Use</w:t>
            </w:r>
          </w:p>
        </w:tc>
      </w:tr>
      <w:tr>
        <w:tc>
          <w:tcPr>
            <w:tcW w:type="dxa" w:w="1800"/>
            <w:vAlign w:val="center"/>
            <w:tcMar>
              <w:top w:w="80" w:type="dxa"/>
              <w:start w:w="120" w:type="dxa"/>
              <w:bottom w:w="80" w:type="dxa"/>
              <w:end w:w="120" w:type="dxa"/>
            </w:tcMar>
          </w:tcPr>
          <w:p>
            <w:r>
              <w:rPr>
                <w:rFonts w:ascii="Calibri" w:hAnsi="Calibri"/>
                <w:color w:val="0B2545"/>
                <w:sz w:val="20"/>
              </w:rPr>
              <w:t>01-05</w:t>
            </w:r>
          </w:p>
        </w:tc>
        <w:tc>
          <w:tcPr>
            <w:tcW w:type="dxa" w:w="7560"/>
            <w:vAlign w:val="center"/>
            <w:tcMar>
              <w:top w:w="80" w:type="dxa"/>
              <w:start w:w="120" w:type="dxa"/>
              <w:bottom w:w="80" w:type="dxa"/>
              <w:end w:w="120" w:type="dxa"/>
            </w:tcMar>
          </w:tcPr>
          <w:p>
            <w:r>
              <w:rPr>
                <w:rFonts w:ascii="Calibri" w:hAnsi="Calibri"/>
                <w:color w:val="0B2545"/>
                <w:sz w:val="20"/>
              </w:rPr>
              <w:t>Product, learner experience, content, knowledge and AI</w:t>
            </w:r>
          </w:p>
        </w:tc>
      </w:tr>
      <w:tr>
        <w:tc>
          <w:tcPr>
            <w:tcW w:type="dxa" w:w="1800"/>
            <w:vAlign w:val="center"/>
            <w:tcMar>
              <w:top w:w="80" w:type="dxa"/>
              <w:start w:w="120" w:type="dxa"/>
              <w:bottom w:w="80" w:type="dxa"/>
              <w:end w:w="120" w:type="dxa"/>
            </w:tcMar>
          </w:tcPr>
          <w:p>
            <w:r>
              <w:rPr>
                <w:rFonts w:ascii="Calibri" w:hAnsi="Calibri"/>
                <w:color w:val="0B2545"/>
                <w:sz w:val="20"/>
              </w:rPr>
              <w:t>06-07</w:t>
            </w:r>
          </w:p>
        </w:tc>
        <w:tc>
          <w:tcPr>
            <w:tcW w:type="dxa" w:w="7560"/>
            <w:vAlign w:val="center"/>
            <w:tcMar>
              <w:top w:w="80" w:type="dxa"/>
              <w:start w:w="120" w:type="dxa"/>
              <w:bottom w:w="80" w:type="dxa"/>
              <w:end w:w="120" w:type="dxa"/>
            </w:tcMar>
          </w:tcPr>
          <w:p>
            <w:r>
              <w:rPr>
                <w:rFonts w:ascii="Calibri" w:hAnsi="Calibri"/>
                <w:color w:val="0B2545"/>
                <w:sz w:val="20"/>
              </w:rPr>
              <w:t>Architecture rules, contracts, data and events</w:t>
            </w:r>
          </w:p>
        </w:tc>
      </w:tr>
      <w:tr>
        <w:tc>
          <w:tcPr>
            <w:tcW w:type="dxa" w:w="1800"/>
            <w:vAlign w:val="center"/>
            <w:tcMar>
              <w:top w:w="80" w:type="dxa"/>
              <w:start w:w="120" w:type="dxa"/>
              <w:bottom w:w="80" w:type="dxa"/>
              <w:end w:w="120" w:type="dxa"/>
            </w:tcMar>
          </w:tcPr>
          <w:p>
            <w:r>
              <w:rPr>
                <w:rFonts w:ascii="Calibri" w:hAnsi="Calibri"/>
                <w:color w:val="0B2545"/>
                <w:sz w:val="20"/>
              </w:rPr>
              <w:t>08</w:t>
            </w:r>
          </w:p>
        </w:tc>
        <w:tc>
          <w:tcPr>
            <w:tcW w:type="dxa" w:w="7560"/>
            <w:vAlign w:val="center"/>
            <w:tcMar>
              <w:top w:w="80" w:type="dxa"/>
              <w:start w:w="120" w:type="dxa"/>
              <w:bottom w:w="80" w:type="dxa"/>
              <w:end w:w="120" w:type="dxa"/>
            </w:tcMar>
          </w:tcPr>
          <w:p>
            <w:r>
              <w:rPr>
                <w:rFonts w:ascii="Calibri" w:hAnsi="Calibri"/>
                <w:color w:val="0B2545"/>
                <w:sz w:val="20"/>
              </w:rPr>
              <w:t>Current Speaking: Car vertical slice</w:t>
            </w:r>
          </w:p>
        </w:tc>
      </w:tr>
      <w:tr>
        <w:tc>
          <w:tcPr>
            <w:tcW w:type="dxa" w:w="1800"/>
            <w:vAlign w:val="center"/>
            <w:tcMar>
              <w:top w:w="80" w:type="dxa"/>
              <w:start w:w="120" w:type="dxa"/>
              <w:bottom w:w="80" w:type="dxa"/>
              <w:end w:w="120" w:type="dxa"/>
            </w:tcMar>
          </w:tcPr>
          <w:p>
            <w:r>
              <w:rPr>
                <w:rFonts w:ascii="Calibri" w:hAnsi="Calibri"/>
                <w:color w:val="0B2545"/>
                <w:sz w:val="20"/>
              </w:rPr>
              <w:t>09-10</w:t>
            </w:r>
          </w:p>
        </w:tc>
        <w:tc>
          <w:tcPr>
            <w:tcW w:type="dxa" w:w="7560"/>
            <w:vAlign w:val="center"/>
            <w:tcMar>
              <w:top w:w="80" w:type="dxa"/>
              <w:start w:w="120" w:type="dxa"/>
              <w:bottom w:w="80" w:type="dxa"/>
              <w:end w:w="120" w:type="dxa"/>
            </w:tcMar>
          </w:tcPr>
          <w:p>
            <w:r>
              <w:rPr>
                <w:rFonts w:ascii="Calibri" w:hAnsi="Calibri"/>
                <w:color w:val="0B2545"/>
                <w:sz w:val="20"/>
              </w:rPr>
              <w:t>Roadmap, reliability and quality gates</w:t>
            </w:r>
          </w:p>
        </w:tc>
      </w:tr>
      <w:tr>
        <w:tc>
          <w:tcPr>
            <w:tcW w:type="dxa" w:w="1800"/>
            <w:vAlign w:val="center"/>
            <w:tcMar>
              <w:top w:w="80" w:type="dxa"/>
              <w:start w:w="120" w:type="dxa"/>
              <w:bottom w:w="80" w:type="dxa"/>
              <w:end w:w="120" w:type="dxa"/>
            </w:tcMar>
          </w:tcPr>
          <w:p>
            <w:r>
              <w:rPr>
                <w:rFonts w:ascii="Calibri" w:hAnsi="Calibri"/>
                <w:color w:val="0B2545"/>
                <w:sz w:val="20"/>
              </w:rPr>
              <w:t>11</w:t>
            </w:r>
          </w:p>
        </w:tc>
        <w:tc>
          <w:tcPr>
            <w:tcW w:type="dxa" w:w="7560"/>
            <w:vAlign w:val="center"/>
            <w:tcMar>
              <w:top w:w="80" w:type="dxa"/>
              <w:start w:w="120" w:type="dxa"/>
              <w:bottom w:w="80" w:type="dxa"/>
              <w:end w:w="120" w:type="dxa"/>
            </w:tcMar>
          </w:tcPr>
          <w:p>
            <w:r>
              <w:rPr>
                <w:rFonts w:ascii="Calibri" w:hAnsi="Calibri"/>
                <w:color w:val="0B2545"/>
                <w:sz w:val="20"/>
              </w:rPr>
              <w:t>Shared vocabulary</w:t>
            </w:r>
          </w:p>
        </w:tc>
      </w:tr>
    </w:tbl>
    <w:p>
      <w:r>
        <w:br w:type="page"/>
      </w:r>
    </w:p>
    <w:p>
      <w:pPr>
        <w:pStyle w:val="Heading1"/>
      </w:pPr>
      <w:r>
        <w:t>01. Product &amp; Principles</w:t>
      </w:r>
    </w:p>
    <w:p>
      <w:pPr>
        <w:pStyle w:val="Heading2"/>
      </w:pPr>
      <w:r>
        <w:t>Product promise</w:t>
      </w:r>
    </w:p>
    <w:p>
      <w:r>
        <w:t>AI Tutor giúp người học nói tiếng Anh thường xuyên, nhận một phản hồi hữu ích ngay sau khi nói, thử lại khi còn trong ngữ cảnh và tự động có kế hoạch ôn vào lúc phù hợp. Sản phẩm không dừng ở chat AI; mỗi lượt thực hành phải đóng góp vào tiến độ học.</w:t>
      </w:r>
    </w:p>
    <w:p>
      <w:pPr>
        <w:pStyle w:val="Heading2"/>
      </w:pPr>
      <w:r>
        <w:t>Người dùng chính</w:t>
      </w:r>
    </w:p>
    <w:p>
      <w:pPr>
        <w:pStyle w:val="ListBullet"/>
        <w:spacing w:after="80"/>
      </w:pPr>
      <w:r>
        <w:t>Người đi làm Việt Nam muốn nói tự tin trong tình huống hàng ngày hoặc công việc.</w:t>
      </w:r>
    </w:p>
    <w:p>
      <w:pPr>
        <w:pStyle w:val="ListBullet"/>
        <w:spacing w:after="80"/>
      </w:pPr>
      <w:r>
        <w:t>Người cần một lộ trình rõ ràng cho IELTS/TOEIC sau khi core learning loop ổn định.</w:t>
      </w:r>
    </w:p>
    <w:p>
      <w:pPr>
        <w:pStyle w:val="ListBullet"/>
        <w:spacing w:after="80"/>
      </w:pPr>
      <w:r>
        <w:t>Người học bận, cần bắt đầu bài 3 phút bằng một thao tác.</w:t>
      </w:r>
    </w:p>
    <w:p>
      <w:pPr>
        <w:pStyle w:val="Heading2"/>
      </w:pPr>
      <w:r>
        <w:t>Learning loop</w:t>
      </w:r>
    </w:p>
    <w:p>
      <w:pPr>
        <w:pStyle w:val="CodeBlock"/>
        <w:shd w:fill="F2F4F7"/>
      </w:pPr>
      <w:r>
        <w:t>Chọn hoặc tiếp tục hoạt động</w:t>
        <w:br/>
        <w:t>→ nghe / đọc / nói / viết</w:t>
        <w:br/>
        <w:t>→ assessment</w:t>
        <w:br/>
        <w:t>→ một feedback trọng tâm</w:t>
        <w:br/>
        <w:t>→ retry ngay nếu hữu ích</w:t>
        <w:br/>
        <w:t>→ Knowledge Delta</w:t>
        <w:br/>
        <w:t>→ recommendation và lịch ôn</w:t>
      </w:r>
    </w:p>
    <w:p>
      <w:pPr>
        <w:pStyle w:val="Heading2"/>
      </w:pPr>
      <w:r>
        <w:t>Principles</w:t>
      </w:r>
    </w:p>
    <w:p>
      <w:pPr>
        <w:pStyle w:val="ListNumber"/>
        <w:spacing w:after="80"/>
      </w:pPr>
      <w:r>
        <w:t>Voice-first, not voice-only. Người dùng có thể nói hoặc gõ; learning record giống nhau.</w:t>
      </w:r>
    </w:p>
    <w:p>
      <w:pPr>
        <w:pStyle w:val="ListNumber"/>
        <w:spacing w:after="80"/>
      </w:pPr>
      <w:r>
        <w:t>One meaningful correction. Không làm người học ngợp bằng danh sách lỗi.</w:t>
      </w:r>
    </w:p>
    <w:p>
      <w:pPr>
        <w:pStyle w:val="ListNumber"/>
        <w:spacing w:after="80"/>
      </w:pPr>
      <w:r>
        <w:t>Retry while context is fresh. Câu sửa phải dẫn đến hành động nói lại.</w:t>
      </w:r>
    </w:p>
    <w:p>
      <w:pPr>
        <w:pStyle w:val="ListNumber"/>
        <w:spacing w:after="80"/>
      </w:pPr>
      <w:r>
        <w:t>Personal progress, not generic streaks. Streak chỉ là presentation; mastery là dữ liệu học tập.</w:t>
      </w:r>
    </w:p>
    <w:p>
      <w:pPr>
        <w:pStyle w:val="ListNumber"/>
        <w:spacing w:after="80"/>
      </w:pPr>
      <w:r>
        <w:t>Fast by default. Tutor, voice và content không được làm người dùng chờ vô ích.</w:t>
      </w:r>
    </w:p>
    <w:p>
      <w:pPr>
        <w:pStyle w:val="ListNumber"/>
        <w:spacing w:after="80"/>
      </w:pPr>
      <w:r>
        <w:t>Explainable decisions. Feedback, recommendation và score đều phải có reason codes và version.</w:t>
      </w:r>
    </w:p>
    <w:p>
      <w:pPr>
        <w:pStyle w:val="Heading2"/>
      </w:pPr>
      <w:r>
        <w:t>Không phải mục tiêu hiện tại</w:t>
      </w:r>
    </w:p>
    <w:p>
      <w:pPr>
        <w:pStyle w:val="ListBullet"/>
        <w:spacing w:after="80"/>
      </w:pPr>
      <w:r>
        <w:t>Không xây một agent tự do có thể dạy mọi thứ mà không kiểm soát.</w:t>
      </w:r>
    </w:p>
    <w:p>
      <w:pPr>
        <w:pStyle w:val="ListBullet"/>
        <w:spacing w:after="80"/>
      </w:pPr>
      <w:r>
        <w:t>Không làm nhiều mode IELTS/TOEIC trước khi loop speaking cơ bản được chứng minh.</w:t>
      </w:r>
    </w:p>
    <w:p>
      <w:pPr>
        <w:pStyle w:val="ListBullet"/>
        <w:spacing w:after="80"/>
      </w:pPr>
      <w:r>
        <w:t>Không chia microservice chỉ để có sơ đồ đẹp.</w:t>
      </w:r>
    </w:p>
    <w:p>
      <w:pPr>
        <w:pStyle w:val="Heading1"/>
      </w:pPr>
      <w:r>
        <w:t>02. User Experience &amp; Flows</w:t>
      </w:r>
    </w:p>
    <w:p>
      <w:pPr>
        <w:pStyle w:val="Heading2"/>
      </w:pPr>
      <w:r>
        <w:t>First-time experience</w:t>
      </w:r>
    </w:p>
    <w:p>
      <w:pPr>
        <w:pStyle w:val="CodeBlock"/>
        <w:shd w:fill="F2F4F7"/>
      </w:pPr>
      <w:r>
        <w:t>Mở app</w:t>
        <w:br/>
        <w:t>→ chọn mục tiêu ngắn gọn</w:t>
        <w:br/>
        <w:t>→ chọn hoặc nhận đề xuất một topic</w:t>
        <w:br/>
        <w:t>→ tutor bắt đầu</w:t>
        <w:br/>
        <w:t>→ người dùng nói một câu</w:t>
        <w:br/>
        <w:t>→ nhận insight và lựa chọn retry / continue</w:t>
      </w:r>
    </w:p>
    <w:p>
      <w:r>
        <w:t>Mục tiêu: người dùng nói câu đầu tiên trong dưới hai phút. Setting, chọn voice và tính năng nâng cao chỉ mở khi cần.</w:t>
      </w:r>
    </w:p>
    <w:p>
      <w:pPr>
        <w:pStyle w:val="Heading2"/>
      </w:pPr>
      <w:r>
        <w:t>Daily home</w:t>
      </w:r>
    </w:p>
    <w:p>
      <w:r>
        <w:t>Nút chính luôn là Continue learning. Nó dẫn đến activity tốt nhất dựa trên review đến hạn, knowledge yếu, mục tiêu, lịch sử gần đây và thời gian sẵn có.</w:t>
      </w:r>
    </w:p>
    <w:p>
      <w:pPr>
        <w:pStyle w:val="Heading2"/>
      </w:pPr>
      <w:r>
        <w:t>Live speaking</w:t>
      </w:r>
    </w:p>
    <w:p>
      <w:pPr>
        <w:pStyle w:val="ListNumber"/>
        <w:spacing w:after="80"/>
      </w:pPr>
      <w:r>
        <w:t>Tutor nêu ngữ cảnh và câu hỏi.</w:t>
      </w:r>
    </w:p>
    <w:p>
      <w:pPr>
        <w:pStyle w:val="ListNumber"/>
        <w:spacing w:after="80"/>
      </w:pPr>
      <w:r>
        <w:t>Người học nói hoặc gõ.</w:t>
      </w:r>
    </w:p>
    <w:p>
      <w:pPr>
        <w:pStyle w:val="ListNumber"/>
        <w:spacing w:after="80"/>
      </w:pPr>
      <w:r>
        <w:t>App hiển thị transcript và tutor trả lời streaming.</w:t>
      </w:r>
    </w:p>
    <w:p>
      <w:pPr>
        <w:pStyle w:val="ListNumber"/>
        <w:spacing w:after="80"/>
      </w:pPr>
      <w:r>
        <w:t>Learning insight hiện độc lập với tutor reply: score ngắn, một feedback, nút Try again.</w:t>
      </w:r>
    </w:p>
    <w:p>
      <w:pPr>
        <w:pStyle w:val="ListNumber"/>
        <w:spacing w:after="80"/>
      </w:pPr>
      <w:r>
        <w:t>Người dùng retry hoặc tiếp tục cuộc hội thoại.</w:t>
      </w:r>
    </w:p>
    <w:p>
      <w:pPr>
        <w:pStyle w:val="Heading2"/>
      </w:pPr>
      <w:r>
        <w:t>Finish state</w:t>
      </w:r>
    </w:p>
    <w:p>
      <w:r>
        <w:t>Khi kết thúc, người dùng chỉ cần thấy: điều đã làm tốt, một điểm cần ôn, từ/cấu trúc được lưu và bước học hợp lý tiếp theo. Không dùng popup dày đặc hoặc dashboard nặng làm gián đoạn.</w:t>
      </w:r>
    </w:p>
    <w:p>
      <w:pPr>
        <w:pStyle w:val="Heading2"/>
      </w:pPr>
      <w:r>
        <w:t>Presentation Engine boundary</w:t>
      </w:r>
    </w:p>
    <w:p>
      <w:r>
        <w:t>Presentation Engine quyết định cách hiển thị state: animation, overlay, accessibility, responsive layout và transition. Nó không tính mastery, score hay recommendation.</w:t>
      </w:r>
    </w:p>
    <w:p>
      <w:pPr>
        <w:pStyle w:val="Heading2"/>
      </w:pPr>
      <w:r>
        <w:t>Accessibility &amp; performance</w:t>
      </w:r>
    </w:p>
    <w:p>
      <w:pPr>
        <w:pStyle w:val="ListBullet"/>
        <w:spacing w:after="80"/>
      </w:pPr>
      <w:r>
        <w:t>Luôn có text fallback cho audio và microphone.</w:t>
      </w:r>
    </w:p>
    <w:p>
      <w:pPr>
        <w:pStyle w:val="ListBullet"/>
        <w:spacing w:after="80"/>
      </w:pPr>
      <w:r>
        <w:t>UI đáp ứng trước; audio/TTS bắt đầu sau khi text đầu tiên được paint.</w:t>
      </w:r>
    </w:p>
    <w:p>
      <w:pPr>
        <w:pStyle w:val="ListBullet"/>
        <w:spacing w:after="80"/>
      </w:pPr>
      <w:r>
        <w:t>3D tutor là progressive enhancement, không chặn bài học.</w:t>
      </w:r>
    </w:p>
    <w:p>
      <w:pPr>
        <w:pStyle w:val="ListBullet"/>
        <w:spacing w:after="80"/>
      </w:pPr>
      <w:r>
        <w:t>Hiệu ứng/reward tôn trọng reduced motion và không cản thao tác chính.</w:t>
      </w:r>
    </w:p>
    <w:p>
      <w:pPr>
        <w:pStyle w:val="Heading1"/>
      </w:pPr>
      <w:r>
        <w:t>03. Capabilities &amp; Content Engine</w:t>
      </w:r>
    </w:p>
    <w:p>
      <w:pPr>
        <w:pStyle w:val="Heading2"/>
      </w:pPr>
      <w:r>
        <w:t>Capability trước, product pack sau</w:t>
      </w:r>
    </w:p>
    <w:p>
      <w:r>
        <w:t>Core không biết IELTS, Kids hay Business là gì. Core chỉ biết capability và contract của capability.</w:t>
      </w:r>
    </w:p>
    <w:tbl>
      <w:tblPr>
        <w:tblStyle w:val="TableGrid"/>
        <w:tblW w:type="dxa" w:w="9360"/>
        <w:jc w:val="left"/>
        <w:tblLayout w:type="fixed"/>
        <w:tblLook w:firstColumn="1" w:firstRow="1" w:lastColumn="0" w:lastRow="0" w:noHBand="0" w:noVBand="1" w:val="04A0"/>
      </w:tblPr>
      <w:tblGrid>
        <w:gridCol w:w="2340"/>
        <w:gridCol w:w="2340"/>
        <w:gridCol w:w="2340"/>
        <w:gridCol w:w="2340"/>
      </w:tblGrid>
      <w:tr>
        <w:tc>
          <w:tcPr>
            <w:tcW w:type="dxa" w:w="2340"/>
            <w:shd w:fill="E8EEF5"/>
            <w:vAlign w:val="center"/>
            <w:tcMar>
              <w:top w:w="80" w:type="dxa"/>
              <w:start w:w="120" w:type="dxa"/>
              <w:bottom w:w="80" w:type="dxa"/>
              <w:end w:w="120" w:type="dxa"/>
            </w:tcMar>
          </w:tcPr>
          <w:p>
            <w:r>
              <w:rPr>
                <w:rFonts w:ascii="Calibri" w:hAnsi="Calibri"/>
                <w:b/>
                <w:color w:val="0B2545"/>
                <w:sz w:val="19"/>
              </w:rPr>
              <w:t>Capability</w:t>
            </w:r>
          </w:p>
        </w:tc>
        <w:tc>
          <w:tcPr>
            <w:tcW w:type="dxa" w:w="2340"/>
            <w:shd w:fill="E8EEF5"/>
            <w:vAlign w:val="center"/>
            <w:tcMar>
              <w:top w:w="80" w:type="dxa"/>
              <w:start w:w="120" w:type="dxa"/>
              <w:bottom w:w="80" w:type="dxa"/>
              <w:end w:w="120" w:type="dxa"/>
            </w:tcMar>
          </w:tcPr>
          <w:p>
            <w:r>
              <w:rPr>
                <w:rFonts w:ascii="Calibri" w:hAnsi="Calibri"/>
                <w:b/>
                <w:color w:val="0B2545"/>
                <w:sz w:val="19"/>
              </w:rPr>
              <w:t>Input</w:t>
            </w:r>
          </w:p>
        </w:tc>
        <w:tc>
          <w:tcPr>
            <w:tcW w:type="dxa" w:w="2340"/>
            <w:shd w:fill="E8EEF5"/>
            <w:vAlign w:val="center"/>
            <w:tcMar>
              <w:top w:w="80" w:type="dxa"/>
              <w:start w:w="120" w:type="dxa"/>
              <w:bottom w:w="80" w:type="dxa"/>
              <w:end w:w="120" w:type="dxa"/>
            </w:tcMar>
          </w:tcPr>
          <w:p>
            <w:r>
              <w:rPr>
                <w:rFonts w:ascii="Calibri" w:hAnsi="Calibri"/>
                <w:b/>
                <w:color w:val="0B2545"/>
                <w:sz w:val="19"/>
              </w:rPr>
              <w:t>Assessment</w:t>
            </w:r>
          </w:p>
        </w:tc>
        <w:tc>
          <w:tcPr>
            <w:tcW w:type="dxa" w:w="2340"/>
            <w:shd w:fill="E8EEF5"/>
            <w:vAlign w:val="center"/>
            <w:tcMar>
              <w:top w:w="80" w:type="dxa"/>
              <w:start w:w="120" w:type="dxa"/>
              <w:bottom w:w="80" w:type="dxa"/>
              <w:end w:w="120" w:type="dxa"/>
            </w:tcMar>
          </w:tcPr>
          <w:p>
            <w:r>
              <w:rPr>
                <w:rFonts w:ascii="Calibri" w:hAnsi="Calibri"/>
                <w:b/>
                <w:color w:val="0B2545"/>
                <w:sz w:val="19"/>
              </w:rPr>
              <w:t>Output học tập</w:t>
            </w:r>
          </w:p>
        </w:tc>
      </w:tr>
      <w:tr>
        <w:tc>
          <w:tcPr>
            <w:tcW w:type="dxa" w:w="2340"/>
            <w:vAlign w:val="center"/>
            <w:tcMar>
              <w:top w:w="80" w:type="dxa"/>
              <w:start w:w="120" w:type="dxa"/>
              <w:bottom w:w="80" w:type="dxa"/>
              <w:end w:w="120" w:type="dxa"/>
            </w:tcMar>
          </w:tcPr>
          <w:p>
            <w:r>
              <w:rPr>
                <w:rFonts w:ascii="Calibri" w:hAnsi="Calibri"/>
                <w:b w:val="0"/>
                <w:color w:val="0B2545"/>
                <w:sz w:val="19"/>
              </w:rPr>
              <w:t>Speaking</w:t>
            </w:r>
          </w:p>
        </w:tc>
        <w:tc>
          <w:tcPr>
            <w:tcW w:type="dxa" w:w="2340"/>
            <w:vAlign w:val="center"/>
            <w:tcMar>
              <w:top w:w="80" w:type="dxa"/>
              <w:start w:w="120" w:type="dxa"/>
              <w:bottom w:w="80" w:type="dxa"/>
              <w:end w:w="120" w:type="dxa"/>
            </w:tcMar>
          </w:tcPr>
          <w:p>
            <w:r>
              <w:rPr>
                <w:rFonts w:ascii="Calibri" w:hAnsi="Calibri"/>
                <w:b w:val="0"/>
                <w:color w:val="0B2545"/>
                <w:sz w:val="19"/>
              </w:rPr>
              <w:t>voice/text</w:t>
            </w:r>
          </w:p>
        </w:tc>
        <w:tc>
          <w:tcPr>
            <w:tcW w:type="dxa" w:w="2340"/>
            <w:vAlign w:val="center"/>
            <w:tcMar>
              <w:top w:w="80" w:type="dxa"/>
              <w:start w:w="120" w:type="dxa"/>
              <w:bottom w:w="80" w:type="dxa"/>
              <w:end w:w="120" w:type="dxa"/>
            </w:tcMar>
          </w:tcPr>
          <w:p>
            <w:r>
              <w:rPr>
                <w:rFonts w:ascii="Calibri" w:hAnsi="Calibri"/>
                <w:b w:val="0"/>
                <w:color w:val="0B2545"/>
                <w:sz w:val="19"/>
              </w:rPr>
              <w:t>rule, AI hoặc human</w:t>
            </w:r>
          </w:p>
        </w:tc>
        <w:tc>
          <w:tcPr>
            <w:tcW w:type="dxa" w:w="2340"/>
            <w:vAlign w:val="center"/>
            <w:tcMar>
              <w:top w:w="80" w:type="dxa"/>
              <w:start w:w="120" w:type="dxa"/>
              <w:bottom w:w="80" w:type="dxa"/>
              <w:end w:w="120" w:type="dxa"/>
            </w:tcMar>
          </w:tcPr>
          <w:p>
            <w:r>
              <w:rPr>
                <w:rFonts w:ascii="Calibri" w:hAnsi="Calibri"/>
                <w:b w:val="0"/>
                <w:color w:val="0B2545"/>
                <w:sz w:val="19"/>
              </w:rPr>
              <w:t>fluency, grammar, pronunciation deltas</w:t>
            </w:r>
          </w:p>
        </w:tc>
      </w:tr>
      <w:tr>
        <w:tc>
          <w:tcPr>
            <w:tcW w:type="dxa" w:w="2340"/>
            <w:vAlign w:val="center"/>
            <w:tcMar>
              <w:top w:w="80" w:type="dxa"/>
              <w:start w:w="120" w:type="dxa"/>
              <w:bottom w:w="80" w:type="dxa"/>
              <w:end w:w="120" w:type="dxa"/>
            </w:tcMar>
          </w:tcPr>
          <w:p>
            <w:r>
              <w:rPr>
                <w:rFonts w:ascii="Calibri" w:hAnsi="Calibri"/>
                <w:b w:val="0"/>
                <w:color w:val="0B2545"/>
                <w:sz w:val="19"/>
              </w:rPr>
              <w:t>Reading</w:t>
            </w:r>
          </w:p>
        </w:tc>
        <w:tc>
          <w:tcPr>
            <w:tcW w:type="dxa" w:w="2340"/>
            <w:vAlign w:val="center"/>
            <w:tcMar>
              <w:top w:w="80" w:type="dxa"/>
              <w:start w:w="120" w:type="dxa"/>
              <w:bottom w:w="80" w:type="dxa"/>
              <w:end w:w="120" w:type="dxa"/>
            </w:tcMar>
          </w:tcPr>
          <w:p>
            <w:r>
              <w:rPr>
                <w:rFonts w:ascii="Calibri" w:hAnsi="Calibri"/>
                <w:b w:val="0"/>
                <w:color w:val="0B2545"/>
                <w:sz w:val="19"/>
              </w:rPr>
              <w:t>text</w:t>
            </w:r>
          </w:p>
        </w:tc>
        <w:tc>
          <w:tcPr>
            <w:tcW w:type="dxa" w:w="2340"/>
            <w:vAlign w:val="center"/>
            <w:tcMar>
              <w:top w:w="80" w:type="dxa"/>
              <w:start w:w="120" w:type="dxa"/>
              <w:bottom w:w="80" w:type="dxa"/>
              <w:end w:w="120" w:type="dxa"/>
            </w:tcMar>
          </w:tcPr>
          <w:p>
            <w:r>
              <w:rPr>
                <w:rFonts w:ascii="Calibri" w:hAnsi="Calibri"/>
                <w:b w:val="0"/>
                <w:color w:val="0B2545"/>
                <w:sz w:val="19"/>
              </w:rPr>
              <w:t>quiz/rule</w:t>
            </w:r>
          </w:p>
        </w:tc>
        <w:tc>
          <w:tcPr>
            <w:tcW w:type="dxa" w:w="2340"/>
            <w:vAlign w:val="center"/>
            <w:tcMar>
              <w:top w:w="80" w:type="dxa"/>
              <w:start w:w="120" w:type="dxa"/>
              <w:bottom w:w="80" w:type="dxa"/>
              <w:end w:w="120" w:type="dxa"/>
            </w:tcMar>
          </w:tcPr>
          <w:p>
            <w:r>
              <w:rPr>
                <w:rFonts w:ascii="Calibri" w:hAnsi="Calibri"/>
                <w:b w:val="0"/>
                <w:color w:val="0B2545"/>
                <w:sz w:val="19"/>
              </w:rPr>
              <w:t>comprehension and vocabulary deltas</w:t>
            </w:r>
          </w:p>
        </w:tc>
      </w:tr>
      <w:tr>
        <w:tc>
          <w:tcPr>
            <w:tcW w:type="dxa" w:w="2340"/>
            <w:vAlign w:val="center"/>
            <w:tcMar>
              <w:top w:w="80" w:type="dxa"/>
              <w:start w:w="120" w:type="dxa"/>
              <w:bottom w:w="80" w:type="dxa"/>
              <w:end w:w="120" w:type="dxa"/>
            </w:tcMar>
          </w:tcPr>
          <w:p>
            <w:r>
              <w:rPr>
                <w:rFonts w:ascii="Calibri" w:hAnsi="Calibri"/>
                <w:b w:val="0"/>
                <w:color w:val="0B2545"/>
                <w:sz w:val="19"/>
              </w:rPr>
              <w:t>Listening</w:t>
            </w:r>
          </w:p>
        </w:tc>
        <w:tc>
          <w:tcPr>
            <w:tcW w:type="dxa" w:w="2340"/>
            <w:vAlign w:val="center"/>
            <w:tcMar>
              <w:top w:w="80" w:type="dxa"/>
              <w:start w:w="120" w:type="dxa"/>
              <w:bottom w:w="80" w:type="dxa"/>
              <w:end w:w="120" w:type="dxa"/>
            </w:tcMar>
          </w:tcPr>
          <w:p>
            <w:r>
              <w:rPr>
                <w:rFonts w:ascii="Calibri" w:hAnsi="Calibri"/>
                <w:b w:val="0"/>
                <w:color w:val="0B2545"/>
                <w:sz w:val="19"/>
              </w:rPr>
              <w:t>audio</w:t>
            </w:r>
          </w:p>
        </w:tc>
        <w:tc>
          <w:tcPr>
            <w:tcW w:type="dxa" w:w="2340"/>
            <w:vAlign w:val="center"/>
            <w:tcMar>
              <w:top w:w="80" w:type="dxa"/>
              <w:start w:w="120" w:type="dxa"/>
              <w:bottom w:w="80" w:type="dxa"/>
              <w:end w:w="120" w:type="dxa"/>
            </w:tcMar>
          </w:tcPr>
          <w:p>
            <w:r>
              <w:rPr>
                <w:rFonts w:ascii="Calibri" w:hAnsi="Calibri"/>
                <w:b w:val="0"/>
                <w:color w:val="0B2545"/>
                <w:sz w:val="19"/>
              </w:rPr>
              <w:t>alignment/quiz</w:t>
            </w:r>
          </w:p>
        </w:tc>
        <w:tc>
          <w:tcPr>
            <w:tcW w:type="dxa" w:w="2340"/>
            <w:vAlign w:val="center"/>
            <w:tcMar>
              <w:top w:w="80" w:type="dxa"/>
              <w:start w:w="120" w:type="dxa"/>
              <w:bottom w:w="80" w:type="dxa"/>
              <w:end w:w="120" w:type="dxa"/>
            </w:tcMar>
          </w:tcPr>
          <w:p>
            <w:r>
              <w:rPr>
                <w:rFonts w:ascii="Calibri" w:hAnsi="Calibri"/>
                <w:b w:val="0"/>
                <w:color w:val="0B2545"/>
                <w:sz w:val="19"/>
              </w:rPr>
              <w:t>listening deltas</w:t>
            </w:r>
          </w:p>
        </w:tc>
      </w:tr>
      <w:tr>
        <w:tc>
          <w:tcPr>
            <w:tcW w:type="dxa" w:w="2340"/>
            <w:vAlign w:val="center"/>
            <w:tcMar>
              <w:top w:w="80" w:type="dxa"/>
              <w:start w:w="120" w:type="dxa"/>
              <w:bottom w:w="80" w:type="dxa"/>
              <w:end w:w="120" w:type="dxa"/>
            </w:tcMar>
          </w:tcPr>
          <w:p>
            <w:r>
              <w:rPr>
                <w:rFonts w:ascii="Calibri" w:hAnsi="Calibri"/>
                <w:b w:val="0"/>
                <w:color w:val="0B2545"/>
                <w:sz w:val="19"/>
              </w:rPr>
              <w:t>Writing</w:t>
            </w:r>
          </w:p>
        </w:tc>
        <w:tc>
          <w:tcPr>
            <w:tcW w:type="dxa" w:w="2340"/>
            <w:vAlign w:val="center"/>
            <w:tcMar>
              <w:top w:w="80" w:type="dxa"/>
              <w:start w:w="120" w:type="dxa"/>
              <w:bottom w:w="80" w:type="dxa"/>
              <w:end w:w="120" w:type="dxa"/>
            </w:tcMar>
          </w:tcPr>
          <w:p>
            <w:r>
              <w:rPr>
                <w:rFonts w:ascii="Calibri" w:hAnsi="Calibri"/>
                <w:b w:val="0"/>
                <w:color w:val="0B2545"/>
                <w:sz w:val="19"/>
              </w:rPr>
              <w:t>text</w:t>
            </w:r>
          </w:p>
        </w:tc>
        <w:tc>
          <w:tcPr>
            <w:tcW w:type="dxa" w:w="2340"/>
            <w:vAlign w:val="center"/>
            <w:tcMar>
              <w:top w:w="80" w:type="dxa"/>
              <w:start w:w="120" w:type="dxa"/>
              <w:bottom w:w="80" w:type="dxa"/>
              <w:end w:w="120" w:type="dxa"/>
            </w:tcMar>
          </w:tcPr>
          <w:p>
            <w:r>
              <w:rPr>
                <w:rFonts w:ascii="Calibri" w:hAnsi="Calibri"/>
                <w:b w:val="0"/>
                <w:color w:val="0B2545"/>
                <w:sz w:val="19"/>
              </w:rPr>
              <w:t>rubric/AI</w:t>
            </w:r>
          </w:p>
        </w:tc>
        <w:tc>
          <w:tcPr>
            <w:tcW w:type="dxa" w:w="2340"/>
            <w:vAlign w:val="center"/>
            <w:tcMar>
              <w:top w:w="80" w:type="dxa"/>
              <w:start w:w="120" w:type="dxa"/>
              <w:bottom w:w="80" w:type="dxa"/>
              <w:end w:w="120" w:type="dxa"/>
            </w:tcMar>
          </w:tcPr>
          <w:p>
            <w:r>
              <w:rPr>
                <w:rFonts w:ascii="Calibri" w:hAnsi="Calibri"/>
                <w:b w:val="0"/>
                <w:color w:val="0B2545"/>
                <w:sz w:val="19"/>
              </w:rPr>
              <w:t>structure and grammar deltas</w:t>
            </w:r>
          </w:p>
        </w:tc>
      </w:tr>
      <w:tr>
        <w:tc>
          <w:tcPr>
            <w:tcW w:type="dxa" w:w="2340"/>
            <w:vAlign w:val="center"/>
            <w:tcMar>
              <w:top w:w="80" w:type="dxa"/>
              <w:start w:w="120" w:type="dxa"/>
              <w:bottom w:w="80" w:type="dxa"/>
              <w:end w:w="120" w:type="dxa"/>
            </w:tcMar>
          </w:tcPr>
          <w:p>
            <w:r>
              <w:rPr>
                <w:rFonts w:ascii="Calibri" w:hAnsi="Calibri"/>
                <w:b w:val="0"/>
                <w:color w:val="0B2545"/>
                <w:sz w:val="19"/>
              </w:rPr>
              <w:t>ImageQuiz</w:t>
            </w:r>
          </w:p>
        </w:tc>
        <w:tc>
          <w:tcPr>
            <w:tcW w:type="dxa" w:w="2340"/>
            <w:vAlign w:val="center"/>
            <w:tcMar>
              <w:top w:w="80" w:type="dxa"/>
              <w:start w:w="120" w:type="dxa"/>
              <w:bottom w:w="80" w:type="dxa"/>
              <w:end w:w="120" w:type="dxa"/>
            </w:tcMar>
          </w:tcPr>
          <w:p>
            <w:r>
              <w:rPr>
                <w:rFonts w:ascii="Calibri" w:hAnsi="Calibri"/>
                <w:b w:val="0"/>
                <w:color w:val="0B2545"/>
                <w:sz w:val="19"/>
              </w:rPr>
              <w:t>image + choice</w:t>
            </w:r>
          </w:p>
        </w:tc>
        <w:tc>
          <w:tcPr>
            <w:tcW w:type="dxa" w:w="2340"/>
            <w:vAlign w:val="center"/>
            <w:tcMar>
              <w:top w:w="80" w:type="dxa"/>
              <w:start w:w="120" w:type="dxa"/>
              <w:bottom w:w="80" w:type="dxa"/>
              <w:end w:w="120" w:type="dxa"/>
            </w:tcMar>
          </w:tcPr>
          <w:p>
            <w:r>
              <w:rPr>
                <w:rFonts w:ascii="Calibri" w:hAnsi="Calibri"/>
                <w:b w:val="0"/>
                <w:color w:val="0B2545"/>
                <w:sz w:val="19"/>
              </w:rPr>
              <w:t>auto</w:t>
            </w:r>
          </w:p>
        </w:tc>
        <w:tc>
          <w:tcPr>
            <w:tcW w:type="dxa" w:w="2340"/>
            <w:vAlign w:val="center"/>
            <w:tcMar>
              <w:top w:w="80" w:type="dxa"/>
              <w:start w:w="120" w:type="dxa"/>
              <w:bottom w:w="80" w:type="dxa"/>
              <w:end w:w="120" w:type="dxa"/>
            </w:tcMar>
          </w:tcPr>
          <w:p>
            <w:r>
              <w:rPr>
                <w:rFonts w:ascii="Calibri" w:hAnsi="Calibri"/>
                <w:b w:val="0"/>
                <w:color w:val="0B2545"/>
                <w:sz w:val="19"/>
              </w:rPr>
              <w:t>vocabulary/concept deltas</w:t>
            </w:r>
          </w:p>
        </w:tc>
      </w:tr>
    </w:tbl>
    <w:p>
      <w:pPr>
        <w:pStyle w:val="Heading2"/>
      </w:pPr>
      <w:r>
        <w:t>Content Engine</w:t>
      </w:r>
    </w:p>
    <w:p>
      <w:pPr>
        <w:pStyle w:val="CodeBlock"/>
        <w:shd w:fill="F2F4F7"/>
      </w:pPr>
      <w:r>
        <w:t>ContentBlock</w:t>
        <w:br/>
        <w:t>→ versioned paragraph / audio / image / prompt material</w:t>
        <w:br/>
        <w:t>→ Activity</w:t>
        <w:br/>
        <w:t>→ KnowledgeNode links</w:t>
        <w:br/>
        <w:t>→ render through a Capability</w:t>
      </w:r>
    </w:p>
    <w:p>
      <w:r>
        <w:t>Reading, listening, roleplay, flashcard và quiz là các cách render activity khác nhau. Nội dung phải versioned để người học giữa một plan không bị đổi bài bất ngờ.</w:t>
      </w:r>
    </w:p>
    <w:p>
      <w:pPr>
        <w:pStyle w:val="Heading2"/>
      </w:pPr>
      <w:r>
        <w:t>Product packs</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shd w:fill="E8EEF5"/>
            <w:vAlign w:val="center"/>
            <w:tcMar>
              <w:top w:w="80" w:type="dxa"/>
              <w:start w:w="120" w:type="dxa"/>
              <w:bottom w:w="80" w:type="dxa"/>
              <w:end w:w="120" w:type="dxa"/>
            </w:tcMar>
          </w:tcPr>
          <w:p>
            <w:r>
              <w:rPr>
                <w:rFonts w:ascii="Calibri" w:hAnsi="Calibri"/>
                <w:b/>
                <w:color w:val="0B2545"/>
                <w:sz w:val="19"/>
              </w:rPr>
              <w:t>Pack</w:t>
            </w:r>
          </w:p>
        </w:tc>
        <w:tc>
          <w:tcPr>
            <w:tcW w:type="dxa" w:w="4680"/>
            <w:shd w:fill="E8EEF5"/>
            <w:vAlign w:val="center"/>
            <w:tcMar>
              <w:top w:w="80" w:type="dxa"/>
              <w:start w:w="120" w:type="dxa"/>
              <w:bottom w:w="80" w:type="dxa"/>
              <w:end w:w="120" w:type="dxa"/>
            </w:tcMar>
          </w:tcPr>
          <w:p>
            <w:r>
              <w:rPr>
                <w:rFonts w:ascii="Calibri" w:hAnsi="Calibri"/>
                <w:b/>
                <w:color w:val="0B2545"/>
                <w:sz w:val="19"/>
              </w:rPr>
              <w:t>Đăng ký</w:t>
            </w:r>
          </w:p>
        </w:tc>
      </w:tr>
      <w:tr>
        <w:tc>
          <w:tcPr>
            <w:tcW w:type="dxa" w:w="4680"/>
            <w:vAlign w:val="center"/>
            <w:tcMar>
              <w:top w:w="80" w:type="dxa"/>
              <w:start w:w="120" w:type="dxa"/>
              <w:bottom w:w="80" w:type="dxa"/>
              <w:end w:w="120" w:type="dxa"/>
            </w:tcMar>
          </w:tcPr>
          <w:p>
            <w:r>
              <w:rPr>
                <w:rFonts w:ascii="Calibri" w:hAnsi="Calibri"/>
                <w:b w:val="0"/>
                <w:color w:val="0B2545"/>
                <w:sz w:val="19"/>
              </w:rPr>
              <w:t>IELTS</w:t>
            </w:r>
          </w:p>
        </w:tc>
        <w:tc>
          <w:tcPr>
            <w:tcW w:type="dxa" w:w="4680"/>
            <w:vAlign w:val="center"/>
            <w:tcMar>
              <w:top w:w="80" w:type="dxa"/>
              <w:start w:w="120" w:type="dxa"/>
              <w:bottom w:w="80" w:type="dxa"/>
              <w:end w:w="120" w:type="dxa"/>
            </w:tcMar>
          </w:tcPr>
          <w:p>
            <w:r>
              <w:rPr>
                <w:rFonts w:ascii="Calibri" w:hAnsi="Calibri"/>
                <w:b w:val="0"/>
                <w:color w:val="0B2545"/>
                <w:sz w:val="19"/>
              </w:rPr>
              <w:t>speaking assessment, band rubric, cue card, essay, listening</w:t>
            </w:r>
          </w:p>
        </w:tc>
      </w:tr>
      <w:tr>
        <w:tc>
          <w:tcPr>
            <w:tcW w:type="dxa" w:w="4680"/>
            <w:vAlign w:val="center"/>
            <w:tcMar>
              <w:top w:w="80" w:type="dxa"/>
              <w:start w:w="120" w:type="dxa"/>
              <w:bottom w:w="80" w:type="dxa"/>
              <w:end w:w="120" w:type="dxa"/>
            </w:tcMar>
          </w:tcPr>
          <w:p>
            <w:r>
              <w:rPr>
                <w:rFonts w:ascii="Calibri" w:hAnsi="Calibri"/>
                <w:b w:val="0"/>
                <w:color w:val="0B2545"/>
                <w:sz w:val="19"/>
              </w:rPr>
              <w:t>TOEIC</w:t>
            </w:r>
          </w:p>
        </w:tc>
        <w:tc>
          <w:tcPr>
            <w:tcW w:type="dxa" w:w="4680"/>
            <w:vAlign w:val="center"/>
            <w:tcMar>
              <w:top w:w="80" w:type="dxa"/>
              <w:start w:w="120" w:type="dxa"/>
              <w:bottom w:w="80" w:type="dxa"/>
              <w:end w:w="120" w:type="dxa"/>
            </w:tcMar>
          </w:tcPr>
          <w:p>
            <w:r>
              <w:rPr>
                <w:rFonts w:ascii="Calibri" w:hAnsi="Calibri"/>
                <w:b w:val="0"/>
                <w:color w:val="0B2545"/>
                <w:sz w:val="19"/>
              </w:rPr>
              <w:t>timed quiz, listening, reading, score rubric</w:t>
            </w:r>
          </w:p>
        </w:tc>
      </w:tr>
      <w:tr>
        <w:tc>
          <w:tcPr>
            <w:tcW w:type="dxa" w:w="4680"/>
            <w:vAlign w:val="center"/>
            <w:tcMar>
              <w:top w:w="80" w:type="dxa"/>
              <w:start w:w="120" w:type="dxa"/>
              <w:bottom w:w="80" w:type="dxa"/>
              <w:end w:w="120" w:type="dxa"/>
            </w:tcMar>
          </w:tcPr>
          <w:p>
            <w:r>
              <w:rPr>
                <w:rFonts w:ascii="Calibri" w:hAnsi="Calibri"/>
                <w:b w:val="0"/>
                <w:color w:val="0B2545"/>
                <w:sz w:val="19"/>
              </w:rPr>
              <w:t>Business</w:t>
            </w:r>
          </w:p>
        </w:tc>
        <w:tc>
          <w:tcPr>
            <w:tcW w:type="dxa" w:w="4680"/>
            <w:vAlign w:val="center"/>
            <w:tcMar>
              <w:top w:w="80" w:type="dxa"/>
              <w:start w:w="120" w:type="dxa"/>
              <w:bottom w:w="80" w:type="dxa"/>
              <w:end w:w="120" w:type="dxa"/>
            </w:tcMar>
          </w:tcPr>
          <w:p>
            <w:r>
              <w:rPr>
                <w:rFonts w:ascii="Calibri" w:hAnsi="Calibri"/>
                <w:b w:val="0"/>
                <w:color w:val="0B2545"/>
                <w:sz w:val="19"/>
              </w:rPr>
              <w:t>roleplay, email, meeting, presentation</w:t>
            </w:r>
          </w:p>
        </w:tc>
      </w:tr>
      <w:tr>
        <w:tc>
          <w:tcPr>
            <w:tcW w:type="dxa" w:w="4680"/>
            <w:vAlign w:val="center"/>
            <w:tcMar>
              <w:top w:w="80" w:type="dxa"/>
              <w:start w:w="120" w:type="dxa"/>
              <w:bottom w:w="80" w:type="dxa"/>
              <w:end w:w="120" w:type="dxa"/>
            </w:tcMar>
          </w:tcPr>
          <w:p>
            <w:r>
              <w:rPr>
                <w:rFonts w:ascii="Calibri" w:hAnsi="Calibri"/>
                <w:b w:val="0"/>
                <w:color w:val="0B2545"/>
                <w:sz w:val="19"/>
              </w:rPr>
              <w:t>Kids</w:t>
            </w:r>
          </w:p>
        </w:tc>
        <w:tc>
          <w:tcPr>
            <w:tcW w:type="dxa" w:w="4680"/>
            <w:vAlign w:val="center"/>
            <w:tcMar>
              <w:top w:w="80" w:type="dxa"/>
              <w:start w:w="120" w:type="dxa"/>
              <w:bottom w:w="80" w:type="dxa"/>
              <w:end w:w="120" w:type="dxa"/>
            </w:tcMar>
          </w:tcPr>
          <w:p>
            <w:r>
              <w:rPr>
                <w:rFonts w:ascii="Calibri" w:hAnsi="Calibri"/>
                <w:b w:val="0"/>
                <w:color w:val="0B2545"/>
                <w:sz w:val="19"/>
              </w:rPr>
              <w:t>safe speaking, listening, image quiz, high-reward presentation policy</w:t>
            </w:r>
          </w:p>
        </w:tc>
      </w:tr>
    </w:tbl>
    <w:p>
      <w:r>
        <w:t>Plugin đăng ký capability, content taxonomy, rubric và policy - không đăng ký màn hình riêng hoặc sửa core.</w:t>
      </w:r>
    </w:p>
    <w:p>
      <w:pPr>
        <w:pStyle w:val="Heading2"/>
      </w:pPr>
      <w:r>
        <w:t>CMS direction</w:t>
      </w:r>
    </w:p>
    <w:p>
      <w:r>
        <w:t>CMS đến sau core loop. Editor tạo block, gắn knowledge, preview activity, version và publish. AI có thể hỗ trợ draft content nhưng con người/policy chịu trách nhiệm publish.</w:t>
      </w:r>
    </w:p>
    <w:p>
      <w:pPr>
        <w:pStyle w:val="Heading1"/>
      </w:pPr>
      <w:r>
        <w:t>04. Learning &amp; Knowledge Engine</w:t>
      </w:r>
    </w:p>
    <w:p>
      <w:pPr>
        <w:pStyle w:val="Heading2"/>
      </w:pPr>
      <w:r>
        <w:t>Knowledge-centric, not lesson-centric</w:t>
      </w:r>
    </w:p>
    <w:p>
      <w:r>
        <w:t>Lesson chỉ là một cách đưa knowledge đến người học. Một node như spill, past simple hoặc car vocabulary có thể xuất hiện trong speaking, reading, listening và quiz.</w:t>
      </w:r>
    </w:p>
    <w:p>
      <w:pPr>
        <w:pStyle w:val="CodeBlock"/>
        <w:shd w:fill="F2F4F7"/>
      </w:pPr>
      <w:r>
        <w:t>KnowledgeNode</w:t>
        <w:br/>
        <w:t>→ KnowledgeNodeVersion</w:t>
        <w:br/>
        <w:t>→ UserKnowledge</w:t>
        <w:br/>
        <w:t>→ mastery / confidence / exposure / error / nextReviewAt</w:t>
      </w:r>
    </w:p>
    <w:p>
      <w:pPr>
        <w:pStyle w:val="Heading2"/>
      </w:pPr>
      <w:r>
        <w:t>UserKnowledge</w:t>
      </w:r>
    </w:p>
    <w:p>
      <w:r>
        <w:t>UserKnowledge là state hiện tại của một learner với một node. Nó gồm mastery, confidence, exposure count, error count và thời gian review tiếp theo. Knowledge Engine là nơi duy nhất cập nhật state này.</w:t>
      </w:r>
    </w:p>
    <w:p>
      <w:pPr>
        <w:pStyle w:val="Heading2"/>
      </w:pPr>
      <w:r>
        <w:t>Learning Engine</w:t>
      </w:r>
    </w:p>
    <w:p>
      <w:r>
        <w:t>Learning Engine nhận AssessmentResult, tạo KnowledgeDelta, quản lý attempt/session/SRS và learning plan. Nó không tự chấm bài và không tự tính mastery.</w:t>
      </w:r>
    </w:p>
    <w:p>
      <w:pPr>
        <w:pStyle w:val="CodeBlock"/>
        <w:shd w:fill="F2F4F7"/>
      </w:pPr>
      <w:r>
        <w:t>Attempt</w:t>
        <w:br/>
        <w:t>→ AssessmentResult</w:t>
        <w:br/>
        <w:t>→ KnowledgeDelta</w:t>
        <w:br/>
        <w:t>→ Knowledge Engine applies delta</w:t>
        <w:br/>
        <w:t>→ updated snapshot</w:t>
        <w:br/>
        <w:t>→ Recommendation</w:t>
      </w:r>
    </w:p>
    <w:p>
      <w:pPr>
        <w:pStyle w:val="Heading2"/>
      </w:pPr>
      <w:r>
        <w:t>Recommendation</w:t>
      </w:r>
    </w:p>
    <w:p>
      <w:pPr>
        <w:pStyle w:val="Heading3"/>
      </w:pPr>
      <w:r>
        <w:t>Online decision</w:t>
      </w:r>
    </w:p>
    <w:p>
      <w:r>
        <w:t>Chọn next action rất nhanh: review due, weak node, goal match và repetition penalty. Kết quả là một Decision, không chỉ là activity ID.</w:t>
      </w:r>
    </w:p>
    <w:p>
      <w:pPr>
        <w:pStyle w:val="Heading3"/>
      </w:pPr>
      <w:r>
        <w:t>Offline plan</w:t>
      </w:r>
    </w:p>
    <w:p>
      <w:r>
        <w:t>Sau này worker dùng insight, interest, schedule và retention pattern để chuẩn bị daily/weekly plan trước khi người dùng mở app.</w:t>
      </w:r>
    </w:p>
    <w:p>
      <w:pPr>
        <w:pStyle w:val="Heading2"/>
      </w:pPr>
      <w:r>
        <w:t>SRS</w:t>
      </w:r>
    </w:p>
    <w:p>
      <w:r>
        <w:t>SRS là kết quả của knowledge state và learning plan, không phải một flashcard module độc lập. V1 đã lưu nextReviewAt; UI review đầy đủ là phase tiếp theo.</w:t>
      </w:r>
    </w:p>
    <w:p>
      <w:pPr>
        <w:pStyle w:val="Heading1"/>
      </w:pPr>
      <w:r>
        <w:t>05. AI &amp; Assessment Engine</w:t>
      </w:r>
    </w:p>
    <w:p>
      <w:pPr>
        <w:pStyle w:val="Heading2"/>
      </w:pPr>
      <w:r>
        <w:t>AI is a provider, not the core</w:t>
      </w:r>
    </w:p>
    <w:p>
      <w:r>
        <w:t>AI không sở hữu learning state. AI Engine nhận workflow, prompt version, policy và schema; sau đó trả dữ liệu hợp lệ cho Assessment Engine hoặc tutor presentation.</w:t>
      </w:r>
    </w:p>
    <w:p>
      <w:pPr>
        <w:pStyle w:val="CodeBlock"/>
        <w:shd w:fill="F2F4F7"/>
      </w:pPr>
      <w:r>
        <w:t>Workflow</w:t>
        <w:br/>
        <w:t>→ prompt + model router + policy</w:t>
        <w:br/>
        <w:t>→ JSON schema validator</w:t>
        <w:br/>
        <w:t>→ AssessmentResult or tutor response</w:t>
      </w:r>
    </w:p>
    <w:p>
      <w:pPr>
        <w:pStyle w:val="Heading2"/>
      </w:pPr>
      <w:r>
        <w:t>Assessment Engine</w:t>
      </w:r>
    </w:p>
    <w:p>
      <w:r>
        <w:t>Mọi hình thức chấm phải chuẩn hóa thành AssessmentResult:</w:t>
      </w:r>
    </w:p>
    <w:p>
      <w:pPr>
        <w:pStyle w:val="ListBullet"/>
        <w:spacing w:after="80"/>
      </w:pPr>
      <w:r>
        <w:t>speaking: rule baseline, LLM, pronunciation model hoặc human review;</w:t>
      </w:r>
    </w:p>
    <w:p>
      <w:pPr>
        <w:pStyle w:val="ListBullet"/>
        <w:spacing w:after="80"/>
      </w:pPr>
      <w:r>
        <w:t>quiz: auto score;</w:t>
      </w:r>
    </w:p>
    <w:p>
      <w:pPr>
        <w:pStyle w:val="ListBullet"/>
        <w:spacing w:after="80"/>
      </w:pPr>
      <w:r>
        <w:t>reading: rule/quiz;</w:t>
      </w:r>
    </w:p>
    <w:p>
      <w:pPr>
        <w:pStyle w:val="ListBullet"/>
        <w:spacing w:after="80"/>
      </w:pPr>
      <w:r>
        <w:t>listening: speech alignment/quiz;</w:t>
      </w:r>
    </w:p>
    <w:p>
      <w:pPr>
        <w:pStyle w:val="ListBullet"/>
        <w:spacing w:after="80"/>
      </w:pPr>
      <w:r>
        <w:t>writing: rubric + LLM.</w:t>
      </w:r>
    </w:p>
    <w:p>
      <w:r>
        <w:t>Learning Engine chỉ tiêu thụ kết quả chuẩn hóa, không quan tâm provider nào tạo ra nó.</w:t>
      </w:r>
    </w:p>
    <w:p>
      <w:pPr>
        <w:pStyle w:val="Heading2"/>
      </w:pPr>
      <w:r>
        <w:t>Structured output</w:t>
      </w:r>
    </w:p>
    <w:p>
      <w:r>
        <w:t>Không parse tag kiểu &lt;feedback&gt;. Assessment/tutor workflows phải trả JSON có schema, feedback ưu tiên, retry prompt, reason codes và version references.</w:t>
      </w:r>
    </w:p>
    <w:p>
      <w:pPr>
        <w:pStyle w:val="Heading2"/>
      </w:pPr>
      <w:r>
        <w:t>Current baseline</w:t>
      </w:r>
    </w:p>
    <w:p>
      <w:r>
        <w:t>Speaking Slice đang dùng rule-based assessment để không cộng thêm LLM latency vào lượt nói. Nó kiểm tra độ dài, connected idea và lỗi quá khứ cơ bản. Đây là baseline có chủ đích; AI assessment được thêm sau khi replay/evaluation workflow sẵn sàng.</w:t>
      </w:r>
    </w:p>
    <w:p>
      <w:pPr>
        <w:pStyle w:val="Heading2"/>
      </w:pPr>
      <w:r>
        <w:t>Guardrails</w:t>
      </w:r>
    </w:p>
    <w:p>
      <w:r>
        <w:t>Policy Engine cung cấp kid-safe topics, level/difficulty, rubric policy, experiment flags và subscription capability. Prompt, recommendation và presentation cùng đọc policy snapshot thay vì tự suy đoán.</w:t>
      </w:r>
    </w:p>
    <w:p>
      <w:pPr>
        <w:pStyle w:val="Heading1"/>
      </w:pPr>
      <w:r>
        <w:t>06. Architecture V1.0</w:t>
      </w:r>
    </w:p>
    <w:p>
      <w:pPr>
        <w:pStyle w:val="Heading2"/>
      </w:pPr>
      <w:r>
        <w:t>Decision</w:t>
      </w:r>
    </w:p>
    <w:p>
      <w:r>
        <w:t>Architecture V1.0 là modular monolith với engine boundaries rõ ràng. Các engine là ranh giới ownership, chưa phải microservice.</w:t>
      </w:r>
    </w:p>
    <w:p>
      <w:pPr>
        <w:pStyle w:val="CodeBlock"/>
        <w:shd w:fill="F2F4F7"/>
      </w:pPr>
      <w:r>
        <w:t>Presentation</w:t>
        <w:br/>
        <w:t xml:space="preserve">  → Recommendation</w:t>
        <w:br/>
        <w:t xml:space="preserve">    → Learning</w:t>
        <w:br/>
        <w:t xml:space="preserve">      → Assessment / Knowledge / Content</w:t>
        <w:br/>
        <w:t xml:space="preserve">          → AI + Policy</w:t>
        <w:br/>
        <w:t xml:space="preserve">            → Intelligence</w:t>
        <w:br/>
        <w:t>────────────────────────────────────────</w:t>
        <w:br/>
        <w:t>Domain Contracts + Event Bus + Outbox</w:t>
        <w:br/>
        <w:t>────────────────────────────────────────</w:t>
        <w:br/>
        <w:t>PostgreSQL + Redis (later) + Object Storage + Queue (later)</w:t>
      </w:r>
    </w:p>
    <w:p>
      <w:pPr>
        <w:pStyle w:val="Heading2"/>
      </w:pPr>
      <w:r>
        <w:t>Engine responsibilities</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shd w:fill="E8EEF5"/>
            <w:vAlign w:val="center"/>
            <w:tcMar>
              <w:top w:w="80" w:type="dxa"/>
              <w:start w:w="120" w:type="dxa"/>
              <w:bottom w:w="80" w:type="dxa"/>
              <w:end w:w="120" w:type="dxa"/>
            </w:tcMar>
          </w:tcPr>
          <w:p>
            <w:r>
              <w:rPr>
                <w:rFonts w:ascii="Calibri" w:hAnsi="Calibri"/>
                <w:b/>
                <w:color w:val="0B2545"/>
                <w:sz w:val="19"/>
              </w:rPr>
              <w:t>Engine</w:t>
            </w:r>
          </w:p>
        </w:tc>
        <w:tc>
          <w:tcPr>
            <w:tcW w:type="dxa" w:w="4680"/>
            <w:shd w:fill="E8EEF5"/>
            <w:vAlign w:val="center"/>
            <w:tcMar>
              <w:top w:w="80" w:type="dxa"/>
              <w:start w:w="120" w:type="dxa"/>
              <w:bottom w:w="80" w:type="dxa"/>
              <w:end w:w="120" w:type="dxa"/>
            </w:tcMar>
          </w:tcPr>
          <w:p>
            <w:r>
              <w:rPr>
                <w:rFonts w:ascii="Calibri" w:hAnsi="Calibri"/>
                <w:b/>
                <w:color w:val="0B2545"/>
                <w:sz w:val="19"/>
              </w:rPr>
              <w:t>Owns</w:t>
            </w:r>
          </w:p>
        </w:tc>
      </w:tr>
      <w:tr>
        <w:tc>
          <w:tcPr>
            <w:tcW w:type="dxa" w:w="4680"/>
            <w:vAlign w:val="center"/>
            <w:tcMar>
              <w:top w:w="80" w:type="dxa"/>
              <w:start w:w="120" w:type="dxa"/>
              <w:bottom w:w="80" w:type="dxa"/>
              <w:end w:w="120" w:type="dxa"/>
            </w:tcMar>
          </w:tcPr>
          <w:p>
            <w:r>
              <w:rPr>
                <w:rFonts w:ascii="Calibri" w:hAnsi="Calibri"/>
                <w:b w:val="0"/>
                <w:color w:val="0B2545"/>
                <w:sz w:val="19"/>
              </w:rPr>
              <w:t>Content</w:t>
            </w:r>
          </w:p>
        </w:tc>
        <w:tc>
          <w:tcPr>
            <w:tcW w:type="dxa" w:w="4680"/>
            <w:vAlign w:val="center"/>
            <w:tcMar>
              <w:top w:w="80" w:type="dxa"/>
              <w:start w:w="120" w:type="dxa"/>
              <w:bottom w:w="80" w:type="dxa"/>
              <w:end w:w="120" w:type="dxa"/>
            </w:tcMar>
          </w:tcPr>
          <w:p>
            <w:r>
              <w:rPr>
                <w:rFonts w:ascii="Calibri" w:hAnsi="Calibri"/>
                <w:b w:val="0"/>
                <w:color w:val="0B2545"/>
                <w:sz w:val="19"/>
              </w:rPr>
              <w:t>blocks, activities, versions, publish</w:t>
            </w:r>
          </w:p>
        </w:tc>
      </w:tr>
      <w:tr>
        <w:tc>
          <w:tcPr>
            <w:tcW w:type="dxa" w:w="4680"/>
            <w:vAlign w:val="center"/>
            <w:tcMar>
              <w:top w:w="80" w:type="dxa"/>
              <w:start w:w="120" w:type="dxa"/>
              <w:bottom w:w="80" w:type="dxa"/>
              <w:end w:w="120" w:type="dxa"/>
            </w:tcMar>
          </w:tcPr>
          <w:p>
            <w:r>
              <w:rPr>
                <w:rFonts w:ascii="Calibri" w:hAnsi="Calibri"/>
                <w:b w:val="0"/>
                <w:color w:val="0B2545"/>
                <w:sz w:val="19"/>
              </w:rPr>
              <w:t>Knowledge</w:t>
            </w:r>
          </w:p>
        </w:tc>
        <w:tc>
          <w:tcPr>
            <w:tcW w:type="dxa" w:w="4680"/>
            <w:vAlign w:val="center"/>
            <w:tcMar>
              <w:top w:w="80" w:type="dxa"/>
              <w:start w:w="120" w:type="dxa"/>
              <w:bottom w:w="80" w:type="dxa"/>
              <w:end w:w="120" w:type="dxa"/>
            </w:tcMar>
          </w:tcPr>
          <w:p>
            <w:r>
              <w:rPr>
                <w:rFonts w:ascii="Calibri" w:hAnsi="Calibri"/>
                <w:b w:val="0"/>
                <w:color w:val="0B2545"/>
                <w:sz w:val="19"/>
              </w:rPr>
              <w:t>graph, snapshots, mastery, confidence, decay</w:t>
            </w:r>
          </w:p>
        </w:tc>
      </w:tr>
      <w:tr>
        <w:tc>
          <w:tcPr>
            <w:tcW w:type="dxa" w:w="4680"/>
            <w:vAlign w:val="center"/>
            <w:tcMar>
              <w:top w:w="80" w:type="dxa"/>
              <w:start w:w="120" w:type="dxa"/>
              <w:bottom w:w="80" w:type="dxa"/>
              <w:end w:w="120" w:type="dxa"/>
            </w:tcMar>
          </w:tcPr>
          <w:p>
            <w:r>
              <w:rPr>
                <w:rFonts w:ascii="Calibri" w:hAnsi="Calibri"/>
                <w:b w:val="0"/>
                <w:color w:val="0B2545"/>
                <w:sz w:val="19"/>
              </w:rPr>
              <w:t>Learning</w:t>
            </w:r>
          </w:p>
        </w:tc>
        <w:tc>
          <w:tcPr>
            <w:tcW w:type="dxa" w:w="4680"/>
            <w:vAlign w:val="center"/>
            <w:tcMar>
              <w:top w:w="80" w:type="dxa"/>
              <w:start w:w="120" w:type="dxa"/>
              <w:bottom w:w="80" w:type="dxa"/>
              <w:end w:w="120" w:type="dxa"/>
            </w:tcMar>
          </w:tcPr>
          <w:p>
            <w:r>
              <w:rPr>
                <w:rFonts w:ascii="Calibri" w:hAnsi="Calibri"/>
                <w:b w:val="0"/>
                <w:color w:val="0B2545"/>
                <w:sz w:val="19"/>
              </w:rPr>
              <w:t>sessions, attempts, deltas, SRS, plans</w:t>
            </w:r>
          </w:p>
        </w:tc>
      </w:tr>
      <w:tr>
        <w:tc>
          <w:tcPr>
            <w:tcW w:type="dxa" w:w="4680"/>
            <w:vAlign w:val="center"/>
            <w:tcMar>
              <w:top w:w="80" w:type="dxa"/>
              <w:start w:w="120" w:type="dxa"/>
              <w:bottom w:w="80" w:type="dxa"/>
              <w:end w:w="120" w:type="dxa"/>
            </w:tcMar>
          </w:tcPr>
          <w:p>
            <w:r>
              <w:rPr>
                <w:rFonts w:ascii="Calibri" w:hAnsi="Calibri"/>
                <w:b w:val="0"/>
                <w:color w:val="0B2545"/>
                <w:sz w:val="19"/>
              </w:rPr>
              <w:t>Assessment</w:t>
            </w:r>
          </w:p>
        </w:tc>
        <w:tc>
          <w:tcPr>
            <w:tcW w:type="dxa" w:w="4680"/>
            <w:vAlign w:val="center"/>
            <w:tcMar>
              <w:top w:w="80" w:type="dxa"/>
              <w:start w:w="120" w:type="dxa"/>
              <w:bottom w:w="80" w:type="dxa"/>
              <w:end w:w="120" w:type="dxa"/>
            </w:tcMar>
          </w:tcPr>
          <w:p>
            <w:r>
              <w:rPr>
                <w:rFonts w:ascii="Calibri" w:hAnsi="Calibri"/>
                <w:b w:val="0"/>
                <w:color w:val="0B2545"/>
                <w:sz w:val="19"/>
              </w:rPr>
              <w:t>normalized assessment results</w:t>
            </w:r>
          </w:p>
        </w:tc>
      </w:tr>
      <w:tr>
        <w:tc>
          <w:tcPr>
            <w:tcW w:type="dxa" w:w="4680"/>
            <w:vAlign w:val="center"/>
            <w:tcMar>
              <w:top w:w="80" w:type="dxa"/>
              <w:start w:w="120" w:type="dxa"/>
              <w:bottom w:w="80" w:type="dxa"/>
              <w:end w:w="120" w:type="dxa"/>
            </w:tcMar>
          </w:tcPr>
          <w:p>
            <w:r>
              <w:rPr>
                <w:rFonts w:ascii="Calibri" w:hAnsi="Calibri"/>
                <w:b w:val="0"/>
                <w:color w:val="0B2545"/>
                <w:sz w:val="19"/>
              </w:rPr>
              <w:t>AI</w:t>
            </w:r>
          </w:p>
        </w:tc>
        <w:tc>
          <w:tcPr>
            <w:tcW w:type="dxa" w:w="4680"/>
            <w:vAlign w:val="center"/>
            <w:tcMar>
              <w:top w:w="80" w:type="dxa"/>
              <w:start w:w="120" w:type="dxa"/>
              <w:bottom w:w="80" w:type="dxa"/>
              <w:end w:w="120" w:type="dxa"/>
            </w:tcMar>
          </w:tcPr>
          <w:p>
            <w:r>
              <w:rPr>
                <w:rFonts w:ascii="Calibri" w:hAnsi="Calibri"/>
                <w:b w:val="0"/>
                <w:color w:val="0B2545"/>
                <w:sz w:val="19"/>
              </w:rPr>
              <w:t>workflow registry, model routing, validation, eval</w:t>
            </w:r>
          </w:p>
        </w:tc>
      </w:tr>
      <w:tr>
        <w:tc>
          <w:tcPr>
            <w:tcW w:type="dxa" w:w="4680"/>
            <w:vAlign w:val="center"/>
            <w:tcMar>
              <w:top w:w="80" w:type="dxa"/>
              <w:start w:w="120" w:type="dxa"/>
              <w:bottom w:w="80" w:type="dxa"/>
              <w:end w:w="120" w:type="dxa"/>
            </w:tcMar>
          </w:tcPr>
          <w:p>
            <w:r>
              <w:rPr>
                <w:rFonts w:ascii="Calibri" w:hAnsi="Calibri"/>
                <w:b w:val="0"/>
                <w:color w:val="0B2545"/>
                <w:sz w:val="19"/>
              </w:rPr>
              <w:t>Recommendation</w:t>
            </w:r>
          </w:p>
        </w:tc>
        <w:tc>
          <w:tcPr>
            <w:tcW w:type="dxa" w:w="4680"/>
            <w:vAlign w:val="center"/>
            <w:tcMar>
              <w:top w:w="80" w:type="dxa"/>
              <w:start w:w="120" w:type="dxa"/>
              <w:bottom w:w="80" w:type="dxa"/>
              <w:end w:w="120" w:type="dxa"/>
            </w:tcMar>
          </w:tcPr>
          <w:p>
            <w:r>
              <w:rPr>
                <w:rFonts w:ascii="Calibri" w:hAnsi="Calibri"/>
                <w:b w:val="0"/>
                <w:color w:val="0B2545"/>
                <w:sz w:val="19"/>
              </w:rPr>
              <w:t>next activity and longer-term plan decisions</w:t>
            </w:r>
          </w:p>
        </w:tc>
      </w:tr>
      <w:tr>
        <w:tc>
          <w:tcPr>
            <w:tcW w:type="dxa" w:w="4680"/>
            <w:vAlign w:val="center"/>
            <w:tcMar>
              <w:top w:w="80" w:type="dxa"/>
              <w:start w:w="120" w:type="dxa"/>
              <w:bottom w:w="80" w:type="dxa"/>
              <w:end w:w="120" w:type="dxa"/>
            </w:tcMar>
          </w:tcPr>
          <w:p>
            <w:r>
              <w:rPr>
                <w:rFonts w:ascii="Calibri" w:hAnsi="Calibri"/>
                <w:b w:val="0"/>
                <w:color w:val="0B2545"/>
                <w:sz w:val="19"/>
              </w:rPr>
              <w:t>Presentation</w:t>
            </w:r>
          </w:p>
        </w:tc>
        <w:tc>
          <w:tcPr>
            <w:tcW w:type="dxa" w:w="4680"/>
            <w:vAlign w:val="center"/>
            <w:tcMar>
              <w:top w:w="80" w:type="dxa"/>
              <w:start w:w="120" w:type="dxa"/>
              <w:bottom w:w="80" w:type="dxa"/>
              <w:end w:w="120" w:type="dxa"/>
            </w:tcMar>
          </w:tcPr>
          <w:p>
            <w:r>
              <w:rPr>
                <w:rFonts w:ascii="Calibri" w:hAnsi="Calibri"/>
                <w:b w:val="0"/>
                <w:color w:val="0B2545"/>
                <w:sz w:val="19"/>
              </w:rPr>
              <w:t>UI runtime and accessible delivery</w:t>
            </w:r>
          </w:p>
        </w:tc>
      </w:tr>
      <w:tr>
        <w:tc>
          <w:tcPr>
            <w:tcW w:type="dxa" w:w="4680"/>
            <w:vAlign w:val="center"/>
            <w:tcMar>
              <w:top w:w="80" w:type="dxa"/>
              <w:start w:w="120" w:type="dxa"/>
              <w:bottom w:w="80" w:type="dxa"/>
              <w:end w:w="120" w:type="dxa"/>
            </w:tcMar>
          </w:tcPr>
          <w:p>
            <w:r>
              <w:rPr>
                <w:rFonts w:ascii="Calibri" w:hAnsi="Calibri"/>
                <w:b w:val="0"/>
                <w:color w:val="0B2545"/>
                <w:sz w:val="19"/>
              </w:rPr>
              <w:t>Policy</w:t>
            </w:r>
          </w:p>
        </w:tc>
        <w:tc>
          <w:tcPr>
            <w:tcW w:type="dxa" w:w="4680"/>
            <w:vAlign w:val="center"/>
            <w:tcMar>
              <w:top w:w="80" w:type="dxa"/>
              <w:start w:w="120" w:type="dxa"/>
              <w:bottom w:w="80" w:type="dxa"/>
              <w:end w:w="120" w:type="dxa"/>
            </w:tcMar>
          </w:tcPr>
          <w:p>
            <w:r>
              <w:rPr>
                <w:rFonts w:ascii="Calibri" w:hAnsi="Calibri"/>
                <w:b w:val="0"/>
                <w:color w:val="0B2545"/>
                <w:sz w:val="19"/>
              </w:rPr>
              <w:t>segment, safety, feature and experiment rules</w:t>
            </w:r>
          </w:p>
        </w:tc>
      </w:tr>
      <w:tr>
        <w:tc>
          <w:tcPr>
            <w:tcW w:type="dxa" w:w="4680"/>
            <w:vAlign w:val="center"/>
            <w:tcMar>
              <w:top w:w="80" w:type="dxa"/>
              <w:start w:w="120" w:type="dxa"/>
              <w:bottom w:w="80" w:type="dxa"/>
              <w:end w:w="120" w:type="dxa"/>
            </w:tcMar>
          </w:tcPr>
          <w:p>
            <w:r>
              <w:rPr>
                <w:rFonts w:ascii="Calibri" w:hAnsi="Calibri"/>
                <w:b w:val="0"/>
                <w:color w:val="0B2545"/>
                <w:sz w:val="19"/>
              </w:rPr>
              <w:t>Intelligence</w:t>
            </w:r>
          </w:p>
        </w:tc>
        <w:tc>
          <w:tcPr>
            <w:tcW w:type="dxa" w:w="4680"/>
            <w:vAlign w:val="center"/>
            <w:tcMar>
              <w:top w:w="80" w:type="dxa"/>
              <w:start w:w="120" w:type="dxa"/>
              <w:bottom w:w="80" w:type="dxa"/>
              <w:end w:w="120" w:type="dxa"/>
            </w:tcMar>
          </w:tcPr>
          <w:p>
            <w:r>
              <w:rPr>
                <w:rFonts w:ascii="Calibri" w:hAnsi="Calibri"/>
                <w:b w:val="0"/>
                <w:color w:val="0B2545"/>
                <w:sz w:val="19"/>
              </w:rPr>
              <w:t>insight, cohort, retention and experiment evaluation</w:t>
            </w:r>
          </w:p>
        </w:tc>
      </w:tr>
    </w:tbl>
    <w:p>
      <w:pPr>
        <w:pStyle w:val="Heading2"/>
      </w:pPr>
      <w:r>
        <w:t>Non-negotiable laws</w:t>
      </w:r>
    </w:p>
    <w:p>
      <w:pPr>
        <w:pStyle w:val="ListNumber"/>
        <w:spacing w:after="80"/>
      </w:pPr>
      <w:r>
        <w:t>Business logic exists in one owner only.</w:t>
      </w:r>
    </w:p>
    <w:p>
      <w:pPr>
        <w:pStyle w:val="ListNumber"/>
        <w:spacing w:after="80"/>
      </w:pPr>
      <w:r>
        <w:t>An engine does not read/write another engine's database implementation.</w:t>
      </w:r>
    </w:p>
    <w:p>
      <w:pPr>
        <w:pStyle w:val="ListNumber"/>
        <w:spacing w:after="80"/>
      </w:pPr>
      <w:r>
        <w:t>Cross-boundary communication uses immutable contracts, commands/queries or past-tense events.</w:t>
      </w:r>
    </w:p>
    <w:p>
      <w:pPr>
        <w:pStyle w:val="ListNumber"/>
        <w:spacing w:after="80"/>
      </w:pPr>
      <w:r>
        <w:t>Event Bus announces facts; it does not hide synchronous business logic.</w:t>
      </w:r>
    </w:p>
    <w:p>
      <w:pPr>
        <w:pStyle w:val="ListNumber"/>
        <w:spacing w:after="80"/>
      </w:pPr>
      <w:r>
        <w:t>Application layer may orchestrate a vertical slice but owns no domain rule.</w:t>
      </w:r>
    </w:p>
    <w:p>
      <w:pPr>
        <w:pStyle w:val="Heading2"/>
      </w:pPr>
      <w:r>
        <w:t>Why modular monolith first</w:t>
      </w:r>
    </w:p>
    <w:p>
      <w:r>
        <w:t>It keeps deployment, debugging and iteration fast while dependency boundaries are enforced in CI. Extraction happens only when independent load, ownership or release cadence makes it necessary.</w:t>
      </w:r>
    </w:p>
    <w:p>
      <w:pPr>
        <w:pStyle w:val="Heading1"/>
      </w:pPr>
      <w:r>
        <w:t>07. Contracts, Data &amp; Events</w:t>
      </w:r>
    </w:p>
    <w:p>
      <w:pPr>
        <w:pStyle w:val="Heading2"/>
      </w:pPr>
      <w:r>
        <w:t>Core contracts</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shd w:fill="E8EEF5"/>
            <w:vAlign w:val="center"/>
            <w:tcMar>
              <w:top w:w="80" w:type="dxa"/>
              <w:start w:w="120" w:type="dxa"/>
              <w:bottom w:w="80" w:type="dxa"/>
              <w:end w:w="120" w:type="dxa"/>
            </w:tcMar>
          </w:tcPr>
          <w:p>
            <w:r>
              <w:rPr>
                <w:rFonts w:ascii="Calibri" w:hAnsi="Calibri"/>
                <w:b/>
                <w:color w:val="0B2545"/>
                <w:sz w:val="19"/>
              </w:rPr>
              <w:t>Contract</w:t>
            </w:r>
          </w:p>
        </w:tc>
        <w:tc>
          <w:tcPr>
            <w:tcW w:type="dxa" w:w="3120"/>
            <w:shd w:fill="E8EEF5"/>
            <w:vAlign w:val="center"/>
            <w:tcMar>
              <w:top w:w="80" w:type="dxa"/>
              <w:start w:w="120" w:type="dxa"/>
              <w:bottom w:w="80" w:type="dxa"/>
              <w:end w:w="120" w:type="dxa"/>
            </w:tcMar>
          </w:tcPr>
          <w:p>
            <w:r>
              <w:rPr>
                <w:rFonts w:ascii="Calibri" w:hAnsi="Calibri"/>
                <w:b/>
                <w:color w:val="0B2545"/>
                <w:sz w:val="19"/>
              </w:rPr>
              <w:t>Owner</w:t>
            </w:r>
          </w:p>
        </w:tc>
        <w:tc>
          <w:tcPr>
            <w:tcW w:type="dxa" w:w="3120"/>
            <w:shd w:fill="E8EEF5"/>
            <w:vAlign w:val="center"/>
            <w:tcMar>
              <w:top w:w="80" w:type="dxa"/>
              <w:start w:w="120" w:type="dxa"/>
              <w:bottom w:w="80" w:type="dxa"/>
              <w:end w:w="120" w:type="dxa"/>
            </w:tcMar>
          </w:tcPr>
          <w:p>
            <w:r>
              <w:rPr>
                <w:rFonts w:ascii="Calibri" w:hAnsi="Calibri"/>
                <w:b/>
                <w:color w:val="0B2545"/>
                <w:sz w:val="19"/>
              </w:rPr>
              <w:t>Purpose</w:t>
            </w:r>
          </w:p>
        </w:tc>
      </w:tr>
      <w:tr>
        <w:tc>
          <w:tcPr>
            <w:tcW w:type="dxa" w:w="3120"/>
            <w:vAlign w:val="center"/>
            <w:tcMar>
              <w:top w:w="80" w:type="dxa"/>
              <w:start w:w="120" w:type="dxa"/>
              <w:bottom w:w="80" w:type="dxa"/>
              <w:end w:w="120" w:type="dxa"/>
            </w:tcMar>
          </w:tcPr>
          <w:p>
            <w:r>
              <w:rPr>
                <w:rFonts w:ascii="Calibri" w:hAnsi="Calibri"/>
                <w:b w:val="0"/>
                <w:color w:val="0B2545"/>
                <w:sz w:val="19"/>
              </w:rPr>
              <w:t>Capability</w:t>
            </w:r>
          </w:p>
        </w:tc>
        <w:tc>
          <w:tcPr>
            <w:tcW w:type="dxa" w:w="3120"/>
            <w:vAlign w:val="center"/>
            <w:tcMar>
              <w:top w:w="80" w:type="dxa"/>
              <w:start w:w="120" w:type="dxa"/>
              <w:bottom w:w="80" w:type="dxa"/>
              <w:end w:w="120" w:type="dxa"/>
            </w:tcMar>
          </w:tcPr>
          <w:p>
            <w:r>
              <w:rPr>
                <w:rFonts w:ascii="Calibri" w:hAnsi="Calibri"/>
                <w:b w:val="0"/>
                <w:color w:val="0B2545"/>
                <w:sz w:val="19"/>
              </w:rPr>
              <w:t>Content</w:t>
            </w:r>
          </w:p>
        </w:tc>
        <w:tc>
          <w:tcPr>
            <w:tcW w:type="dxa" w:w="3120"/>
            <w:vAlign w:val="center"/>
            <w:tcMar>
              <w:top w:w="80" w:type="dxa"/>
              <w:start w:w="120" w:type="dxa"/>
              <w:bottom w:w="80" w:type="dxa"/>
              <w:end w:w="120" w:type="dxa"/>
            </w:tcMar>
          </w:tcPr>
          <w:p>
            <w:r>
              <w:rPr>
                <w:rFonts w:ascii="Calibri" w:hAnsi="Calibri"/>
                <w:b w:val="0"/>
                <w:color w:val="0B2545"/>
                <w:sz w:val="19"/>
              </w:rPr>
              <w:t>defines activity input/output contract</w:t>
            </w:r>
          </w:p>
        </w:tc>
      </w:tr>
      <w:tr>
        <w:tc>
          <w:tcPr>
            <w:tcW w:type="dxa" w:w="3120"/>
            <w:vAlign w:val="center"/>
            <w:tcMar>
              <w:top w:w="80" w:type="dxa"/>
              <w:start w:w="120" w:type="dxa"/>
              <w:bottom w:w="80" w:type="dxa"/>
              <w:end w:w="120" w:type="dxa"/>
            </w:tcMar>
          </w:tcPr>
          <w:p>
            <w:r>
              <w:rPr>
                <w:rFonts w:ascii="Calibri" w:hAnsi="Calibri"/>
                <w:b w:val="0"/>
                <w:color w:val="0B2545"/>
                <w:sz w:val="19"/>
              </w:rPr>
              <w:t>AssessmentResult</w:t>
            </w:r>
          </w:p>
        </w:tc>
        <w:tc>
          <w:tcPr>
            <w:tcW w:type="dxa" w:w="3120"/>
            <w:vAlign w:val="center"/>
            <w:tcMar>
              <w:top w:w="80" w:type="dxa"/>
              <w:start w:w="120" w:type="dxa"/>
              <w:bottom w:w="80" w:type="dxa"/>
              <w:end w:w="120" w:type="dxa"/>
            </w:tcMar>
          </w:tcPr>
          <w:p>
            <w:r>
              <w:rPr>
                <w:rFonts w:ascii="Calibri" w:hAnsi="Calibri"/>
                <w:b w:val="0"/>
                <w:color w:val="0B2545"/>
                <w:sz w:val="19"/>
              </w:rPr>
              <w:t>Assessment</w:t>
            </w:r>
          </w:p>
        </w:tc>
        <w:tc>
          <w:tcPr>
            <w:tcW w:type="dxa" w:w="3120"/>
            <w:vAlign w:val="center"/>
            <w:tcMar>
              <w:top w:w="80" w:type="dxa"/>
              <w:start w:w="120" w:type="dxa"/>
              <w:bottom w:w="80" w:type="dxa"/>
              <w:end w:w="120" w:type="dxa"/>
            </w:tcMar>
          </w:tcPr>
          <w:p>
            <w:r>
              <w:rPr>
                <w:rFonts w:ascii="Calibri" w:hAnsi="Calibri"/>
                <w:b w:val="0"/>
                <w:color w:val="0B2545"/>
                <w:sz w:val="19"/>
              </w:rPr>
              <w:t>immutable normalized evaluation</w:t>
            </w:r>
          </w:p>
        </w:tc>
      </w:tr>
      <w:tr>
        <w:tc>
          <w:tcPr>
            <w:tcW w:type="dxa" w:w="3120"/>
            <w:vAlign w:val="center"/>
            <w:tcMar>
              <w:top w:w="80" w:type="dxa"/>
              <w:start w:w="120" w:type="dxa"/>
              <w:bottom w:w="80" w:type="dxa"/>
              <w:end w:w="120" w:type="dxa"/>
            </w:tcMar>
          </w:tcPr>
          <w:p>
            <w:r>
              <w:rPr>
                <w:rFonts w:ascii="Calibri" w:hAnsi="Calibri"/>
                <w:b w:val="0"/>
                <w:color w:val="0B2545"/>
                <w:sz w:val="19"/>
              </w:rPr>
              <w:t>KnowledgeDelta</w:t>
            </w:r>
          </w:p>
        </w:tc>
        <w:tc>
          <w:tcPr>
            <w:tcW w:type="dxa" w:w="3120"/>
            <w:vAlign w:val="center"/>
            <w:tcMar>
              <w:top w:w="80" w:type="dxa"/>
              <w:start w:w="120" w:type="dxa"/>
              <w:bottom w:w="80" w:type="dxa"/>
              <w:end w:w="120" w:type="dxa"/>
            </w:tcMar>
          </w:tcPr>
          <w:p>
            <w:r>
              <w:rPr>
                <w:rFonts w:ascii="Calibri" w:hAnsi="Calibri"/>
                <w:b w:val="0"/>
                <w:color w:val="0B2545"/>
                <w:sz w:val="19"/>
              </w:rPr>
              <w:t>Learning</w:t>
            </w:r>
          </w:p>
        </w:tc>
        <w:tc>
          <w:tcPr>
            <w:tcW w:type="dxa" w:w="3120"/>
            <w:vAlign w:val="center"/>
            <w:tcMar>
              <w:top w:w="80" w:type="dxa"/>
              <w:start w:w="120" w:type="dxa"/>
              <w:bottom w:w="80" w:type="dxa"/>
              <w:end w:w="120" w:type="dxa"/>
            </w:tcMar>
          </w:tcPr>
          <w:p>
            <w:r>
              <w:rPr>
                <w:rFonts w:ascii="Calibri" w:hAnsi="Calibri"/>
                <w:b w:val="0"/>
                <w:color w:val="0B2545"/>
                <w:sz w:val="19"/>
              </w:rPr>
              <w:t>requested change after an attempt</w:t>
            </w:r>
          </w:p>
        </w:tc>
      </w:tr>
      <w:tr>
        <w:tc>
          <w:tcPr>
            <w:tcW w:type="dxa" w:w="3120"/>
            <w:vAlign w:val="center"/>
            <w:tcMar>
              <w:top w:w="80" w:type="dxa"/>
              <w:start w:w="120" w:type="dxa"/>
              <w:bottom w:w="80" w:type="dxa"/>
              <w:end w:w="120" w:type="dxa"/>
            </w:tcMar>
          </w:tcPr>
          <w:p>
            <w:r>
              <w:rPr>
                <w:rFonts w:ascii="Calibri" w:hAnsi="Calibri"/>
                <w:b w:val="0"/>
                <w:color w:val="0B2545"/>
                <w:sz w:val="19"/>
              </w:rPr>
              <w:t>KnowledgeSnapshot</w:t>
            </w:r>
          </w:p>
        </w:tc>
        <w:tc>
          <w:tcPr>
            <w:tcW w:type="dxa" w:w="3120"/>
            <w:vAlign w:val="center"/>
            <w:tcMar>
              <w:top w:w="80" w:type="dxa"/>
              <w:start w:w="120" w:type="dxa"/>
              <w:bottom w:w="80" w:type="dxa"/>
              <w:end w:w="120" w:type="dxa"/>
            </w:tcMar>
          </w:tcPr>
          <w:p>
            <w:r>
              <w:rPr>
                <w:rFonts w:ascii="Calibri" w:hAnsi="Calibri"/>
                <w:b w:val="0"/>
                <w:color w:val="0B2545"/>
                <w:sz w:val="19"/>
              </w:rPr>
              <w:t>Knowledge</w:t>
            </w:r>
          </w:p>
        </w:tc>
        <w:tc>
          <w:tcPr>
            <w:tcW w:type="dxa" w:w="3120"/>
            <w:vAlign w:val="center"/>
            <w:tcMar>
              <w:top w:w="80" w:type="dxa"/>
              <w:start w:w="120" w:type="dxa"/>
              <w:bottom w:w="80" w:type="dxa"/>
              <w:end w:w="120" w:type="dxa"/>
            </w:tcMar>
          </w:tcPr>
          <w:p>
            <w:r>
              <w:rPr>
                <w:rFonts w:ascii="Calibri" w:hAnsi="Calibri"/>
                <w:b w:val="0"/>
                <w:color w:val="0B2545"/>
                <w:sz w:val="19"/>
              </w:rPr>
              <w:t>current learner state for a node</w:t>
            </w:r>
          </w:p>
        </w:tc>
      </w:tr>
      <w:tr>
        <w:tc>
          <w:tcPr>
            <w:tcW w:type="dxa" w:w="3120"/>
            <w:vAlign w:val="center"/>
            <w:tcMar>
              <w:top w:w="80" w:type="dxa"/>
              <w:start w:w="120" w:type="dxa"/>
              <w:bottom w:w="80" w:type="dxa"/>
              <w:end w:w="120" w:type="dxa"/>
            </w:tcMar>
          </w:tcPr>
          <w:p>
            <w:r>
              <w:rPr>
                <w:rFonts w:ascii="Calibri" w:hAnsi="Calibri"/>
                <w:b w:val="0"/>
                <w:color w:val="0B2545"/>
                <w:sz w:val="19"/>
              </w:rPr>
              <w:t>RecommendationDecision</w:t>
            </w:r>
          </w:p>
        </w:tc>
        <w:tc>
          <w:tcPr>
            <w:tcW w:type="dxa" w:w="3120"/>
            <w:vAlign w:val="center"/>
            <w:tcMar>
              <w:top w:w="80" w:type="dxa"/>
              <w:start w:w="120" w:type="dxa"/>
              <w:bottom w:w="80" w:type="dxa"/>
              <w:end w:w="120" w:type="dxa"/>
            </w:tcMar>
          </w:tcPr>
          <w:p>
            <w:r>
              <w:rPr>
                <w:rFonts w:ascii="Calibri" w:hAnsi="Calibri"/>
                <w:b w:val="0"/>
                <w:color w:val="0B2545"/>
                <w:sz w:val="19"/>
              </w:rPr>
              <w:t>Recommendation</w:t>
            </w:r>
          </w:p>
        </w:tc>
        <w:tc>
          <w:tcPr>
            <w:tcW w:type="dxa" w:w="3120"/>
            <w:vAlign w:val="center"/>
            <w:tcMar>
              <w:top w:w="80" w:type="dxa"/>
              <w:start w:w="120" w:type="dxa"/>
              <w:bottom w:w="80" w:type="dxa"/>
              <w:end w:w="120" w:type="dxa"/>
            </w:tcMar>
          </w:tcPr>
          <w:p>
            <w:r>
              <w:rPr>
                <w:rFonts w:ascii="Calibri" w:hAnsi="Calibri"/>
                <w:b w:val="0"/>
                <w:color w:val="0B2545"/>
                <w:sz w:val="19"/>
              </w:rPr>
              <w:t>explainable next action</w:t>
            </w:r>
          </w:p>
        </w:tc>
      </w:tr>
      <w:tr>
        <w:tc>
          <w:tcPr>
            <w:tcW w:type="dxa" w:w="3120"/>
            <w:vAlign w:val="center"/>
            <w:tcMar>
              <w:top w:w="80" w:type="dxa"/>
              <w:start w:w="120" w:type="dxa"/>
              <w:bottom w:w="80" w:type="dxa"/>
              <w:end w:w="120" w:type="dxa"/>
            </w:tcMar>
          </w:tcPr>
          <w:p>
            <w:r>
              <w:rPr>
                <w:rFonts w:ascii="Calibri" w:hAnsi="Calibri"/>
                <w:b w:val="0"/>
                <w:color w:val="0B2545"/>
                <w:sz w:val="19"/>
              </w:rPr>
              <w:t>LearningPlan</w:t>
            </w:r>
          </w:p>
        </w:tc>
        <w:tc>
          <w:tcPr>
            <w:tcW w:type="dxa" w:w="3120"/>
            <w:vAlign w:val="center"/>
            <w:tcMar>
              <w:top w:w="80" w:type="dxa"/>
              <w:start w:w="120" w:type="dxa"/>
              <w:bottom w:w="80" w:type="dxa"/>
              <w:end w:w="120" w:type="dxa"/>
            </w:tcMar>
          </w:tcPr>
          <w:p>
            <w:r>
              <w:rPr>
                <w:rFonts w:ascii="Calibri" w:hAnsi="Calibri"/>
                <w:b w:val="0"/>
                <w:color w:val="0B2545"/>
                <w:sz w:val="19"/>
              </w:rPr>
              <w:t>Learning</w:t>
            </w:r>
          </w:p>
        </w:tc>
        <w:tc>
          <w:tcPr>
            <w:tcW w:type="dxa" w:w="3120"/>
            <w:vAlign w:val="center"/>
            <w:tcMar>
              <w:top w:w="80" w:type="dxa"/>
              <w:start w:w="120" w:type="dxa"/>
              <w:bottom w:w="80" w:type="dxa"/>
              <w:end w:w="120" w:type="dxa"/>
            </w:tcMar>
          </w:tcPr>
          <w:p>
            <w:r>
              <w:rPr>
                <w:rFonts w:ascii="Calibri" w:hAnsi="Calibri"/>
                <w:b w:val="0"/>
                <w:color w:val="0B2545"/>
                <w:sz w:val="19"/>
              </w:rPr>
              <w:t>daily/weekly activity plan</w:t>
            </w:r>
          </w:p>
        </w:tc>
      </w:tr>
      <w:tr>
        <w:tc>
          <w:tcPr>
            <w:tcW w:type="dxa" w:w="3120"/>
            <w:vAlign w:val="center"/>
            <w:tcMar>
              <w:top w:w="80" w:type="dxa"/>
              <w:start w:w="120" w:type="dxa"/>
              <w:bottom w:w="80" w:type="dxa"/>
              <w:end w:w="120" w:type="dxa"/>
            </w:tcMar>
          </w:tcPr>
          <w:p>
            <w:r>
              <w:rPr>
                <w:rFonts w:ascii="Calibri" w:hAnsi="Calibri"/>
                <w:b w:val="0"/>
                <w:color w:val="0B2545"/>
                <w:sz w:val="19"/>
              </w:rPr>
              <w:t>PolicyDecision</w:t>
            </w:r>
          </w:p>
        </w:tc>
        <w:tc>
          <w:tcPr>
            <w:tcW w:type="dxa" w:w="3120"/>
            <w:vAlign w:val="center"/>
            <w:tcMar>
              <w:top w:w="80" w:type="dxa"/>
              <w:start w:w="120" w:type="dxa"/>
              <w:bottom w:w="80" w:type="dxa"/>
              <w:end w:w="120" w:type="dxa"/>
            </w:tcMar>
          </w:tcPr>
          <w:p>
            <w:r>
              <w:rPr>
                <w:rFonts w:ascii="Calibri" w:hAnsi="Calibri"/>
                <w:b w:val="0"/>
                <w:color w:val="0B2545"/>
                <w:sz w:val="19"/>
              </w:rPr>
              <w:t>Policy</w:t>
            </w:r>
          </w:p>
        </w:tc>
        <w:tc>
          <w:tcPr>
            <w:tcW w:type="dxa" w:w="3120"/>
            <w:vAlign w:val="center"/>
            <w:tcMar>
              <w:top w:w="80" w:type="dxa"/>
              <w:start w:w="120" w:type="dxa"/>
              <w:bottom w:w="80" w:type="dxa"/>
              <w:end w:w="120" w:type="dxa"/>
            </w:tcMar>
          </w:tcPr>
          <w:p>
            <w:r>
              <w:rPr>
                <w:rFonts w:ascii="Calibri" w:hAnsi="Calibri"/>
                <w:b w:val="0"/>
                <w:color w:val="0B2545"/>
                <w:sz w:val="19"/>
              </w:rPr>
              <w:t>resolved rules for current context</w:t>
            </w:r>
          </w:p>
        </w:tc>
      </w:tr>
      <w:tr>
        <w:tc>
          <w:tcPr>
            <w:tcW w:type="dxa" w:w="3120"/>
            <w:vAlign w:val="center"/>
            <w:tcMar>
              <w:top w:w="80" w:type="dxa"/>
              <w:start w:w="120" w:type="dxa"/>
              <w:bottom w:w="80" w:type="dxa"/>
              <w:end w:w="120" w:type="dxa"/>
            </w:tcMar>
          </w:tcPr>
          <w:p>
            <w:r>
              <w:rPr>
                <w:rFonts w:ascii="Calibri" w:hAnsi="Calibri"/>
                <w:b w:val="0"/>
                <w:color w:val="0B2545"/>
                <w:sz w:val="19"/>
              </w:rPr>
              <w:t>LearningInsight</w:t>
            </w:r>
          </w:p>
        </w:tc>
        <w:tc>
          <w:tcPr>
            <w:tcW w:type="dxa" w:w="3120"/>
            <w:vAlign w:val="center"/>
            <w:tcMar>
              <w:top w:w="80" w:type="dxa"/>
              <w:start w:w="120" w:type="dxa"/>
              <w:bottom w:w="80" w:type="dxa"/>
              <w:end w:w="120" w:type="dxa"/>
            </w:tcMar>
          </w:tcPr>
          <w:p>
            <w:r>
              <w:rPr>
                <w:rFonts w:ascii="Calibri" w:hAnsi="Calibri"/>
                <w:b w:val="0"/>
                <w:color w:val="0B2545"/>
                <w:sz w:val="19"/>
              </w:rPr>
              <w:t>Intelligence</w:t>
            </w:r>
          </w:p>
        </w:tc>
        <w:tc>
          <w:tcPr>
            <w:tcW w:type="dxa" w:w="3120"/>
            <w:vAlign w:val="center"/>
            <w:tcMar>
              <w:top w:w="80" w:type="dxa"/>
              <w:start w:w="120" w:type="dxa"/>
              <w:bottom w:w="80" w:type="dxa"/>
              <w:end w:w="120" w:type="dxa"/>
            </w:tcMar>
          </w:tcPr>
          <w:p>
            <w:r>
              <w:rPr>
                <w:rFonts w:ascii="Calibri" w:hAnsi="Calibri"/>
                <w:b w:val="0"/>
                <w:color w:val="0B2545"/>
                <w:sz w:val="19"/>
              </w:rPr>
              <w:t>aggregated meaningful observation</w:t>
            </w:r>
          </w:p>
        </w:tc>
      </w:tr>
    </w:tbl>
    <w:p>
      <w:pPr>
        <w:pStyle w:val="Heading2"/>
      </w:pPr>
      <w:r>
        <w:t>LearningContext</w:t>
      </w:r>
    </w:p>
    <w:p>
      <w:r>
        <w:t>Every command has a small immutable context: actor/learner, locale, timezone, capability, policy snapshot, experiment flags, subscription and optional session reference. It is not a place for database clients, mutable state or secrets.</w:t>
      </w:r>
    </w:p>
    <w:p>
      <w:pPr>
        <w:pStyle w:val="Heading2"/>
      </w:pPr>
      <w:r>
        <w:t>VersionRef</w:t>
      </w:r>
    </w:p>
    <w:p>
      <w:r>
        <w:t>Content, knowledge, capability, rubric, prompt and policy use the same audit shape:</w:t>
      </w:r>
    </w:p>
    <w:p>
      <w:pPr>
        <w:pStyle w:val="CodeBlock"/>
        <w:shd w:fill="F2F4F7"/>
      </w:pPr>
      <w:r>
        <w:t>VersionRef { id, type, version, createdAt }</w:t>
      </w:r>
    </w:p>
    <w:p>
      <w:r>
        <w:t>Assessments pin the relevant refs. A replay creates a new assessment; it does not overwrite history.</w:t>
      </w:r>
    </w:p>
    <w:p>
      <w:pPr>
        <w:pStyle w:val="Heading2"/>
      </w:pPr>
      <w:r>
        <w:t>Events and outbox</w:t>
      </w:r>
    </w:p>
    <w:p>
      <w:r>
        <w:t>TurnCompleted, KnowledgeUpdated and RecommendationCreated are written with the domain transaction to OutboxEvent. A future worker publishes unpublished events to a real broker. Consumers react independently.</w:t>
      </w:r>
    </w:p>
    <w:p>
      <w:pPr>
        <w:pStyle w:val="Heading2"/>
      </w:pPr>
      <w:r>
        <w:t>Idempotency</w:t>
      </w:r>
    </w:p>
    <w:p>
      <w:r>
        <w:t>Every turn has a unique idempotency key. Retrying the same key must not create duplicate turn, assessment, delta, decision or outbox events.</w:t>
      </w:r>
    </w:p>
    <w:p>
      <w:pPr>
        <w:pStyle w:val="Heading2"/>
      </w:pPr>
      <w:r>
        <w:t>Audit and explainability</w:t>
      </w:r>
    </w:p>
    <w:p>
      <w:r>
        <w:t>Decision includes outcome, reason codes, confidence, input references, policy/experiment references and versions. This makes recommendation and assessment debuggable without storing unnecessary duplicate PII.</w:t>
      </w:r>
    </w:p>
    <w:p>
      <w:pPr>
        <w:pStyle w:val="Heading1"/>
      </w:pPr>
      <w:r>
        <w:t>08. Speaking Slice: Car - Current State</w:t>
      </w:r>
    </w:p>
    <w:p>
      <w:pPr>
        <w:pStyle w:val="Heading2"/>
      </w:pPr>
      <w:r>
        <w:t>Purpose</w:t>
      </w:r>
    </w:p>
    <w:p>
      <w:r>
        <w:t>This is the first real vertical slice that proves the learning platform contract, using the existing Car topic.</w:t>
      </w:r>
    </w:p>
    <w:p>
      <w:pPr>
        <w:pStyle w:val="Heading2"/>
      </w:pPr>
      <w:r>
        <w:t>Implemented</w:t>
      </w:r>
    </w:p>
    <w:p>
      <w:pPr>
        <w:pStyle w:val="CodeBlock"/>
        <w:shd w:fill="F2F4F7"/>
      </w:pPr>
      <w:r>
        <w:t>Topic Car</w:t>
        <w:br/>
        <w:t>→ LearningSession</w:t>
        <w:br/>
        <w:t>→ text or voice transcript</w:t>
        <w:br/>
        <w:t>→ LearningTurn</w:t>
        <w:br/>
        <w:t>→ AssessmentResult</w:t>
        <w:br/>
        <w:t>→ KnowledgeDelta</w:t>
        <w:br/>
        <w:t>→ UserKnowledge update</w:t>
        <w:br/>
        <w:t>→ RecommendationDecision</w:t>
        <w:br/>
        <w:t>→ OutboxEvent</w:t>
        <w:br/>
        <w:t>→ learning-update UI feedback</w:t>
      </w:r>
    </w:p>
    <w:p>
      <w:pPr>
        <w:pStyle w:val="Heading3"/>
      </w:pPr>
      <w:r>
        <w:t>Database</w:t>
      </w:r>
    </w:p>
    <w:p>
      <w:r>
        <w:t>The PostgreSQL migration 20260719074840_architecture_v1_speaking_slice is applied. The schema includes sessions, turns, immutable assessments, knowledge nodes/versions, user knowledge, activities, decisions and outbox events.</w:t>
      </w:r>
    </w:p>
    <w:p>
      <w:pPr>
        <w:pStyle w:val="Heading3"/>
      </w:pPr>
      <w:r>
        <w:t>UI</w:t>
      </w:r>
    </w:p>
    <w:p>
      <w:r>
        <w:t>The user sees a short Practice Insight after a turn: score, one focused improvement and a Try again action. It is deliberately separate from the streamed tutor answer to preserve responsiveness.</w:t>
      </w:r>
    </w:p>
    <w:p>
      <w:pPr>
        <w:pStyle w:val="Heading3"/>
      </w:pPr>
      <w:r>
        <w:t>Assessment baseline</w:t>
      </w:r>
    </w:p>
    <w:p>
      <w:r>
        <w:t>The baseline is rule-based: response length, connected ideas and a simple past-tense signal. This creates normalized data without another LLM request.</w:t>
      </w:r>
    </w:p>
    <w:p>
      <w:pPr>
        <w:pStyle w:val="Heading3"/>
      </w:pPr>
      <w:r>
        <w:t>Safety</w:t>
      </w:r>
    </w:p>
    <w:p>
      <w:r>
        <w:t>If learning persistence is unavailable during a deployment, the legacy realtime tutor still works. Learning failure is logged and does not fail the conversation.</w:t>
      </w:r>
    </w:p>
    <w:p>
      <w:pPr>
        <w:pStyle w:val="Heading2"/>
      </w:pPr>
      <w:r>
        <w:t>Verified</w:t>
      </w:r>
    </w:p>
    <w:p>
      <w:pPr>
        <w:pStyle w:val="ListBullet"/>
        <w:spacing w:after="80"/>
      </w:pPr>
      <w:r>
        <w:t>Prisma migration status is up to date.</w:t>
      </w:r>
    </w:p>
    <w:p>
      <w:pPr>
        <w:pStyle w:val="ListBullet"/>
        <w:spacing w:after="80"/>
      </w:pPr>
      <w:r>
        <w:t>Database smoke test creates and verifies session, assessment, knowledge, recommendation and three outbox events.</w:t>
      </w:r>
    </w:p>
    <w:p>
      <w:pPr>
        <w:pStyle w:val="ListBullet"/>
        <w:spacing w:after="80"/>
      </w:pPr>
      <w:r>
        <w:t>Architecture dependency check passes.</w:t>
      </w:r>
    </w:p>
    <w:p>
      <w:pPr>
        <w:pStyle w:val="ListBullet"/>
        <w:spacing w:after="80"/>
      </w:pPr>
      <w:r>
        <w:t>Shared contracts, frontend type check and production build pass.</w:t>
      </w:r>
    </w:p>
    <w:p>
      <w:pPr>
        <w:pStyle w:val="Heading2"/>
      </w:pPr>
      <w:r>
        <w:t>Not yet complete</w:t>
      </w:r>
    </w:p>
    <w:p>
      <w:pPr>
        <w:pStyle w:val="ListBullet"/>
        <w:spacing w:after="80"/>
      </w:pPr>
      <w:r>
        <w:t>Reconnect/resume of an active learning session.</w:t>
      </w:r>
    </w:p>
    <w:p>
      <w:pPr>
        <w:pStyle w:val="ListBullet"/>
        <w:spacing w:after="80"/>
      </w:pPr>
      <w:r>
        <w:t>Replay command for an assessment with a newer rubric/prompt.</w:t>
      </w:r>
    </w:p>
    <w:p>
      <w:pPr>
        <w:pStyle w:val="ListBullet"/>
        <w:spacing w:after="80"/>
      </w:pPr>
      <w:r>
        <w:t>Outbox publisher worker and distributed queue.</w:t>
      </w:r>
    </w:p>
    <w:p>
      <w:pPr>
        <w:pStyle w:val="ListBullet"/>
        <w:spacing w:after="80"/>
      </w:pPr>
      <w:r>
        <w:t>Full SRS review UI, auth and learner profile.</w:t>
      </w:r>
    </w:p>
    <w:p>
      <w:pPr>
        <w:pStyle w:val="ListBullet"/>
        <w:spacing w:after="80"/>
      </w:pPr>
      <w:r>
        <w:t>AI-based assessment workflow/evaluation suite.</w:t>
      </w:r>
    </w:p>
    <w:p>
      <w:pPr>
        <w:pStyle w:val="Heading1"/>
      </w:pPr>
      <w:r>
        <w:t>09. Delivery Roadmap</w:t>
      </w:r>
    </w:p>
    <w:p>
      <w:pPr>
        <w:pStyle w:val="Heading2"/>
      </w:pPr>
      <w:r>
        <w:t>Rule</w:t>
      </w:r>
    </w:p>
    <w:p>
      <w:r>
        <w:t>Do not add many content modes before the current vertical slice meets its Definition of Done.</w:t>
      </w:r>
    </w:p>
    <w:p>
      <w:pPr>
        <w:pStyle w:val="Heading2"/>
      </w:pPr>
      <w:r>
        <w:t>Phase A - Complete Speaking Slice</w:t>
      </w:r>
    </w:p>
    <w:p>
      <w:pPr>
        <w:pStyle w:val="ListNumber"/>
        <w:spacing w:after="80"/>
      </w:pPr>
      <w:r>
        <w:t>Persist and resume session after reconnect.</w:t>
      </w:r>
    </w:p>
    <w:p>
      <w:pPr>
        <w:pStyle w:val="ListNumber"/>
        <w:spacing w:after="80"/>
      </w:pPr>
      <w:r>
        <w:t>Add assessment replay with superseding history.</w:t>
      </w:r>
    </w:p>
    <w:p>
      <w:pPr>
        <w:pStyle w:val="ListNumber"/>
        <w:spacing w:after="80"/>
      </w:pPr>
      <w:r>
        <w:t>Add minimal outbox publisher, structured logs and trace/correlation IDs.</w:t>
      </w:r>
    </w:p>
    <w:p>
      <w:pPr>
        <w:pStyle w:val="ListNumber"/>
        <w:spacing w:after="80"/>
      </w:pPr>
      <w:r>
        <w:t>E2E test: Car, wrong past tense, retry, updated state and recommendation.</w:t>
      </w:r>
    </w:p>
    <w:p>
      <w:pPr>
        <w:pStyle w:val="Heading2"/>
      </w:pPr>
      <w:r>
        <w:t>Phase B - Learning habit</w:t>
      </w:r>
    </w:p>
    <w:p>
      <w:pPr>
        <w:pStyle w:val="ListNumber"/>
        <w:spacing w:after="80"/>
      </w:pPr>
      <w:r>
        <w:t>User authentication/profile and goal setup.</w:t>
      </w:r>
    </w:p>
    <w:p>
      <w:pPr>
        <w:pStyle w:val="ListNumber"/>
        <w:spacing w:after="80"/>
      </w:pPr>
      <w:r>
        <w:t>Review queue and SRS UI.</w:t>
      </w:r>
    </w:p>
    <w:p>
      <w:pPr>
        <w:pStyle w:val="ListNumber"/>
        <w:spacing w:after="80"/>
      </w:pPr>
      <w:r>
        <w:t>Daily plan and continue-learning home.</w:t>
      </w:r>
    </w:p>
    <w:p>
      <w:pPr>
        <w:pStyle w:val="ListNumber"/>
        <w:spacing w:after="80"/>
      </w:pPr>
      <w:r>
        <w:t>Vocabulary notebook linked to KnowledgeNode.</w:t>
      </w:r>
    </w:p>
    <w:p>
      <w:pPr>
        <w:pStyle w:val="Heading2"/>
      </w:pPr>
      <w:r>
        <w:t>Phase C - Capability proof</w:t>
      </w:r>
    </w:p>
    <w:p>
      <w:pPr>
        <w:pStyle w:val="ListNumber"/>
        <w:spacing w:after="80"/>
      </w:pPr>
      <w:r>
        <w:t>Reading slice: content + quiz assessment.</w:t>
      </w:r>
    </w:p>
    <w:p>
      <w:pPr>
        <w:pStyle w:val="ListNumber"/>
        <w:spacing w:after="80"/>
      </w:pPr>
      <w:r>
        <w:t>Listening slice: audio + alignment/quiz assessment.</w:t>
      </w:r>
    </w:p>
    <w:p>
      <w:pPr>
        <w:pStyle w:val="ListNumber"/>
        <w:spacing w:after="80"/>
      </w:pPr>
      <w:r>
        <w:t>Writing slice: rubric-based AI assessment.</w:t>
      </w:r>
    </w:p>
    <w:p>
      <w:r>
        <w:t>No new core contract unless one of these slices proves a gap.</w:t>
      </w:r>
    </w:p>
    <w:p>
      <w:pPr>
        <w:pStyle w:val="Heading2"/>
      </w:pPr>
      <w:r>
        <w:t>Phase D - Production platform</w:t>
      </w:r>
    </w:p>
    <w:p>
      <w:pPr>
        <w:pStyle w:val="ListNumber"/>
        <w:spacing w:after="80"/>
      </w:pPr>
      <w:r>
        <w:t>Redis for distributed session/cache/rate limit.</w:t>
      </w:r>
    </w:p>
    <w:p>
      <w:pPr>
        <w:pStyle w:val="ListNumber"/>
        <w:spacing w:after="80"/>
      </w:pPr>
      <w:r>
        <w:t>Queue/workers for speech, AI, outbox and plans.</w:t>
      </w:r>
    </w:p>
    <w:p>
      <w:pPr>
        <w:pStyle w:val="ListNumber"/>
        <w:spacing w:after="80"/>
      </w:pPr>
      <w:r>
        <w:t>Object storage for audio.</w:t>
      </w:r>
    </w:p>
    <w:p>
      <w:pPr>
        <w:pStyle w:val="ListNumber"/>
        <w:spacing w:after="80"/>
      </w:pPr>
      <w:r>
        <w:t>OpenTelemetry, metrics, dashboards and alerting.</w:t>
      </w:r>
    </w:p>
    <w:p>
      <w:pPr>
        <w:pStyle w:val="Heading2"/>
      </w:pPr>
      <w:r>
        <w:t>Phase E - Growth</w:t>
      </w:r>
    </w:p>
    <w:p>
      <w:r>
        <w:t>CMS, content packs, experiments, subscription/billing, referral and deeper recommendation follow only after the learning loop has reliable data.</w:t>
      </w:r>
    </w:p>
    <w:p>
      <w:pPr>
        <w:pStyle w:val="Heading1"/>
      </w:pPr>
      <w:r>
        <w:t>10. Operations &amp; Quality</w:t>
      </w:r>
    </w:p>
    <w:p>
      <w:pPr>
        <w:pStyle w:val="Heading2"/>
      </w:pPr>
      <w:r>
        <w:t>Performance contract</w:t>
      </w:r>
    </w:p>
    <w:p>
      <w:pPr>
        <w:pStyle w:val="ListBullet"/>
        <w:spacing w:after="80"/>
      </w:pPr>
      <w:r>
        <w:t>Initial tutor visual/voice preparation must not block first useful screen.</w:t>
      </w:r>
    </w:p>
    <w:p>
      <w:pPr>
        <w:pStyle w:val="ListBullet"/>
        <w:spacing w:after="80"/>
      </w:pPr>
      <w:r>
        <w:t>Text appears before first TTS playback.</w:t>
      </w:r>
    </w:p>
    <w:p>
      <w:pPr>
        <w:pStyle w:val="ListBullet"/>
        <w:spacing w:after="80"/>
      </w:pPr>
      <w:r>
        <w:t>Chat render is throttled; 3D is lazy-loaded and bounded by device capability.</w:t>
      </w:r>
    </w:p>
    <w:p>
      <w:pPr>
        <w:pStyle w:val="ListBullet"/>
        <w:spacing w:after="80"/>
      </w:pPr>
      <w:r>
        <w:t>Content, dictionary and static assets use appropriate cache boundaries.</w:t>
      </w:r>
    </w:p>
    <w:p>
      <w:pPr>
        <w:pStyle w:val="Heading2"/>
      </w:pPr>
      <w:r>
        <w:t>Reliability contract</w:t>
      </w:r>
    </w:p>
    <w:p>
      <w:pPr>
        <w:pStyle w:val="ListBullet"/>
        <w:spacing w:after="80"/>
      </w:pPr>
      <w:r>
        <w:t>Idempotency for retryable turns.</w:t>
      </w:r>
    </w:p>
    <w:p>
      <w:pPr>
        <w:pStyle w:val="ListBullet"/>
        <w:spacing w:after="80"/>
      </w:pPr>
      <w:r>
        <w:t>Transactional outbox for facts needing asynchronous delivery.</w:t>
      </w:r>
    </w:p>
    <w:p>
      <w:pPr>
        <w:pStyle w:val="ListBullet"/>
        <w:spacing w:after="80"/>
      </w:pPr>
      <w:r>
        <w:t>No loss of active session after reconnect is the next acceptance target.</w:t>
      </w:r>
    </w:p>
    <w:p>
      <w:pPr>
        <w:pStyle w:val="ListBullet"/>
        <w:spacing w:after="80"/>
      </w:pPr>
      <w:r>
        <w:t>Provider failure must degrade gracefully; realtime tutor is not brought down by learning persistence failure.</w:t>
      </w:r>
    </w:p>
    <w:p>
      <w:pPr>
        <w:pStyle w:val="Heading2"/>
      </w:pPr>
      <w:r>
        <w:t>Architecture tests</w:t>
      </w:r>
    </w:p>
    <w:p>
      <w:r>
        <w:t>npm run architecture:check --prefix backend blocks engine-to-engine implementation imports. It is a starting guardrail, expanded as engines grow.</w:t>
      </w:r>
    </w:p>
    <w:p>
      <w:pPr>
        <w:pStyle w:val="Heading2"/>
      </w:pPr>
      <w:r>
        <w:t>Required observability</w:t>
      </w:r>
    </w:p>
    <w:p>
      <w:r>
        <w:t>Every production turn should be traceable by request/session/learner correlation IDs. Minimum signals: STT latency, first LLM token, TTS latency, turn completion, assessment result, event publishing failure and client errors.</w:t>
      </w:r>
    </w:p>
    <w:p>
      <w:pPr>
        <w:pStyle w:val="Heading2"/>
      </w:pPr>
      <w:r>
        <w:t>Scale path</w:t>
      </w:r>
    </w:p>
    <w:p>
      <w:r>
        <w:t>Start with one modular backend and PostgreSQL. Add Redis/session coordination, queue workers and object storage based on observed load. Do not introduce graph DB, microservices or ML recommendation without an RFC backed by a measured limitation.</w:t>
      </w:r>
    </w:p>
    <w:p>
      <w:pPr>
        <w:pStyle w:val="Heading2"/>
      </w:pPr>
      <w:r>
        <w:t>Definition of Done for a capability slice</w:t>
      </w:r>
    </w:p>
    <w:p>
      <w:pPr>
        <w:pStyle w:val="ListBullet"/>
        <w:spacing w:after="80"/>
      </w:pPr>
      <w:r>
        <w:t>Functional end-to-end user flow.</w:t>
      </w:r>
    </w:p>
    <w:p>
      <w:pPr>
        <w:pStyle w:val="ListBullet"/>
        <w:spacing w:after="80"/>
      </w:pPr>
      <w:r>
        <w:t>Immutable assessment and version references.</w:t>
      </w:r>
    </w:p>
    <w:p>
      <w:pPr>
        <w:pStyle w:val="ListBullet"/>
        <w:spacing w:after="80"/>
      </w:pPr>
      <w:r>
        <w:t>Knowledge update and explainable recommendation.</w:t>
      </w:r>
    </w:p>
    <w:p>
      <w:pPr>
        <w:pStyle w:val="ListBullet"/>
        <w:spacing w:after="80"/>
      </w:pPr>
      <w:r>
        <w:t>Idempotency, audit/outbox and failure behavior.</w:t>
      </w:r>
    </w:p>
    <w:p>
      <w:pPr>
        <w:pStyle w:val="ListBullet"/>
        <w:spacing w:after="80"/>
      </w:pPr>
      <w:r>
        <w:t>Architecture dependency checks.</w:t>
      </w:r>
    </w:p>
    <w:p>
      <w:pPr>
        <w:pStyle w:val="ListBullet"/>
        <w:spacing w:after="80"/>
      </w:pPr>
      <w:r>
        <w:t>Unit/smoke/E2E coverage proportional to risk.</w:t>
      </w:r>
    </w:p>
    <w:p>
      <w:pPr>
        <w:pStyle w:val="Heading1"/>
      </w:pPr>
      <w:r>
        <w:t>11. Glossary</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shd w:fill="E8EEF5"/>
            <w:vAlign w:val="center"/>
            <w:tcMar>
              <w:top w:w="80" w:type="dxa"/>
              <w:start w:w="120" w:type="dxa"/>
              <w:bottom w:w="80" w:type="dxa"/>
              <w:end w:w="120" w:type="dxa"/>
            </w:tcMar>
          </w:tcPr>
          <w:p>
            <w:r>
              <w:rPr>
                <w:rFonts w:ascii="Calibri" w:hAnsi="Calibri"/>
                <w:b/>
                <w:color w:val="0B2545"/>
                <w:sz w:val="19"/>
              </w:rPr>
              <w:t>Term</w:t>
            </w:r>
          </w:p>
        </w:tc>
        <w:tc>
          <w:tcPr>
            <w:tcW w:type="dxa" w:w="4680"/>
            <w:shd w:fill="E8EEF5"/>
            <w:vAlign w:val="center"/>
            <w:tcMar>
              <w:top w:w="80" w:type="dxa"/>
              <w:start w:w="120" w:type="dxa"/>
              <w:bottom w:w="80" w:type="dxa"/>
              <w:end w:w="120" w:type="dxa"/>
            </w:tcMar>
          </w:tcPr>
          <w:p>
            <w:r>
              <w:rPr>
                <w:rFonts w:ascii="Calibri" w:hAnsi="Calibri"/>
                <w:b/>
                <w:color w:val="0B2545"/>
                <w:sz w:val="19"/>
              </w:rPr>
              <w:t>Meaning</w:t>
            </w:r>
          </w:p>
        </w:tc>
      </w:tr>
      <w:tr>
        <w:tc>
          <w:tcPr>
            <w:tcW w:type="dxa" w:w="4680"/>
            <w:vAlign w:val="center"/>
            <w:tcMar>
              <w:top w:w="80" w:type="dxa"/>
              <w:start w:w="120" w:type="dxa"/>
              <w:bottom w:w="80" w:type="dxa"/>
              <w:end w:w="120" w:type="dxa"/>
            </w:tcMar>
          </w:tcPr>
          <w:p>
            <w:r>
              <w:rPr>
                <w:rFonts w:ascii="Calibri" w:hAnsi="Calibri"/>
                <w:b w:val="0"/>
                <w:color w:val="0B2545"/>
                <w:sz w:val="19"/>
              </w:rPr>
              <w:t>Activity</w:t>
            </w:r>
          </w:p>
        </w:tc>
        <w:tc>
          <w:tcPr>
            <w:tcW w:type="dxa" w:w="4680"/>
            <w:vAlign w:val="center"/>
            <w:tcMar>
              <w:top w:w="80" w:type="dxa"/>
              <w:start w:w="120" w:type="dxa"/>
              <w:bottom w:w="80" w:type="dxa"/>
              <w:end w:w="120" w:type="dxa"/>
            </w:tcMar>
          </w:tcPr>
          <w:p>
            <w:r>
              <w:rPr>
                <w:rFonts w:ascii="Calibri" w:hAnsi="Calibri"/>
                <w:b w:val="0"/>
                <w:color w:val="0B2545"/>
                <w:sz w:val="19"/>
              </w:rPr>
              <w:t>A runnable learning unit rendered through a capability.</w:t>
            </w:r>
          </w:p>
        </w:tc>
      </w:tr>
      <w:tr>
        <w:tc>
          <w:tcPr>
            <w:tcW w:type="dxa" w:w="4680"/>
            <w:vAlign w:val="center"/>
            <w:tcMar>
              <w:top w:w="80" w:type="dxa"/>
              <w:start w:w="120" w:type="dxa"/>
              <w:bottom w:w="80" w:type="dxa"/>
              <w:end w:w="120" w:type="dxa"/>
            </w:tcMar>
          </w:tcPr>
          <w:p>
            <w:r>
              <w:rPr>
                <w:rFonts w:ascii="Calibri" w:hAnsi="Calibri"/>
                <w:b w:val="0"/>
                <w:color w:val="0B2545"/>
                <w:sz w:val="19"/>
              </w:rPr>
              <w:t>AssessmentResult</w:t>
            </w:r>
          </w:p>
        </w:tc>
        <w:tc>
          <w:tcPr>
            <w:tcW w:type="dxa" w:w="4680"/>
            <w:vAlign w:val="center"/>
            <w:tcMar>
              <w:top w:w="80" w:type="dxa"/>
              <w:start w:w="120" w:type="dxa"/>
              <w:bottom w:w="80" w:type="dxa"/>
              <w:end w:w="120" w:type="dxa"/>
            </w:tcMar>
          </w:tcPr>
          <w:p>
            <w:r>
              <w:rPr>
                <w:rFonts w:ascii="Calibri" w:hAnsi="Calibri"/>
                <w:b w:val="0"/>
                <w:color w:val="0B2545"/>
                <w:sz w:val="19"/>
              </w:rPr>
              <w:t>Immutable standardized result of evaluating an attempt.</w:t>
            </w:r>
          </w:p>
        </w:tc>
      </w:tr>
      <w:tr>
        <w:tc>
          <w:tcPr>
            <w:tcW w:type="dxa" w:w="4680"/>
            <w:vAlign w:val="center"/>
            <w:tcMar>
              <w:top w:w="80" w:type="dxa"/>
              <w:start w:w="120" w:type="dxa"/>
              <w:bottom w:w="80" w:type="dxa"/>
              <w:end w:w="120" w:type="dxa"/>
            </w:tcMar>
          </w:tcPr>
          <w:p>
            <w:r>
              <w:rPr>
                <w:rFonts w:ascii="Calibri" w:hAnsi="Calibri"/>
                <w:b w:val="0"/>
                <w:color w:val="0B2545"/>
                <w:sz w:val="19"/>
              </w:rPr>
              <w:t>Attempt / LearningTurn</w:t>
            </w:r>
          </w:p>
        </w:tc>
        <w:tc>
          <w:tcPr>
            <w:tcW w:type="dxa" w:w="4680"/>
            <w:vAlign w:val="center"/>
            <w:tcMar>
              <w:top w:w="80" w:type="dxa"/>
              <w:start w:w="120" w:type="dxa"/>
              <w:bottom w:w="80" w:type="dxa"/>
              <w:end w:w="120" w:type="dxa"/>
            </w:tcMar>
          </w:tcPr>
          <w:p>
            <w:r>
              <w:rPr>
                <w:rFonts w:ascii="Calibri" w:hAnsi="Calibri"/>
                <w:b w:val="0"/>
                <w:color w:val="0B2545"/>
                <w:sz w:val="19"/>
              </w:rPr>
              <w:t>A learner's submitted voice or text response.</w:t>
            </w:r>
          </w:p>
        </w:tc>
      </w:tr>
      <w:tr>
        <w:tc>
          <w:tcPr>
            <w:tcW w:type="dxa" w:w="4680"/>
            <w:vAlign w:val="center"/>
            <w:tcMar>
              <w:top w:w="80" w:type="dxa"/>
              <w:start w:w="120" w:type="dxa"/>
              <w:bottom w:w="80" w:type="dxa"/>
              <w:end w:w="120" w:type="dxa"/>
            </w:tcMar>
          </w:tcPr>
          <w:p>
            <w:r>
              <w:rPr>
                <w:rFonts w:ascii="Calibri" w:hAnsi="Calibri"/>
                <w:b w:val="0"/>
                <w:color w:val="0B2545"/>
                <w:sz w:val="19"/>
              </w:rPr>
              <w:t>Capability</w:t>
            </w:r>
          </w:p>
        </w:tc>
        <w:tc>
          <w:tcPr>
            <w:tcW w:type="dxa" w:w="4680"/>
            <w:vAlign w:val="center"/>
            <w:tcMar>
              <w:top w:w="80" w:type="dxa"/>
              <w:start w:w="120" w:type="dxa"/>
              <w:bottom w:w="80" w:type="dxa"/>
              <w:end w:w="120" w:type="dxa"/>
            </w:tcMar>
          </w:tcPr>
          <w:p>
            <w:r>
              <w:rPr>
                <w:rFonts w:ascii="Calibri" w:hAnsi="Calibri"/>
                <w:b w:val="0"/>
                <w:color w:val="0B2545"/>
                <w:sz w:val="19"/>
              </w:rPr>
              <w:t>Reusable contract such as Speaking, Reading or Writing.</w:t>
            </w:r>
          </w:p>
        </w:tc>
      </w:tr>
      <w:tr>
        <w:tc>
          <w:tcPr>
            <w:tcW w:type="dxa" w:w="4680"/>
            <w:vAlign w:val="center"/>
            <w:tcMar>
              <w:top w:w="80" w:type="dxa"/>
              <w:start w:w="120" w:type="dxa"/>
              <w:bottom w:w="80" w:type="dxa"/>
              <w:end w:w="120" w:type="dxa"/>
            </w:tcMar>
          </w:tcPr>
          <w:p>
            <w:r>
              <w:rPr>
                <w:rFonts w:ascii="Calibri" w:hAnsi="Calibri"/>
                <w:b w:val="0"/>
                <w:color w:val="0B2545"/>
                <w:sz w:val="19"/>
              </w:rPr>
              <w:t>ContentBlock</w:t>
            </w:r>
          </w:p>
        </w:tc>
        <w:tc>
          <w:tcPr>
            <w:tcW w:type="dxa" w:w="4680"/>
            <w:vAlign w:val="center"/>
            <w:tcMar>
              <w:top w:w="80" w:type="dxa"/>
              <w:start w:w="120" w:type="dxa"/>
              <w:bottom w:w="80" w:type="dxa"/>
              <w:end w:w="120" w:type="dxa"/>
            </w:tcMar>
          </w:tcPr>
          <w:p>
            <w:r>
              <w:rPr>
                <w:rFonts w:ascii="Calibri" w:hAnsi="Calibri"/>
                <w:b w:val="0"/>
                <w:color w:val="0B2545"/>
                <w:sz w:val="19"/>
              </w:rPr>
              <w:t>Versioned source content: text, audio, image or prompt material.</w:t>
            </w:r>
          </w:p>
        </w:tc>
      </w:tr>
      <w:tr>
        <w:tc>
          <w:tcPr>
            <w:tcW w:type="dxa" w:w="4680"/>
            <w:vAlign w:val="center"/>
            <w:tcMar>
              <w:top w:w="80" w:type="dxa"/>
              <w:start w:w="120" w:type="dxa"/>
              <w:bottom w:w="80" w:type="dxa"/>
              <w:end w:w="120" w:type="dxa"/>
            </w:tcMar>
          </w:tcPr>
          <w:p>
            <w:r>
              <w:rPr>
                <w:rFonts w:ascii="Calibri" w:hAnsi="Calibri"/>
                <w:b w:val="0"/>
                <w:color w:val="0B2545"/>
                <w:sz w:val="19"/>
              </w:rPr>
              <w:t>Decision</w:t>
            </w:r>
          </w:p>
        </w:tc>
        <w:tc>
          <w:tcPr>
            <w:tcW w:type="dxa" w:w="4680"/>
            <w:vAlign w:val="center"/>
            <w:tcMar>
              <w:top w:w="80" w:type="dxa"/>
              <w:start w:w="120" w:type="dxa"/>
              <w:bottom w:w="80" w:type="dxa"/>
              <w:end w:w="120" w:type="dxa"/>
            </w:tcMar>
          </w:tcPr>
          <w:p>
            <w:r>
              <w:rPr>
                <w:rFonts w:ascii="Calibri" w:hAnsi="Calibri"/>
                <w:b w:val="0"/>
                <w:color w:val="0B2545"/>
                <w:sz w:val="19"/>
              </w:rPr>
              <w:t>Explainable result with outcome, reason codes, confidence and version refs.</w:t>
            </w:r>
          </w:p>
        </w:tc>
      </w:tr>
      <w:tr>
        <w:tc>
          <w:tcPr>
            <w:tcW w:type="dxa" w:w="4680"/>
            <w:vAlign w:val="center"/>
            <w:tcMar>
              <w:top w:w="80" w:type="dxa"/>
              <w:start w:w="120" w:type="dxa"/>
              <w:bottom w:w="80" w:type="dxa"/>
              <w:end w:w="120" w:type="dxa"/>
            </w:tcMar>
          </w:tcPr>
          <w:p>
            <w:r>
              <w:rPr>
                <w:rFonts w:ascii="Calibri" w:hAnsi="Calibri"/>
                <w:b w:val="0"/>
                <w:color w:val="0B2545"/>
                <w:sz w:val="19"/>
              </w:rPr>
              <w:t>Engine</w:t>
            </w:r>
          </w:p>
        </w:tc>
        <w:tc>
          <w:tcPr>
            <w:tcW w:type="dxa" w:w="4680"/>
            <w:vAlign w:val="center"/>
            <w:tcMar>
              <w:top w:w="80" w:type="dxa"/>
              <w:start w:w="120" w:type="dxa"/>
              <w:bottom w:w="80" w:type="dxa"/>
              <w:end w:w="120" w:type="dxa"/>
            </w:tcMar>
          </w:tcPr>
          <w:p>
            <w:r>
              <w:rPr>
                <w:rFonts w:ascii="Calibri" w:hAnsi="Calibri"/>
                <w:b w:val="0"/>
                <w:color w:val="0B2545"/>
                <w:sz w:val="19"/>
              </w:rPr>
              <w:t>A business ownership boundary, not automatically a service.</w:t>
            </w:r>
          </w:p>
        </w:tc>
      </w:tr>
      <w:tr>
        <w:tc>
          <w:tcPr>
            <w:tcW w:type="dxa" w:w="4680"/>
            <w:vAlign w:val="center"/>
            <w:tcMar>
              <w:top w:w="80" w:type="dxa"/>
              <w:start w:w="120" w:type="dxa"/>
              <w:bottom w:w="80" w:type="dxa"/>
              <w:end w:w="120" w:type="dxa"/>
            </w:tcMar>
          </w:tcPr>
          <w:p>
            <w:r>
              <w:rPr>
                <w:rFonts w:ascii="Calibri" w:hAnsi="Calibri"/>
                <w:b w:val="0"/>
                <w:color w:val="0B2545"/>
                <w:sz w:val="19"/>
              </w:rPr>
              <w:t>Knowledge Delta</w:t>
            </w:r>
          </w:p>
        </w:tc>
        <w:tc>
          <w:tcPr>
            <w:tcW w:type="dxa" w:w="4680"/>
            <w:vAlign w:val="center"/>
            <w:tcMar>
              <w:top w:w="80" w:type="dxa"/>
              <w:start w:w="120" w:type="dxa"/>
              <w:bottom w:w="80" w:type="dxa"/>
              <w:end w:w="120" w:type="dxa"/>
            </w:tcMar>
          </w:tcPr>
          <w:p>
            <w:r>
              <w:rPr>
                <w:rFonts w:ascii="Calibri" w:hAnsi="Calibri"/>
                <w:b w:val="0"/>
                <w:color w:val="0B2545"/>
                <w:sz w:val="19"/>
              </w:rPr>
              <w:t>A requested change to learner knowledge after an assessment.</w:t>
            </w:r>
          </w:p>
        </w:tc>
      </w:tr>
      <w:tr>
        <w:tc>
          <w:tcPr>
            <w:tcW w:type="dxa" w:w="4680"/>
            <w:vAlign w:val="center"/>
            <w:tcMar>
              <w:top w:w="80" w:type="dxa"/>
              <w:start w:w="120" w:type="dxa"/>
              <w:bottom w:w="80" w:type="dxa"/>
              <w:end w:w="120" w:type="dxa"/>
            </w:tcMar>
          </w:tcPr>
          <w:p>
            <w:r>
              <w:rPr>
                <w:rFonts w:ascii="Calibri" w:hAnsi="Calibri"/>
                <w:b w:val="0"/>
                <w:color w:val="0B2545"/>
                <w:sz w:val="19"/>
              </w:rPr>
              <w:t>Knowledge Node</w:t>
            </w:r>
          </w:p>
        </w:tc>
        <w:tc>
          <w:tcPr>
            <w:tcW w:type="dxa" w:w="4680"/>
            <w:vAlign w:val="center"/>
            <w:tcMar>
              <w:top w:w="80" w:type="dxa"/>
              <w:start w:w="120" w:type="dxa"/>
              <w:bottom w:w="80" w:type="dxa"/>
              <w:end w:w="120" w:type="dxa"/>
            </w:tcMar>
          </w:tcPr>
          <w:p>
            <w:r>
              <w:rPr>
                <w:rFonts w:ascii="Calibri" w:hAnsi="Calibri"/>
                <w:b w:val="0"/>
                <w:color w:val="0B2545"/>
                <w:sz w:val="19"/>
              </w:rPr>
              <w:t>A unit of knowledge: word, grammar, skill, concept or topic.</w:t>
            </w:r>
          </w:p>
        </w:tc>
      </w:tr>
      <w:tr>
        <w:tc>
          <w:tcPr>
            <w:tcW w:type="dxa" w:w="4680"/>
            <w:vAlign w:val="center"/>
            <w:tcMar>
              <w:top w:w="80" w:type="dxa"/>
              <w:start w:w="120" w:type="dxa"/>
              <w:bottom w:w="80" w:type="dxa"/>
              <w:end w:w="120" w:type="dxa"/>
            </w:tcMar>
          </w:tcPr>
          <w:p>
            <w:r>
              <w:rPr>
                <w:rFonts w:ascii="Calibri" w:hAnsi="Calibri"/>
                <w:b w:val="0"/>
                <w:color w:val="0B2545"/>
                <w:sz w:val="19"/>
              </w:rPr>
              <w:t>LearningContext</w:t>
            </w:r>
          </w:p>
        </w:tc>
        <w:tc>
          <w:tcPr>
            <w:tcW w:type="dxa" w:w="4680"/>
            <w:vAlign w:val="center"/>
            <w:tcMar>
              <w:top w:w="80" w:type="dxa"/>
              <w:start w:w="120" w:type="dxa"/>
              <w:bottom w:w="80" w:type="dxa"/>
              <w:end w:w="120" w:type="dxa"/>
            </w:tcMar>
          </w:tcPr>
          <w:p>
            <w:r>
              <w:rPr>
                <w:rFonts w:ascii="Calibri" w:hAnsi="Calibri"/>
                <w:b w:val="0"/>
                <w:color w:val="0B2545"/>
                <w:sz w:val="19"/>
              </w:rPr>
              <w:t>Immutable request context with learner, locale, policy and capability refs.</w:t>
            </w:r>
          </w:p>
        </w:tc>
      </w:tr>
      <w:tr>
        <w:tc>
          <w:tcPr>
            <w:tcW w:type="dxa" w:w="4680"/>
            <w:vAlign w:val="center"/>
            <w:tcMar>
              <w:top w:w="80" w:type="dxa"/>
              <w:start w:w="120" w:type="dxa"/>
              <w:bottom w:w="80" w:type="dxa"/>
              <w:end w:w="120" w:type="dxa"/>
            </w:tcMar>
          </w:tcPr>
          <w:p>
            <w:r>
              <w:rPr>
                <w:rFonts w:ascii="Calibri" w:hAnsi="Calibri"/>
                <w:b w:val="0"/>
                <w:color w:val="0B2545"/>
                <w:sz w:val="19"/>
              </w:rPr>
              <w:t>Outbox Event</w:t>
            </w:r>
          </w:p>
        </w:tc>
        <w:tc>
          <w:tcPr>
            <w:tcW w:type="dxa" w:w="4680"/>
            <w:vAlign w:val="center"/>
            <w:tcMar>
              <w:top w:w="80" w:type="dxa"/>
              <w:start w:w="120" w:type="dxa"/>
              <w:bottom w:w="80" w:type="dxa"/>
              <w:end w:w="120" w:type="dxa"/>
            </w:tcMar>
          </w:tcPr>
          <w:p>
            <w:r>
              <w:rPr>
                <w:rFonts w:ascii="Calibri" w:hAnsi="Calibri"/>
                <w:b w:val="0"/>
                <w:color w:val="0B2545"/>
                <w:sz w:val="19"/>
              </w:rPr>
              <w:t>A durable event written with the transaction, published later by a worker.</w:t>
            </w:r>
          </w:p>
        </w:tc>
      </w:tr>
      <w:tr>
        <w:tc>
          <w:tcPr>
            <w:tcW w:type="dxa" w:w="4680"/>
            <w:vAlign w:val="center"/>
            <w:tcMar>
              <w:top w:w="80" w:type="dxa"/>
              <w:start w:w="120" w:type="dxa"/>
              <w:bottom w:w="80" w:type="dxa"/>
              <w:end w:w="120" w:type="dxa"/>
            </w:tcMar>
          </w:tcPr>
          <w:p>
            <w:r>
              <w:rPr>
                <w:rFonts w:ascii="Calibri" w:hAnsi="Calibri"/>
                <w:b w:val="0"/>
                <w:color w:val="0B2545"/>
                <w:sz w:val="19"/>
              </w:rPr>
              <w:t>Policy</w:t>
            </w:r>
          </w:p>
        </w:tc>
        <w:tc>
          <w:tcPr>
            <w:tcW w:type="dxa" w:w="4680"/>
            <w:vAlign w:val="center"/>
            <w:tcMar>
              <w:top w:w="80" w:type="dxa"/>
              <w:start w:w="120" w:type="dxa"/>
              <w:bottom w:w="80" w:type="dxa"/>
              <w:end w:w="120" w:type="dxa"/>
            </w:tcMar>
          </w:tcPr>
          <w:p>
            <w:r>
              <w:rPr>
                <w:rFonts w:ascii="Calibri" w:hAnsi="Calibri"/>
                <w:b w:val="0"/>
                <w:color w:val="0B2545"/>
                <w:sz w:val="19"/>
              </w:rPr>
              <w:t>Rules by learner segment/capability: safety, difficulty, feature flags and entitlement.</w:t>
            </w:r>
          </w:p>
        </w:tc>
      </w:tr>
      <w:tr>
        <w:tc>
          <w:tcPr>
            <w:tcW w:type="dxa" w:w="4680"/>
            <w:vAlign w:val="center"/>
            <w:tcMar>
              <w:top w:w="80" w:type="dxa"/>
              <w:start w:w="120" w:type="dxa"/>
              <w:bottom w:w="80" w:type="dxa"/>
              <w:end w:w="120" w:type="dxa"/>
            </w:tcMar>
          </w:tcPr>
          <w:p>
            <w:r>
              <w:rPr>
                <w:rFonts w:ascii="Calibri" w:hAnsi="Calibri"/>
                <w:b w:val="0"/>
                <w:color w:val="0B2545"/>
                <w:sz w:val="19"/>
              </w:rPr>
              <w:t>Recommendation</w:t>
            </w:r>
          </w:p>
        </w:tc>
        <w:tc>
          <w:tcPr>
            <w:tcW w:type="dxa" w:w="4680"/>
            <w:vAlign w:val="center"/>
            <w:tcMar>
              <w:top w:w="80" w:type="dxa"/>
              <w:start w:w="120" w:type="dxa"/>
              <w:bottom w:w="80" w:type="dxa"/>
              <w:end w:w="120" w:type="dxa"/>
            </w:tcMar>
          </w:tcPr>
          <w:p>
            <w:r>
              <w:rPr>
                <w:rFonts w:ascii="Calibri" w:hAnsi="Calibri"/>
                <w:b w:val="0"/>
                <w:color w:val="0B2545"/>
                <w:sz w:val="19"/>
              </w:rPr>
              <w:t>A decision about the best next learning action.</w:t>
            </w:r>
          </w:p>
        </w:tc>
      </w:tr>
      <w:tr>
        <w:tc>
          <w:tcPr>
            <w:tcW w:type="dxa" w:w="4680"/>
            <w:vAlign w:val="center"/>
            <w:tcMar>
              <w:top w:w="80" w:type="dxa"/>
              <w:start w:w="120" w:type="dxa"/>
              <w:bottom w:w="80" w:type="dxa"/>
              <w:end w:w="120" w:type="dxa"/>
            </w:tcMar>
          </w:tcPr>
          <w:p>
            <w:r>
              <w:rPr>
                <w:rFonts w:ascii="Calibri" w:hAnsi="Calibri"/>
                <w:b w:val="0"/>
                <w:color w:val="0B2545"/>
                <w:sz w:val="19"/>
              </w:rPr>
              <w:t>Replay</w:t>
            </w:r>
          </w:p>
        </w:tc>
        <w:tc>
          <w:tcPr>
            <w:tcW w:type="dxa" w:w="4680"/>
            <w:vAlign w:val="center"/>
            <w:tcMar>
              <w:top w:w="80" w:type="dxa"/>
              <w:start w:w="120" w:type="dxa"/>
              <w:bottom w:w="80" w:type="dxa"/>
              <w:end w:w="120" w:type="dxa"/>
            </w:tcMar>
          </w:tcPr>
          <w:p>
            <w:r>
              <w:rPr>
                <w:rFonts w:ascii="Calibri" w:hAnsi="Calibri"/>
                <w:b w:val="0"/>
                <w:color w:val="0B2545"/>
                <w:sz w:val="19"/>
              </w:rPr>
              <w:t>Re-assessing a past attempt with a newer workflow without changing old history.</w:t>
            </w:r>
          </w:p>
        </w:tc>
      </w:tr>
      <w:tr>
        <w:tc>
          <w:tcPr>
            <w:tcW w:type="dxa" w:w="4680"/>
            <w:vAlign w:val="center"/>
            <w:tcMar>
              <w:top w:w="80" w:type="dxa"/>
              <w:start w:w="120" w:type="dxa"/>
              <w:bottom w:w="80" w:type="dxa"/>
              <w:end w:w="120" w:type="dxa"/>
            </w:tcMar>
          </w:tcPr>
          <w:p>
            <w:r>
              <w:rPr>
                <w:rFonts w:ascii="Calibri" w:hAnsi="Calibri"/>
                <w:b w:val="0"/>
                <w:color w:val="0B2545"/>
                <w:sz w:val="19"/>
              </w:rPr>
              <w:t>SRS</w:t>
            </w:r>
          </w:p>
        </w:tc>
        <w:tc>
          <w:tcPr>
            <w:tcW w:type="dxa" w:w="4680"/>
            <w:vAlign w:val="center"/>
            <w:tcMar>
              <w:top w:w="80" w:type="dxa"/>
              <w:start w:w="120" w:type="dxa"/>
              <w:bottom w:w="80" w:type="dxa"/>
              <w:end w:w="120" w:type="dxa"/>
            </w:tcMar>
          </w:tcPr>
          <w:p>
            <w:r>
              <w:rPr>
                <w:rFonts w:ascii="Calibri" w:hAnsi="Calibri"/>
                <w:b w:val="0"/>
                <w:color w:val="0B2545"/>
                <w:sz w:val="19"/>
              </w:rPr>
              <w:t>Spaced repetition scheduling based on learner knowledge state.</w:t>
            </w:r>
          </w:p>
        </w:tc>
      </w:tr>
      <w:tr>
        <w:tc>
          <w:tcPr>
            <w:tcW w:type="dxa" w:w="4680"/>
            <w:vAlign w:val="center"/>
            <w:tcMar>
              <w:top w:w="80" w:type="dxa"/>
              <w:start w:w="120" w:type="dxa"/>
              <w:bottom w:w="80" w:type="dxa"/>
              <w:end w:w="120" w:type="dxa"/>
            </w:tcMar>
          </w:tcPr>
          <w:p>
            <w:r>
              <w:rPr>
                <w:rFonts w:ascii="Calibri" w:hAnsi="Calibri"/>
                <w:b w:val="0"/>
                <w:color w:val="0B2545"/>
                <w:sz w:val="19"/>
              </w:rPr>
              <w:t>VersionRef</w:t>
            </w:r>
          </w:p>
        </w:tc>
        <w:tc>
          <w:tcPr>
            <w:tcW w:type="dxa" w:w="4680"/>
            <w:vAlign w:val="center"/>
            <w:tcMar>
              <w:top w:w="80" w:type="dxa"/>
              <w:start w:w="120" w:type="dxa"/>
              <w:bottom w:w="80" w:type="dxa"/>
              <w:end w:w="120" w:type="dxa"/>
            </w:tcMar>
          </w:tcPr>
          <w:p>
            <w:r>
              <w:rPr>
                <w:rFonts w:ascii="Calibri" w:hAnsi="Calibri"/>
                <w:b w:val="0"/>
                <w:color w:val="0B2545"/>
                <w:sz w:val="19"/>
              </w:rPr>
              <w:t>Common identifier for a versioned content/rubric/prompt/policy/capability artifact.</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470"/>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470"/>
        <w:sz w:val="17"/>
      </w:rPr>
      <w:t>AI Tutor · Product &amp; Architecture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8" w:right="288"/>
    </w:pPr>
    <w:rPr>
      <w:rFonts w:ascii="Consolas" w:hAnsi="Consolas"/>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Tutor - Product &amp; Architecture Guide</dc:title>
  <dc:subject>Architecture V1.0 and product direction</dc:subject>
  <dc:creator>AI Tutor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