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34B916">
      <w:pPr>
        <w:spacing w:before="120" w:after="120"/>
        <w:ind w:left="-2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44AD53F0">
      <w:pPr>
        <w:spacing w:before="120" w:after="120"/>
        <w:ind w:left="-220" w:leftChars="-100"/>
        <w:jc w:val="center"/>
        <w:rPr>
          <w:rFonts w:ascii="Times New Roman" w:hAnsi="Times New Roman"/>
          <w:b/>
          <w:sz w:val="26"/>
          <w:szCs w:val="26"/>
        </w:rPr>
      </w:pPr>
      <w:r>
        <w:rPr>
          <w:rFonts w:ascii="Times New Roman" w:hAnsi="Times New Roman"/>
          <w:b/>
          <w:sz w:val="26"/>
          <w:szCs w:val="26"/>
        </w:rPr>
        <w:t>Độc Lập – Tự Do – Hạnh Phúc</w:t>
      </w:r>
    </w:p>
    <w:p w14:paraId="4879FAF3">
      <w:pPr>
        <w:spacing w:before="120" w:after="120"/>
        <w:ind w:left="-220" w:leftChars="-100"/>
        <w:jc w:val="center"/>
        <w:rPr>
          <w:rFonts w:ascii="Times New Roman" w:hAnsi="Times New Roman"/>
          <w:b/>
          <w:sz w:val="26"/>
          <w:szCs w:val="26"/>
        </w:rPr>
      </w:pPr>
      <w:r>
        <w:rPr>
          <w:rFonts w:ascii="Times New Roman" w:hAnsi="Times New Roman"/>
          <w:b/>
          <w:sz w:val="26"/>
          <w:szCs w:val="26"/>
        </w:rPr>
        <w:t>---------------------</w:t>
      </w:r>
    </w:p>
    <w:p w14:paraId="0A9D112D">
      <w:pPr>
        <w:spacing w:before="120" w:after="120"/>
        <w:ind w:left="-220" w:leftChars="-100"/>
        <w:jc w:val="center"/>
        <w:rPr>
          <w:rFonts w:ascii="Times New Roman" w:hAnsi="Times New Roman"/>
          <w:b/>
          <w:sz w:val="40"/>
          <w:szCs w:val="40"/>
        </w:rPr>
      </w:pPr>
      <w:r>
        <w:rPr>
          <w:rFonts w:ascii="Times New Roman" w:hAnsi="Times New Roman"/>
          <w:b/>
          <w:sz w:val="40"/>
          <w:szCs w:val="40"/>
        </w:rPr>
        <w:t>HỢP ĐỒNG ĐẶT TIỆC</w:t>
      </w:r>
    </w:p>
    <w:p w14:paraId="46A8971B">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CB9C3A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Bộ Luật Dân Sự số 91/2015/QH13 được Quốc hội nước CHXHCN Việt Nam khóa XIII, thông qua ngày 24 tháng 11 năm 2015;</w:t>
      </w:r>
    </w:p>
    <w:p w14:paraId="0D936CCF">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cứ vào Luật Thương mại số 36/2005/QH11 được Quốc hội nước CHXHCN Việt Nam khóa XI, thông qua ngày 14 tháng 06 năm 2005;</w:t>
      </w:r>
    </w:p>
    <w:p w14:paraId="6BC1E8D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vào nhu cầu và khả năng đáp ứng của hai bên.</w:t>
      </w:r>
    </w:p>
    <w:p w14:paraId="090E36F5">
      <w:pPr>
        <w:spacing w:after="0" w:line="360" w:lineRule="auto"/>
        <w:ind w:left="-220" w:leftChars="-100"/>
        <w:jc w:val="both"/>
        <w:rPr>
          <w:rFonts w:ascii="Times New Roman" w:hAnsi="Times New Roman"/>
          <w:i/>
          <w:sz w:val="26"/>
          <w:szCs w:val="26"/>
        </w:rPr>
      </w:pPr>
    </w:p>
    <w:p w14:paraId="015F06FC">
      <w:pPr>
        <w:spacing w:before="120" w:after="120"/>
        <w:ind w:left="-220" w:leftChars="-100"/>
        <w:jc w:val="both"/>
        <w:rPr>
          <w:rFonts w:ascii="Times New Roman" w:hAnsi="Times New Roman"/>
          <w:i/>
          <w:sz w:val="26"/>
          <w:szCs w:val="26"/>
        </w:rPr>
      </w:pPr>
      <w:r>
        <w:rPr>
          <w:rFonts w:ascii="Times New Roman" w:hAnsi="Times New Roman"/>
          <w:i/>
          <w:sz w:val="26"/>
          <w:szCs w:val="26"/>
        </w:rPr>
        <w:t>Hôm nay, ngày {NgayLapHD} tháng {ThangLapHD} năm {NamLapHD}, chúng tôi gồm có dưới đây:</w:t>
      </w:r>
    </w:p>
    <w:p w14:paraId="36F5836A">
      <w:pPr>
        <w:spacing w:before="120" w:after="120" w:line="276" w:lineRule="auto"/>
        <w:ind w:left="-2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{BenATenCongTy}</w:t>
      </w:r>
    </w:p>
    <w:p w14:paraId="359BAAF1">
      <w:pPr>
        <w:spacing w:before="120" w:after="120" w:line="276" w:lineRule="auto"/>
        <w:ind w:left="-220" w:leftChars="-10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TRUNG TÂM HỘI NGHỊ - TIỆC CƯỚI QUEEN PLAZA KỲ HOÀ</w:t>
      </w:r>
    </w:p>
    <w:p w14:paraId="2FF9BEA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B13456A">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 {BenBDienThoai}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4D5AB0F3">
      <w:pPr>
        <w:spacing w:before="120" w:after="120" w:line="276" w:lineRule="auto"/>
        <w:ind w:left="-220" w:leftChars="-100"/>
        <w:jc w:val="both"/>
        <w:rPr>
          <w:rFonts w:ascii="Times New Roman" w:hAnsi="Times New Roman"/>
          <w:sz w:val="26"/>
          <w:szCs w:val="26"/>
        </w:rPr>
      </w:pPr>
      <w:r>
        <w:rPr>
          <w:rFonts w:ascii="Times New Roman" w:hAnsi="Times New Roman"/>
          <w:b/>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Ông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Chức Vụ</w:t>
      </w:r>
      <w:r>
        <w:rPr>
          <w:rFonts w:ascii="Times New Roman" w:hAnsi="Times New Roman"/>
          <w:sz w:val="26"/>
          <w:szCs w:val="26"/>
        </w:rPr>
        <w:t xml:space="preserve">: </w:t>
      </w:r>
    </w:p>
    <w:p w14:paraId="15A77019">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 xml:space="preserve">Nhân viên Phụ Trách: {BenANhanVienPhuTrach}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p>
    <w:p w14:paraId="2B433205">
      <w:pPr>
        <w:spacing w:before="120" w:after="120" w:line="276" w:lineRule="auto"/>
        <w:ind w:left="-220" w:leftChars="-100"/>
        <w:jc w:val="both"/>
        <w:rPr>
          <w:rFonts w:ascii="Times New Roman" w:hAnsi="Times New Roman"/>
          <w:bCs/>
          <w:sz w:val="26"/>
          <w:szCs w:val="26"/>
        </w:rPr>
      </w:pPr>
      <w:bookmarkStart w:id="0" w:name="_GoBack"/>
      <w:bookmarkEnd w:id="0"/>
      <w:r>
        <w:rPr>
          <w:rFonts w:ascii="Times New Roman" w:hAnsi="Times New Roman"/>
          <w:sz w:val="26"/>
          <w:szCs w:val="26"/>
        </w:rPr>
        <w:t xml:space="preserve">Số ĐT: {BenASDTNhanVien} </w:t>
      </w:r>
    </w:p>
    <w:p w14:paraId="4BE2B831">
      <w:pPr>
        <w:spacing w:before="120" w:after="120"/>
        <w:ind w:left="-220" w:leftChars="-100"/>
        <w:jc w:val="both"/>
        <w:rPr>
          <w:rFonts w:ascii="Times New Roman" w:hAnsi="Times New Roman"/>
          <w:sz w:val="26"/>
          <w:szCs w:val="26"/>
        </w:rPr>
      </w:pPr>
      <w:r>
        <w:rPr>
          <w:rFonts w:ascii="Times New Roman" w:hAnsi="Times New Roman"/>
          <w:sz w:val="26"/>
          <w:szCs w:val="26"/>
        </w:rPr>
        <w:t>&amp;</w:t>
      </w:r>
    </w:p>
    <w:p w14:paraId="53C1097D">
      <w:pPr>
        <w:spacing w:before="120" w:after="120" w:line="276" w:lineRule="auto"/>
        <w:ind w:left="-220" w:leftChars="-10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KHÁCH HÀNG</w:t>
      </w:r>
    </w:p>
    <w:p w14:paraId="2F95EA8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 xml:space="preserve">Tên đại diện: {BenBTenDaiDien}         </w:t>
      </w:r>
    </w:p>
    <w:p w14:paraId="25525EDC">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Tên Chủ Tiệc: {BenBTenChuTiec}</w:t>
      </w:r>
      <w:r>
        <w:rPr>
          <w:rFonts w:ascii="Times New Roman" w:hAnsi="Times New Roman"/>
          <w:sz w:val="26"/>
          <w:szCs w:val="26"/>
        </w:rPr>
        <w:tab/>
      </w:r>
      <w:r>
        <w:rPr>
          <w:rFonts w:ascii="Times New Roman" w:hAnsi="Times New Roman"/>
          <w:sz w:val="26"/>
          <w:szCs w:val="26"/>
        </w:rPr>
        <w:tab/>
      </w:r>
    </w:p>
    <w:p w14:paraId="640DEB65">
      <w:pPr>
        <w:spacing w:before="120" w:after="120" w:line="276" w:lineRule="auto"/>
        <w:ind w:left="-220" w:leftChars="-100"/>
        <w:jc w:val="both"/>
        <w:rPr>
          <w:rFonts w:ascii="Times New Roman" w:hAnsi="Times New Roman"/>
          <w:b/>
          <w:sz w:val="26"/>
          <w:szCs w:val="26"/>
        </w:rPr>
      </w:pPr>
      <w:r>
        <w:rPr>
          <w:rFonts w:ascii="Times New Roman" w:hAnsi="Times New Roman"/>
          <w:bCs/>
          <w:sz w:val="26"/>
          <w:szCs w:val="26"/>
        </w:rPr>
        <w:t>CCCD: {BenBCCCD}</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50C7ADB">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 {BenBDiaChi}</w:t>
      </w:r>
      <w:r>
        <w:rPr>
          <w:rFonts w:ascii="Times New Roman" w:hAnsi="Times New Roman"/>
          <w:sz w:val="26"/>
          <w:szCs w:val="26"/>
        </w:rPr>
        <w:tab/>
      </w:r>
      <w:r>
        <w:rPr>
          <w:rFonts w:ascii="Times New Roman" w:hAnsi="Times New Roman"/>
          <w:sz w:val="26"/>
          <w:szCs w:val="26"/>
        </w:rPr>
        <w:tab/>
      </w:r>
    </w:p>
    <w:p w14:paraId="4AD1CC05">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w:t>
      </w:r>
      <w:r>
        <w:rPr>
          <w:rFonts w:ascii="Times New Roman" w:hAnsi="Times New Roman"/>
          <w:sz w:val="26"/>
          <w:szCs w:val="26"/>
        </w:rPr>
        <w:tab/>
      </w:r>
    </w:p>
    <w:p w14:paraId="6D8CB8F3">
      <w:pPr>
        <w:spacing w:before="120" w:after="120" w:line="276" w:lineRule="auto"/>
        <w:ind w:left="-220" w:leftChars="-100"/>
        <w:jc w:val="both"/>
        <w:rPr>
          <w:rFonts w:ascii="Times New Roman" w:hAnsi="Times New Roman"/>
          <w:i/>
          <w:sz w:val="26"/>
          <w:szCs w:val="26"/>
        </w:rPr>
      </w:pPr>
      <w:r>
        <w:rPr>
          <w:rFonts w:ascii="Times New Roman" w:hAnsi="Times New Roman"/>
          <w:i/>
          <w:sz w:val="26"/>
          <w:szCs w:val="26"/>
        </w:rPr>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pPr>
        <w:pStyle w:val="5"/>
        <w:spacing w:after="0"/>
        <w:ind w:left="-220" w:leftChars="-100"/>
        <w:jc w:val="both"/>
        <w:rPr>
          <w:i/>
          <w:sz w:val="26"/>
          <w:szCs w:val="26"/>
          <w:lang w:val="en-US"/>
        </w:rPr>
      </w:pPr>
      <w:r>
        <w:rPr>
          <w:i/>
          <w:sz w:val="26"/>
          <w:szCs w:val="26"/>
        </w:rPr>
        <w:t>Bên A và Bên B thống nhất và ký hợp đồng đặt tiệc (“Hợp Đồng”) theo các điều khoản sau:</w:t>
      </w:r>
    </w:p>
    <w:p w14:paraId="7FDE691E">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1273908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Bên B đề nghị và Bên A đồng ý cung cấp dịch vụ tiệc cho Bên B, cụ thể như sau:</w:t>
      </w:r>
    </w:p>
    <w:p w14:paraId="767D0D0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Loại tiệc:</w:t>
      </w:r>
      <w:r>
        <w:rPr>
          <w:rFonts w:ascii="Times New Roman" w:hAnsi="Times New Roman"/>
          <w:b/>
          <w:sz w:val="26"/>
          <w:szCs w:val="26"/>
        </w:rPr>
        <w:t xml:space="preserve"> </w:t>
      </w:r>
      <w:r>
        <w:rPr>
          <w:rFonts w:hint="default" w:ascii="Times New Roman" w:hAnsi="Times New Roman"/>
          <w:b/>
          <w:sz w:val="26"/>
          <w:szCs w:val="26"/>
        </w:rPr>
        <w:t>{LoaiHinhSuKien}</w:t>
      </w:r>
    </w:p>
    <w:p w14:paraId="3669619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Ngày tiệc: Vào lúc {TiecGioBatDau}, ngày {TiecNgayDL} tháng {TiecThangDL} năm {TiecNamDL} (Dương lịch)</w:t>
      </w:r>
    </w:p>
    <w:p w14:paraId="03D0CF1F">
      <w:pPr>
        <w:pStyle w:val="19"/>
        <w:spacing w:before="120" w:after="120" w:line="360" w:lineRule="auto"/>
        <w:ind w:left="-220" w:leftChars="-100" w:firstLine="0"/>
        <w:rPr>
          <w:rFonts w:ascii="Times New Roman" w:hAnsi="Times New Roman"/>
          <w:sz w:val="26"/>
          <w:szCs w:val="26"/>
        </w:rPr>
      </w:pPr>
      <w:r>
        <w:rPr>
          <w:rFonts w:ascii="Times New Roman" w:hAnsi="Times New Roman"/>
          <w:sz w:val="26"/>
          <w:szCs w:val="26"/>
        </w:rPr>
        <w:t>Nhằm ngày {TiecNgayAL} tháng {TiecThangAL} năm {TiecNamAL} (Âm lịch)</w:t>
      </w:r>
    </w:p>
    <w:p w14:paraId="23BEBEB1">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Sảnh tiệc: {TiecSanhTiec}</w:t>
      </w:r>
    </w:p>
    <w:p w14:paraId="7CA68AC3">
      <w:pPr>
        <w:spacing w:before="120" w:after="120" w:line="360" w:lineRule="auto"/>
        <w:ind w:left="-220" w:leftChars="-100"/>
        <w:jc w:val="both"/>
        <w:rPr>
          <w:rFonts w:ascii="Times New Roman" w:hAnsi="Times New Roman"/>
          <w:sz w:val="26"/>
          <w:szCs w:val="26"/>
        </w:rPr>
      </w:pPr>
      <w:r>
        <w:rPr>
          <w:rFonts w:ascii="Times New Roman" w:hAnsi="Times New Roman"/>
          <w:bCs/>
          <w:sz w:val="26"/>
          <w:szCs w:val="26"/>
        </w:rPr>
        <w:t xml:space="preserve"> Quy mô phục vụ của sảnh: từ {SanhQuyMoMin} bàn đến {SanhQuyMoMax} bàn</w:t>
      </w:r>
    </w:p>
    <w:p w14:paraId="4A5100A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03326CC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2.1. Tại thời điểm ký hợp đồng, Bên B yêu cầu Bên A tổ chức tiệc nêu trên với quy mô cụ thể như sau:</w:t>
      </w:r>
    </w:p>
    <w:p w14:paraId="40836B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bàn tiệc chính thức: {TiecSoBanChinhThuc} </w:t>
      </w:r>
    </w:p>
    <w:p w14:paraId="0CC0E91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lượng bàn tặng: {TiecSoBanTang} </w:t>
      </w:r>
    </w:p>
    <w:p w14:paraId="5FBB206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Số lượng bàn dự phòng: {TiecSoBanDuPhong}</w:t>
      </w:r>
      <w:r>
        <w:rPr>
          <w:rFonts w:ascii="Times New Roman" w:hAnsi="Times New Roman"/>
          <w:b/>
          <w:bCs/>
          <w:sz w:val="26"/>
          <w:szCs w:val="26"/>
        </w:rPr>
        <w:t xml:space="preserve"> </w:t>
      </w:r>
    </w:p>
    <w:p w14:paraId="28D6CB5D">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khách trong một bàn: {TiecSoKhach1Ban} </w:t>
      </w:r>
    </w:p>
    <w:p w14:paraId="53446E40">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2.2. 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2.3. Giá bàn phát sinh được tính như sau:</w:t>
      </w:r>
    </w:p>
    <w:p w14:paraId="1F6A00BB">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pPr>
        <w:pStyle w:val="20"/>
        <w:spacing w:before="120" w:after="120" w:line="360" w:lineRule="auto"/>
        <w:ind w:left="-220"/>
        <w:jc w:val="both"/>
        <w:rPr>
          <w:rFonts w:ascii="Times New Roman" w:hAnsi="Times New Roman"/>
          <w:sz w:val="26"/>
          <w:szCs w:val="26"/>
        </w:rPr>
      </w:pPr>
      <w:r>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pPr>
        <w:spacing w:before="120" w:after="120" w:line="360" w:lineRule="auto"/>
        <w:ind w:left="-220" w:leftChars="-100" w:firstLine="220"/>
        <w:jc w:val="both"/>
        <w:rPr>
          <w:rFonts w:ascii="Times New Roman" w:hAnsi="Times New Roman"/>
          <w:sz w:val="26"/>
          <w:szCs w:val="26"/>
        </w:rPr>
      </w:pPr>
      <w:r>
        <w:rPr>
          <w:rFonts w:ascii="Times New Roman" w:hAnsi="Times New Roman"/>
          <w:sz w:val="26"/>
          <w:szCs w:val="26"/>
        </w:rPr>
        <w:t xml:space="preserve"> 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6496FF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3.1. Thực đơn đặt tiệc có ít nhất </w:t>
      </w:r>
      <w:r>
        <w:rPr>
          <w:rFonts w:ascii="Times New Roman" w:hAnsi="Times New Roman"/>
          <w:b/>
          <w:sz w:val="26"/>
          <w:szCs w:val="26"/>
        </w:rPr>
        <w:t>06</w:t>
      </w:r>
      <w:r>
        <w:rPr>
          <w:rFonts w:ascii="Times New Roman" w:hAnsi="Times New Roman"/>
          <w:sz w:val="26"/>
          <w:szCs w:val="26"/>
        </w:rPr>
        <w:t xml:space="preserve"> món ăn, gồm </w:t>
      </w:r>
      <w:r>
        <w:rPr>
          <w:rFonts w:ascii="Times New Roman" w:hAnsi="Times New Roman"/>
          <w:b/>
          <w:sz w:val="26"/>
          <w:szCs w:val="26"/>
        </w:rPr>
        <w:t>05</w:t>
      </w:r>
      <w:r>
        <w:rPr>
          <w:rFonts w:ascii="Times New Roman" w:hAnsi="Times New Roman"/>
          <w:sz w:val="26"/>
          <w:szCs w:val="26"/>
        </w:rPr>
        <w:t xml:space="preserve"> món mặn và </w:t>
      </w:r>
      <w:r>
        <w:rPr>
          <w:rFonts w:ascii="Times New Roman" w:hAnsi="Times New Roman"/>
          <w:b/>
          <w:sz w:val="26"/>
          <w:szCs w:val="26"/>
        </w:rPr>
        <w:t>01</w:t>
      </w:r>
      <w:r>
        <w:rPr>
          <w:rFonts w:ascii="Times New Roman" w:hAnsi="Times New Roman"/>
          <w:sz w:val="26"/>
          <w:szCs w:val="26"/>
        </w:rPr>
        <w:t xml:space="preserve"> món tráng miệng.</w:t>
      </w:r>
    </w:p>
    <w:p w14:paraId="4A58191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3.2. Chậm nhất </w:t>
      </w:r>
      <w:r>
        <w:rPr>
          <w:rFonts w:ascii="Times New Roman" w:hAnsi="Times New Roman"/>
          <w:b/>
          <w:bCs/>
          <w:sz w:val="26"/>
          <w:szCs w:val="26"/>
        </w:rPr>
        <w:t>30</w:t>
      </w:r>
      <w:r>
        <w:rPr>
          <w:rFonts w:ascii="Times New Roman" w:hAnsi="Times New Roman"/>
          <w:sz w:val="26"/>
          <w:szCs w:val="26"/>
        </w:rPr>
        <w:t xml:space="preserve"> ngày trước ngày tổ chức tiệc quy định tại Điều 1, Bên B phải liên hệ Bên A để lựa chọn và xác nhận thực đơn tiệc. Thực đơn đãi tiệc có thể được thay đổi nếu Bên B thông báo ít nhất 10 ngày trước ngày đãi tiệc với điều kiện giá thực đơn, dịch vụ sau khi điều chỉnh phải bằng hoặc cao hơn giá đã ký trong Hợp đồng hoặc các phụ lục đã được hai bên xác nhận.</w:t>
      </w:r>
    </w:p>
    <w:p w14:paraId="736FD09E">
      <w:pPr>
        <w:rPr>
          <w:rFonts w:ascii="Times New Roman" w:hAnsi="Times New Roman"/>
          <w:sz w:val="26"/>
          <w:szCs w:val="26"/>
        </w:rPr>
      </w:pPr>
    </w:p>
    <w:p w14:paraId="4990227B">
      <w:pPr>
        <w:tabs>
          <w:tab w:val="left" w:pos="6527"/>
        </w:tabs>
        <w:rPr>
          <w:rFonts w:ascii="Times New Roman" w:hAnsi="Times New Roman"/>
          <w:sz w:val="26"/>
          <w:szCs w:val="26"/>
        </w:rPr>
      </w:pPr>
      <w:r>
        <w:rPr>
          <w:rFonts w:ascii="Times New Roman" w:hAnsi="Times New Roman"/>
          <w:sz w:val="26"/>
          <w:szCs w:val="26"/>
        </w:rPr>
        <w:tab/>
      </w:r>
    </w:p>
    <w:p w14:paraId="30C74519">
      <w:pPr>
        <w:pStyle w:val="18"/>
        <w:tabs>
          <w:tab w:val="left" w:pos="1080"/>
        </w:tabs>
        <w:spacing w:before="20" w:after="20" w:line="360" w:lineRule="auto"/>
        <w:ind w:left="-220" w:leftChars="-100" w:right="-28"/>
        <w:jc w:val="both"/>
        <w:rPr>
          <w:rFonts w:ascii="Times New Roman" w:hAnsi="Times New Roman"/>
          <w:b w:val="0"/>
          <w:sz w:val="26"/>
          <w:szCs w:val="26"/>
        </w:rPr>
      </w:pPr>
      <w:r>
        <w:rPr>
          <w:rFonts w:ascii="Times New Roman" w:hAnsi="Times New Roman"/>
          <w:b w:val="0"/>
          <w:sz w:val="26"/>
          <w:szCs w:val="26"/>
        </w:rPr>
        <w:t>3.3. Trong trường hợp tiệc sử dụng bàn dự phòng hoặc bàn phát sinh, thực đơn những bàn tiệc dự phòng/bàn phát sinh có thể không giống với thực đơn bàn tiệc chính thức. Khi đó, Bên A chỉ chuẩn bị thực đơn của bàn dự phòng/phát sinh khi có sự xác nhận của Bên B.</w:t>
      </w:r>
    </w:p>
    <w:p w14:paraId="67B29D55">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4A4AAA22">
      <w:pPr>
        <w:tabs>
          <w:tab w:val="left" w:pos="9270"/>
        </w:tabs>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Pr>
          <w:rFonts w:ascii="Times New Roman" w:hAnsi="Times New Roman"/>
          <w:color w:val="EE0000"/>
          <w:sz w:val="26"/>
          <w:szCs w:val="26"/>
        </w:rPr>
        <w:t>Giá bàn tiệc chưa bao gồm thuế VAT.</w:t>
      </w:r>
    </w:p>
    <w:p w14:paraId="2D6DB58A">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Nước uống: Bia, nước ngọt và nước uống khác được tính theo số lượng thực tế sử dụng, căn cứ báo giá tại thời điểm đãi tiệc hoặc theo chương trình khuyến mãi ở phụ lục đính kèm. 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 xml:space="preserve">Phí phục vụ: </w:t>
      </w:r>
      <w:r>
        <w:rPr>
          <w:rFonts w:ascii="Times New Roman" w:hAnsi="Times New Roman"/>
          <w:b/>
          <w:sz w:val="26"/>
          <w:szCs w:val="26"/>
        </w:rPr>
        <w:t>180.000vnđ/ bàn tiệc</w:t>
      </w:r>
      <w:r>
        <w:rPr>
          <w:rFonts w:ascii="Times New Roman" w:hAnsi="Times New Roman"/>
          <w:sz w:val="26"/>
          <w:szCs w:val="26"/>
        </w:rPr>
        <w:t>;</w:t>
      </w:r>
    </w:p>
    <w:p w14:paraId="0853465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bCs/>
          <w:sz w:val="26"/>
          <w:szCs w:val="26"/>
        </w:rPr>
        <w:t>Phí phục vụ rượu, nước nếu bên B được Bên A cho phép đưa vào (nếu có):</w:t>
      </w:r>
    </w:p>
    <w:p w14:paraId="7DBE76C1">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mạnh: 300.000vnđ/chai 750ml</w:t>
      </w:r>
    </w:p>
    <w:p w14:paraId="0EDED3AF">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Vang hoặc Champagne: 200.000vnđ/chai 750ml</w:t>
      </w:r>
    </w:p>
    <w:p w14:paraId="156BA6E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khoản phí dịch vụ khác (nếu có) theo yêu cầu của Bên B hoặc ngoài phạm vi dịch vụ được ghi nhận trong hợp đồng sẽ được hai bên xác nhận và thanh toán bổ sung theo thực tế phát sinh.</w:t>
      </w:r>
    </w:p>
    <w:p w14:paraId="5DEFE7CE">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pPr>
        <w:pStyle w:val="18"/>
        <w:spacing w:before="120" w:after="120" w:line="360" w:lineRule="auto"/>
        <w:ind w:left="-220" w:leftChars="-10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2C2D694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5.1. Phương thức thanh toán: </w:t>
      </w:r>
    </w:p>
    <w:p w14:paraId="6B79873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Cs/>
          <w:sz w:val="26"/>
          <w:szCs w:val="26"/>
        </w:rPr>
        <w:tab/>
      </w:r>
      <w:r>
        <w:rPr>
          <w:rFonts w:ascii="Times New Roman" w:hAnsi="Times New Roman"/>
          <w:sz w:val="26"/>
          <w:szCs w:val="26"/>
          <w:u w:val="single"/>
        </w:rPr>
        <w:t>Lần 1</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Đặt cọc giữ chỗ</w:t>
      </w:r>
    </w:p>
    <w:p w14:paraId="652D6D76">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Bên B thanh toán cho Bên A khoản tiền đặt cọc giữ chỗ/sảnh tổ chức tiệc là: {CocLan1SoTien} VNĐ</w:t>
      </w:r>
      <w:r>
        <w:rPr>
          <w:rFonts w:ascii="Times New Roman" w:hAnsi="Times New Roman"/>
          <w:bCs/>
          <w:sz w:val="26"/>
          <w:szCs w:val="26"/>
        </w:rPr>
        <w:t xml:space="preserve"> (Bằng chữ: {CocLan1BangChu}) </w:t>
      </w:r>
      <w:r>
        <w:rPr>
          <w:rFonts w:ascii="Times New Roman" w:hAnsi="Times New Roman"/>
          <w:b w:val="0"/>
          <w:bCs/>
          <w:sz w:val="26"/>
          <w:szCs w:val="26"/>
        </w:rPr>
        <w:t>ngay sau khi ký Hợp đồng vào ngày {CocNgay} tháng {CocThang} năm {CocNam}</w:t>
      </w:r>
      <w:r>
        <w:rPr>
          <w:rFonts w:ascii="Times New Roman" w:hAnsi="Times New Roman"/>
          <w:sz w:val="26"/>
          <w:szCs w:val="26"/>
        </w:rPr>
        <w:t xml:space="preserve"> </w:t>
      </w:r>
    </w:p>
    <w:p w14:paraId="19F9724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xác nhận việc giữ chỗ/sảnh tổ chức tiệc và thực hiện Hợp đồng. Việc hoàn trả hoặc xử lý khoản tiền đặt cọc được thực hiện theo quy định tại Điều 6 của Hợp đồng này. Khoản tiệc cọc được khấu trừ vào tổng giá trị thanh toán khi quyết toán Hợp đồng.</w:t>
      </w:r>
    </w:p>
    <w:p w14:paraId="04542690">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2</w:t>
      </w:r>
      <w:r>
        <w:rPr>
          <w:rFonts w:ascii="Times New Roman" w:hAnsi="Times New Roman"/>
          <w:b w:val="0"/>
          <w:bCs/>
          <w:sz w:val="26"/>
          <w:szCs w:val="26"/>
        </w:rPr>
        <w:t xml:space="preserve">: </w:t>
      </w:r>
      <w:r>
        <w:rPr>
          <w:rFonts w:ascii="Times New Roman" w:hAnsi="Times New Roman"/>
          <w:sz w:val="26"/>
          <w:szCs w:val="26"/>
        </w:rPr>
        <w:t>Đặt cọc thực hiện Hợp đồng</w:t>
      </w:r>
    </w:p>
    <w:p w14:paraId="1ACD347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 xml:space="preserve">Trước ngày đãi tiệc </w:t>
      </w:r>
      <w:r>
        <w:rPr>
          <w:rFonts w:ascii="Times New Roman" w:hAnsi="Times New Roman"/>
          <w:bCs/>
          <w:sz w:val="26"/>
          <w:szCs w:val="26"/>
        </w:rPr>
        <w:t>30</w:t>
      </w:r>
      <w:r>
        <w:rPr>
          <w:rFonts w:ascii="Times New Roman" w:hAnsi="Times New Roman"/>
          <w:b w:val="0"/>
          <w:bCs/>
          <w:sz w:val="26"/>
          <w:szCs w:val="26"/>
        </w:rPr>
        <w:t xml:space="preserve"> ngày nêu tại Điều 3.2, Bên B phải thanh toán tiếp cho Bên A một số tiền tương đương 50% tổng giá trị hợp đồng tạm tính tại thời điểm thanh toán.</w:t>
      </w:r>
    </w:p>
    <w:p w14:paraId="19275269">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Thanh toán giá trị còn lại</w:t>
      </w:r>
    </w:p>
    <w:p w14:paraId="4D618E1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Ngay sau khi hai bên hoàn tất việc xác nhận số lượng bàn thực tế, đồ uống thực tế sử dụng và các khoản phát sinh, Bên B thanh toán toàn bộ giá trị còn lại của Hợp đồng và các khoản phát sinh thực tế (nếu có)</w:t>
      </w:r>
    </w:p>
    <w:p w14:paraId="0E6504F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5.2. Đồng tiền và hình thức thanh toán: </w:t>
      </w:r>
    </w:p>
    <w:p w14:paraId="1B399ED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Đồng tiền thanh toán:  Việt Nam đồng.</w:t>
      </w:r>
    </w:p>
    <w:p w14:paraId="2619EFA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Hình thức thanh toán: Chuyển khoản hoặc tiền mặt</w:t>
      </w:r>
    </w:p>
    <w:p w14:paraId="0C8EF8B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 xml:space="preserve">5.3. Căn cứ quyết toán: </w:t>
      </w:r>
      <w:r>
        <w:rPr>
          <w:rFonts w:ascii="Times New Roman" w:hAnsi="Times New Roman"/>
          <w:b w:val="0"/>
          <w:bCs/>
          <w:sz w:val="26"/>
          <w:szCs w:val="26"/>
        </w:rPr>
        <w:t>Giá trị quyết toán cuối cùng của Hợp đồng được xác định trên cơ sở:</w:t>
      </w:r>
    </w:p>
    <w:p w14:paraId="615F1B2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r>
        <w:rPr>
          <w:rFonts w:ascii="Times New Roman" w:hAnsi="Times New Roman"/>
          <w:b w:val="0"/>
          <w:bCs/>
          <w:sz w:val="26"/>
          <w:szCs w:val="26"/>
        </w:rPr>
        <w:t>Số lượng bàn tiệc thực tế (bao gồm bàn chính thức, bàn dự phòng và bàn phát sinh);</w:t>
      </w:r>
    </w:p>
    <w:p w14:paraId="40DAC1E5">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Đồ uống thực tế sử dụng;</w:t>
      </w:r>
    </w:p>
    <w:p w14:paraId="5F023A8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khoản phí dịch vụ phát sinh theo Hợp đồng;</w:t>
      </w:r>
    </w:p>
    <w:p w14:paraId="0E6D83F3">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chương trình khuyến mãi, ưu đãi được áp dụng theo Hợp đồng và Phụ lục Hợp đồng.</w:t>
      </w:r>
    </w:p>
    <w:p w14:paraId="4D235D46">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Biên bản giao nhận tiệc và các chứng từ liên quan (nếu có) là căn cứ để hai bên thực hiện quyết toán và thanh toán giá trị còn lại của Hợp đồng.</w:t>
      </w:r>
    </w:p>
    <w:p w14:paraId="2F87620A">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Trường hợp người đại diện của Bên B hoặc người được Bên B chỉ định ký xác nhận tại Biên bản giao nhận tiệc và các chứng từ liên quan (nếu có) thì các xác nhận đó có giá trị ràng buộc đối với bên B và là căn cứ để bên A thực hiện quyết toán theo quy định của Hợp đồng.</w:t>
      </w:r>
    </w:p>
    <w:p w14:paraId="63E86C2E">
      <w:pPr>
        <w:pStyle w:val="18"/>
        <w:numPr>
          <w:ilvl w:val="12"/>
          <w:numId w:val="0"/>
        </w:numPr>
        <w:spacing w:before="120" w:after="120" w:line="360" w:lineRule="auto"/>
        <w:ind w:left="-220" w:leftChars="-10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1B95FB72">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6.1. Hủy tiệc</w:t>
      </w:r>
    </w:p>
    <w:p w14:paraId="26926E44">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6.2. Chuyển tiệc sau khi thanh toán đợt 1</w:t>
      </w:r>
    </w:p>
    <w:p w14:paraId="12D30CC3">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Sau khi thanh toán đợt 1 theo Điều 5.1, Bên B có nhu cầu thay đổi ngày tổ chức tiệc phải thông báo cho Bên A bằng điện thoại, email hoặc trực tiếp và được Bên A chấp thuận.</w:t>
      </w:r>
    </w:p>
    <w:p w14:paraId="7E3CA0C2">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Ngày tổ chức mới phải đáp ứng các điều kiện sau:</w:t>
      </w:r>
    </w:p>
    <w:p w14:paraId="208843E4">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Không vượt quá 06 (sáu) tháng kể từ ngày tổ chức tiệc ban đầu;</w:t>
      </w:r>
    </w:p>
    <w:p w14:paraId="0A19214F">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Phù hợp với khả năng sắp xếp của Bên A</w:t>
      </w:r>
    </w:p>
    <w:p w14:paraId="0C5C4AFC">
      <w:pPr>
        <w:pStyle w:val="18"/>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Trong trường hợp được chấp thuận chuyển tiệc:</w:t>
      </w:r>
    </w:p>
    <w:p w14:paraId="42F091B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phải thanh toán khoản đặt cọc giữ chỗ cho ngày tiệc mới theo chính sách của Bên A tại thời điểm chuyển tiệc;</w:t>
      </w:r>
    </w:p>
    <w:p w14:paraId="7D35B10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Khoản tiền Bên B đã thanh toán trước đó sẽ được cấn trừ vào giá trị tiệc của ngày tiệc mới khi và chỉ khi Bên A ký được Hợp đồng với khách hàng khác thay thế và tiệc của khách hàng đó đã được tổ chức thành công tại đúng thời gian và sảnh tiệc mà Bên B đã chuyển.</w:t>
      </w:r>
    </w:p>
    <w:p w14:paraId="6BB431F6">
      <w:pPr>
        <w:pStyle w:val="18"/>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6.3. Chuyển tiệc sau khi thanh toán đợt 2</w:t>
      </w:r>
    </w:p>
    <w:p w14:paraId="147C09AB">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Sau khi thanh toán đợt 2 theo Điều 5.1, nếu Bên B yêu cầu chuyển tiệc thì áp dụng tương tự quy định tại Điều 6.2.</w:t>
      </w:r>
    </w:p>
    <w:p w14:paraId="44E06E21">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Trường hợp Bên A không ký được Hợp đồng với khách hàng thay thế thì:</w:t>
      </w:r>
    </w:p>
    <w:p w14:paraId="0D3346D4">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toàn bộ khoản đặt cọc đợt 1;</w:t>
      </w:r>
    </w:p>
    <w:p w14:paraId="22EB98D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30% giá trị khoản thanh toán đợt 2.</w:t>
      </w:r>
    </w:p>
    <w:p w14:paraId="582E6F69">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Phần còn lại (nếu có) được cấn trừ vào giá trị tiệc tổ chức vào ngày tiệc mới.</w:t>
      </w:r>
    </w:p>
    <w:p w14:paraId="553E389D">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 xml:space="preserve">6.4. Số lần chuyển tiệc </w:t>
      </w:r>
    </w:p>
    <w:p w14:paraId="2D082E1D">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xml:space="preserve">Số lần yêu cầu chuyển tiệc tối đa: 01 lần, trừ trường hợp có sự đồng ý của Bên A. </w:t>
      </w:r>
    </w:p>
    <w:p w14:paraId="7FFF5440">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6.5. Trường hợp Bên B không sử dụng dịch vụ</w:t>
      </w:r>
    </w:p>
    <w:p w14:paraId="46008FFA">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đến ngày tổ chức tiệc mà Bên B không sử dụng dịch vụ theo quy định tại Hợp đồng và không thông báo trước cho Bên A thì ngoài trách nhiệm phải thanh toán đủ giá trị bàn tiệc và dịch vụ cho Bên A, Bên B còn phải chịu mọi chi phí phát sinh mà Bên A đã thực hiện để chuẩn bị tiệc.</w:t>
      </w:r>
    </w:p>
    <w:p w14:paraId="7B92A3B0">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pPr>
        <w:pStyle w:val="18"/>
        <w:numPr>
          <w:ilvl w:val="12"/>
          <w:numId w:val="0"/>
        </w:numPr>
        <w:spacing w:before="120" w:after="120" w:line="360" w:lineRule="auto"/>
        <w:ind w:left="-220" w:leftChars="-100"/>
        <w:jc w:val="both"/>
        <w:rPr>
          <w:rFonts w:ascii="Times New Roman" w:hAnsi="Times New Roman"/>
          <w:b w:val="0"/>
          <w:sz w:val="26"/>
          <w:szCs w:val="26"/>
        </w:rPr>
      </w:pPr>
    </w:p>
    <w:p w14:paraId="2DDDD951">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32E6B68B">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6250DF9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đầy đủ nghĩa vụ thanh toán theo quy định tại Hợp đồng này.</w:t>
      </w:r>
    </w:p>
    <w:p w14:paraId="58DC04C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và khách mời của Bên B phải tuân thủ các quy định về an ninh, an toàn, phòng cháy chữa cháy và các quy định khác của Bên A trong suốt quá trình tham dự tiệc.</w:t>
      </w:r>
    </w:p>
    <w:p w14:paraId="6EE7F1D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Chậm nhất 10 (mười) ngày trước ngày tổ chức tiệc, Bên B phải cung cấp cho Bên A đầy đủ thông tin của đơn vị thi công và dịch vụ bên ngoài, bao gồm nhưng không giới hạn:</w:t>
      </w:r>
    </w:p>
    <w:p w14:paraId="07625EE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Tên đơn vị thực hiện;</w:t>
      </w:r>
    </w:p>
    <w:p w14:paraId="0DFA398E">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Người đại diện và thông tin liên hệ;</w:t>
      </w:r>
    </w:p>
    <w:p w14:paraId="0B65ED1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hạng mục thi công;</w:t>
      </w:r>
    </w:p>
    <w:p w14:paraId="60E392C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Bản thiết kế, hình ảnh phối cảnh, hình ảnh trang trí, bản vẽ kỹ thuật (nếu có);</w:t>
      </w:r>
    </w:p>
    <w:p w14:paraId="1271E3F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thiết bị, vật tư, hàng hóa mang vào địa điểm tổ chức tiệc;</w:t>
      </w:r>
    </w:p>
    <w:p w14:paraId="4A9E83C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Thời gian thi công, lắp đặt và tháo dỡ.</w:t>
      </w:r>
    </w:p>
    <w:p w14:paraId="03736BE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pPr>
        <w:pStyle w:val="18"/>
        <w:spacing w:before="120" w:after="120" w:line="360" w:lineRule="auto"/>
        <w:ind w:left="-220" w:leftChars="-10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4B98C27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vệ sinh an toàn thực phẩm theo quy định của pháp luật.</w:t>
      </w:r>
    </w:p>
    <w:p w14:paraId="29C5672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2AA6ACA">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8.1. Bất khả kháng</w:t>
      </w:r>
    </w:p>
    <w:p w14:paraId="0ECFB09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được miễn trừ trách nhiệm đối với việc không thực hiện hoặc chậm thực hiện nghĩa vụ theo Hợp đồng nếu nguyên nhân xuất phát từ sự kiện bất khả kháng.</w:t>
      </w:r>
    </w:p>
    <w:p w14:paraId="50B61EDE">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Sự kiện bất khả kháng là những sự kiện xảy ra khách quan, không thể lường trước và không thể khắc phục mặc dù đã áp dụng mọi biện pháp cần thiết và khả năng cho phép, bao gồm nhưng 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Bên chịu ảnh hưởng của sự kiện bất khả kháng phải thông báo cho Bên còn lại bằng văn bản trong vòng 03 (ba) ngày làm việc kể từ khi xảy ra sự kiện bất khả kháng.</w:t>
      </w:r>
    </w:p>
    <w:p w14:paraId="08472349">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sẽ thiện chí thương lượng để tiếp tục thực hiện Hợp đồng hoặc thỏa thuận chuyển ngày tổ chức tiệc.</w:t>
      </w:r>
    </w:p>
    <w:p w14:paraId="2C2153F4">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8.2. Hiệu lực từng phần</w:t>
      </w:r>
    </w:p>
    <w:p w14:paraId="39FF8A3A">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Các Bên sẽ thiện chí thương lượng để sửa đổi hoặc thay thế điều khoản bị vô hiệu bằng điều khoản hợp pháp và phù hợp nhất với mục đích ban đầu của Hợp đồng.</w:t>
      </w:r>
    </w:p>
    <w:p w14:paraId="47865E3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8.3. Giải quyết tranh chấp</w:t>
      </w:r>
    </w:p>
    <w:p w14:paraId="08D88C1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Mọi tranh chấp phát sinh từ hoặc liên quan đến Hợp đồng này trước hết sẽ được các Bên ưu tiên giải quyết thông qua thương lượng và hòa giải trên tinh thần hợp tác.</w:t>
      </w:r>
    </w:p>
    <w:p w14:paraId="768325B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8.4. Luật áp dụng: </w:t>
      </w:r>
      <w:r>
        <w:rPr>
          <w:rFonts w:ascii="Times New Roman" w:hAnsi="Times New Roman"/>
          <w:b w:val="0"/>
          <w:bCs/>
          <w:sz w:val="26"/>
          <w:szCs w:val="26"/>
        </w:rPr>
        <w:t>Hợp đồng này được điều chỉnh và giải thích theo pháp luật Việt Nam.</w:t>
      </w:r>
    </w:p>
    <w:p w14:paraId="2DE650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8.5. Chấm dứt Hợp đồng</w:t>
      </w:r>
    </w:p>
    <w:p w14:paraId="77B3B420">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này chấm dứt khi:</w:t>
      </w:r>
    </w:p>
    <w:p w14:paraId="4412378C">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Tiệc đã được tổ chức hoàn tất;</w:t>
      </w:r>
    </w:p>
    <w:p w14:paraId="09E9BC85">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Các Bên đã hoàn thành toàn bộ quyền và nghĩa vụ theo Hợp đồng;</w:t>
      </w:r>
    </w:p>
    <w:p w14:paraId="66F1F8CE">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Bên B đã hoàn thành mọi nghĩa vụ thanh toán đối với Bên A.</w:t>
      </w:r>
    </w:p>
    <w:p w14:paraId="6BE2E36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Việc chấm dứt Hợp đồng không làm ảnh hưởng đến các quyền yêu cầu bồi thường thiệt hại, giải quyết tranh chấp và các quyền, nghĩa vụ khác phát sinh trước thời điểm chấm dứt Hợp đồng.</w:t>
      </w:r>
    </w:p>
    <w:p w14:paraId="7A3AEE2F">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8.6. Hiệu lực Hợp đồng</w:t>
      </w:r>
    </w:p>
    <w:p w14:paraId="41D0865F">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có hiệu lực kể từ ngày được đại diện hợp pháp của hai Bên ký kết và Bên A nhận được khoản tiền đặt cọc theo quy định tại Điều 5 của Hợp đồng.</w:t>
      </w:r>
    </w:p>
    <w:p w14:paraId="12E3CC5D">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được lập thành 03 (ba) bản gốc có giá trị pháp lý như nhau, Bên A giữ 02 (hai) bản và Bên B giữ 01 (một) bản để thực hiện.</w:t>
      </w:r>
    </w:p>
    <w:p w14:paraId="4A8E25EE">
      <w:pPr>
        <w:pStyle w:val="18"/>
        <w:spacing w:before="120" w:after="120" w:line="360" w:lineRule="auto"/>
        <w:ind w:left="-220" w:leftChars="-100"/>
        <w:jc w:val="both"/>
        <w:rPr>
          <w:rFonts w:ascii="Times New Roman" w:hAnsi="Times New Roman"/>
          <w:b/>
          <w:sz w:val="26"/>
          <w:szCs w:val="26"/>
          <w:lang w:val="fr-FR"/>
        </w:rPr>
      </w:pPr>
      <w:r>
        <w:rPr>
          <w:rFonts w:ascii="Times New Roman" w:hAnsi="Times New Roman"/>
          <w:b/>
          <w:sz w:val="26"/>
          <w:szCs w:val="26"/>
          <w:lang w:val="fr-FR"/>
        </w:rPr>
        <w:t>DỊCH VỤ ĐƯỢC KHUYẾN MÃI VÀ CHƯƠNG TRÌNH ƯU ĐÃI ÁP DỤNG</w:t>
      </w:r>
      <w:r>
        <w:rPr>
          <w:rFonts w:ascii="Times New Roman" w:hAnsi="Times New Roman"/>
          <w:b/>
          <w:sz w:val="26"/>
          <w:szCs w:val="26"/>
          <w:lang w:val="fr-FR"/>
        </w:rPr>
        <w:br w:type="textWrapping"/>
      </w:r>
    </w:p>
    <w:p w14:paraId="4A51F9F2">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5EE94A0">
      <w:pPr>
        <w:numPr>
          <w:ilvl w:val="0"/>
          <w:numId w:val="8"/>
        </w:numPr>
        <w:spacing w:before="120" w:after="120" w:line="240" w:lineRule="auto"/>
        <w:ind w:left="-220" w:leftChars="-100" w:firstLine="0"/>
        <w:rPr>
          <w:rFonts w:ascii="Times New Roman" w:hAnsi="Times New Roman"/>
          <w:b/>
          <w:sz w:val="26"/>
          <w:szCs w:val="26"/>
          <w:lang w:val="fr-FR"/>
        </w:rPr>
      </w:pPr>
      <w:r>
        <w:rPr>
          <w:rFonts w:ascii="Times New Roman" w:hAnsi="Times New Roman"/>
          <w:b/>
          <w:sz w:val="26"/>
          <w:szCs w:val="26"/>
          <w:lang w:val="fr-FR"/>
        </w:rPr>
        <w:t xml:space="preserve">DỊCH VỤ KHUYẾN MÃI _KM 01.10.2025 ĐƯỢC ÁP DỤNG :                                                                                                                                                                                                                                                                                                                                                                                                 </w:t>
      </w:r>
    </w:p>
    <w:tbl>
      <w:tblPr>
        <w:tblStyle w:val="3"/>
        <w:tblW w:w="98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813"/>
      </w:tblGrid>
      <w:tr w14:paraId="2AA07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966" w:hRule="atLeast"/>
          <w:jc w:val="center"/>
        </w:trPr>
        <w:tc>
          <w:tcPr>
            <w:tcW w:w="9813" w:type="dxa"/>
            <w:vAlign w:val="center"/>
          </w:tcPr>
          <w:p w14:paraId="3FB8ABB8">
            <w:pPr>
              <w:pStyle w:val="18"/>
              <w:numPr>
                <w:ilvl w:val="0"/>
                <w:numId w:val="9"/>
              </w:numPr>
              <w:suppressAutoHyphens/>
              <w:autoSpaceDE w:val="0"/>
              <w:autoSpaceDN w:val="0"/>
              <w:adjustRightInd w:val="0"/>
              <w:spacing w:before="120" w:after="120" w:line="360" w:lineRule="auto"/>
              <w:ind w:left="-220" w:leftChars="-100" w:right="-96" w:firstLine="0"/>
              <w:jc w:val="both"/>
              <w:textAlignment w:val="center"/>
              <w:rPr>
                <w:rFonts w:ascii="Times New Roman" w:hAnsi="Times New Roman"/>
                <w:spacing w:val="-1"/>
                <w:sz w:val="26"/>
                <w:szCs w:val="26"/>
              </w:rPr>
            </w:pPr>
            <w:r>
              <w:rPr>
                <w:rFonts w:ascii="Times New Roman" w:hAnsi="Times New Roman"/>
                <w:b/>
                <w:sz w:val="26"/>
                <w:szCs w:val="26"/>
                <w:lang w:val="fr-FR"/>
              </w:rPr>
              <w:t>{DSKhuyenMai}</w:t>
            </w:r>
          </w:p>
        </w:tc>
      </w:tr>
    </w:tbl>
    <w:p w14:paraId="69A326B2">
      <w:pPr>
        <w:tabs>
          <w:tab w:val="left" w:pos="540"/>
        </w:tabs>
        <w:spacing w:before="120" w:after="120" w:line="240" w:lineRule="auto"/>
        <w:rPr>
          <w:rFonts w:ascii="Times New Roman" w:hAnsi="Times New Roman"/>
          <w:b/>
          <w:sz w:val="26"/>
          <w:szCs w:val="26"/>
        </w:rPr>
      </w:pPr>
    </w:p>
    <w:p w14:paraId="33106C55">
      <w:pPr>
        <w:numPr>
          <w:ilvl w:val="0"/>
          <w:numId w:val="8"/>
        </w:numPr>
        <w:tabs>
          <w:tab w:val="left" w:pos="540"/>
        </w:tabs>
        <w:spacing w:before="120" w:after="120" w:line="360" w:lineRule="auto"/>
        <w:ind w:left="-220" w:leftChars="-100" w:firstLine="0"/>
        <w:rPr>
          <w:rFonts w:ascii="Times New Roman" w:hAnsi="Times New Roman"/>
          <w:b/>
          <w:sz w:val="26"/>
          <w:szCs w:val="26"/>
        </w:rPr>
      </w:pPr>
      <w:r>
        <w:rPr>
          <w:rFonts w:ascii="Times New Roman" w:hAnsi="Times New Roman"/>
          <w:b/>
          <w:sz w:val="26"/>
          <w:szCs w:val="26"/>
        </w:rPr>
        <w:t>CÁC ĐIỀU KHOẢN BỔ SUNG KHÁC (NẾU CÓ)</w:t>
      </w:r>
      <w:r>
        <w:rPr>
          <w:rFonts w:ascii="Times New Roman" w:hAnsi="Times New Roman"/>
          <w:b/>
          <w:sz w:val="26"/>
          <w:szCs w:val="26"/>
        </w:rPr>
        <w:br w:type="textWrapping"/>
      </w:r>
      <w:r>
        <w:rPr>
          <w:rFonts w:ascii="Times New Roman" w:hAnsi="Times New Roman"/>
          <w:b/>
          <w:sz w:val="26"/>
          <w:szCs w:val="26"/>
        </w:rPr>
        <w:t>{DieuKhoanBoSung}</w:t>
      </w:r>
      <w:r>
        <w:rPr>
          <w:rFonts w:ascii="Times New Roman" w:hAnsi="Times New Roman"/>
          <w:b/>
          <w:sz w:val="26"/>
          <w:szCs w:val="26"/>
        </w:rPr>
        <w:tab/>
      </w:r>
    </w:p>
    <w:p w14:paraId="413E08AE">
      <w:pPr>
        <w:tabs>
          <w:tab w:val="left" w:pos="0"/>
        </w:tabs>
        <w:spacing w:before="120" w:after="120"/>
        <w:ind w:left="-220" w:leftChars="-100"/>
        <w:rPr>
          <w:rFonts w:ascii="Times New Roman" w:hAnsi="Times New Roman"/>
          <w:b/>
          <w:sz w:val="26"/>
          <w:szCs w:val="26"/>
        </w:rPr>
      </w:pPr>
      <w:r>
        <w:rPr>
          <w:rFonts w:ascii="Times New Roman" w:hAnsi="Times New Roman"/>
          <w:b/>
          <w:sz w:val="26"/>
          <w:szCs w:val="26"/>
        </w:rPr>
        <w:t>XÁC NHẬN CỦA ĐẠI DIỆN CÁC BÊN</w:t>
      </w:r>
    </w:p>
    <w:p w14:paraId="03DFC9F7">
      <w:pPr>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3B53B889">
      <w:pPr>
        <w:tabs>
          <w:tab w:val="left" w:pos="6015"/>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15DB3544">
      <w:pPr>
        <w:tabs>
          <w:tab w:val="left" w:pos="6015"/>
        </w:tabs>
        <w:spacing w:before="120" w:after="120"/>
        <w:ind w:left="-220" w:leftChars="-100"/>
        <w:rPr>
          <w:rFonts w:ascii="Times New Roman" w:hAnsi="Times New Roman"/>
          <w:b/>
          <w:sz w:val="26"/>
          <w:szCs w:val="26"/>
          <w:lang w:val="fr-FR"/>
        </w:rPr>
      </w:pPr>
    </w:p>
    <w:p w14:paraId="15972ED9">
      <w:pPr>
        <w:tabs>
          <w:tab w:val="left" w:pos="6015"/>
        </w:tabs>
        <w:spacing w:before="120" w:after="120"/>
        <w:ind w:left="-220" w:leftChars="-100"/>
        <w:rPr>
          <w:rFonts w:ascii="Times New Roman" w:hAnsi="Times New Roman"/>
          <w:b/>
          <w:sz w:val="26"/>
          <w:szCs w:val="26"/>
          <w:lang w:val="fr-FR"/>
        </w:rPr>
      </w:pPr>
    </w:p>
    <w:p w14:paraId="63ECF6B3">
      <w:pPr>
        <w:tabs>
          <w:tab w:val="left" w:pos="6015"/>
        </w:tabs>
        <w:spacing w:before="120" w:after="120"/>
        <w:ind w:left="-220" w:leftChars="-100"/>
        <w:rPr>
          <w:rFonts w:ascii="Times New Roman" w:hAnsi="Times New Roman"/>
          <w:sz w:val="26"/>
          <w:szCs w:val="26"/>
          <w:lang w:val="fr-FR"/>
        </w:rPr>
      </w:pPr>
    </w:p>
    <w:p w14:paraId="14C10FE4">
      <w:pPr>
        <w:spacing w:before="120" w:after="120"/>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4D8B4FA8">
      <w:pPr>
        <w:tabs>
          <w:tab w:val="left" w:pos="360"/>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Ôn</w:t>
      </w:r>
      <w:r>
        <w:rPr>
          <w:rFonts w:ascii="Times New Roman" w:hAnsi="Times New Roman"/>
          <w:b/>
          <w:sz w:val="26"/>
          <w:szCs w:val="26"/>
        </w:rPr>
        <w:t>g</w:t>
      </w:r>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    </w:t>
      </w:r>
      <w:r>
        <w:rPr>
          <w:rFonts w:ascii="Times New Roman" w:hAnsi="Times New Roman"/>
          <w:b/>
          <w:sz w:val="26"/>
          <w:szCs w:val="26"/>
          <w:lang w:val="fr-FR"/>
        </w:rPr>
        <w:t xml:space="preserve"> Ông/Bà : </w:t>
      </w:r>
    </w:p>
    <w:p w14:paraId="564B5E0F">
      <w:pPr>
        <w:spacing w:before="120" w:after="120"/>
        <w:ind w:left="-220" w:leftChars="-100"/>
        <w:rPr>
          <w:rFonts w:ascii="Times New Roman" w:hAnsi="Times New Roman"/>
          <w:sz w:val="26"/>
          <w:szCs w:val="26"/>
          <w:lang w:val="fr-FR"/>
        </w:rPr>
      </w:pPr>
      <w:r>
        <w:rPr>
          <w:rFonts w:ascii="Times New Roman" w:hAnsi="Times New Roman"/>
          <w:b/>
          <w:sz w:val="26"/>
          <w:szCs w:val="26"/>
          <w:lang w:val="fr-FR"/>
        </w:rPr>
        <w:t xml:space="preserve">Chức vụ: {BenBChucVu}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headerReference r:id="rId5" w:type="default"/>
      <w:footerReference r:id="rId6" w:type="default"/>
      <w:pgSz w:w="12240" w:h="15840"/>
      <w:pgMar w:top="1050" w:right="90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C1DC4">
    <w:pPr>
      <w:spacing w:after="0" w:line="60" w:lineRule="atLeast"/>
      <w:ind w:left="720" w:right="420"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TRUNG TÂM HỘI NGHỊ - TIỆC CƯỚI QUEEN PLAZA</w:t>
    </w:r>
  </w:p>
  <w:p w14:paraId="14FEE81C">
    <w:pPr>
      <w:spacing w:after="0" w:line="60" w:lineRule="atLeast"/>
      <w:ind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16A Lê Hồng Phong (nối dài), Phường Hoà Hưng, Thành Phố Hồ Chí Minh</w:t>
    </w:r>
  </w:p>
  <w:p w14:paraId="121B300C">
    <w:pPr>
      <w:spacing w:after="0" w:line="60" w:lineRule="atLeast"/>
      <w:ind w:left="1440" w:firstLine="720"/>
      <w:jc w:val="both"/>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ĐT: (+8428) 38 62 88 99 – Hotline: 09 69 66 99 33</w:t>
    </w:r>
  </w:p>
  <w:p w14:paraId="380F06D7">
    <w:pPr>
      <w:pStyle w:val="9"/>
      <w:tabs>
        <w:tab w:val="right" w:pos="8931"/>
        <w:tab w:val="clear" w:pos="9360"/>
      </w:tabs>
      <w:ind w:right="-705"/>
      <w:jc w:val="center"/>
      <w:rPr>
        <w:b/>
        <w:color w:val="000000" w:themeColor="text1"/>
        <w14:textFill>
          <w14:solidFill>
            <w14:schemeClr w14:val="tx1"/>
          </w14:solidFill>
        </w14:textFill>
      </w:rPr>
    </w:pPr>
    <w:r>
      <w:rPr>
        <w:b/>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CBA39">
    <w:pPr>
      <w:pStyle w:val="10"/>
      <w:tabs>
        <w:tab w:val="left" w:pos="810"/>
      </w:tabs>
    </w:pPr>
  </w:p>
  <w:p w14:paraId="397108FB">
    <w:pPr>
      <w:pStyle w:val="10"/>
      <w:tabs>
        <w:tab w:val="left" w:pos="81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66739"/>
    <w:multiLevelType w:val="singleLevel"/>
    <w:tmpl w:val="81966739"/>
    <w:lvl w:ilvl="0" w:tentative="0">
      <w:start w:val="1"/>
      <w:numFmt w:val="bullet"/>
      <w:lvlText w:val=""/>
      <w:lvlJc w:val="left"/>
      <w:pPr>
        <w:tabs>
          <w:tab w:val="left" w:pos="420"/>
        </w:tabs>
        <w:ind w:left="420" w:hanging="420"/>
      </w:pPr>
      <w:rPr>
        <w:rFonts w:hint="default" w:ascii="Wingdings" w:hAnsi="Wingdings"/>
      </w:rPr>
    </w:lvl>
  </w:abstractNum>
  <w:abstractNum w:abstractNumId="1">
    <w:nsid w:val="28730915"/>
    <w:multiLevelType w:val="multilevel"/>
    <w:tmpl w:val="287309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F1F6E50"/>
    <w:multiLevelType w:val="multilevel"/>
    <w:tmpl w:val="2F1F6E5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C52181D"/>
    <w:multiLevelType w:val="multilevel"/>
    <w:tmpl w:val="4C52181D"/>
    <w:lvl w:ilvl="0" w:tentative="0">
      <w:start w:val="1"/>
      <w:numFmt w:val="upperRoman"/>
      <w:lvlText w:val="%1."/>
      <w:lvlJc w:val="left"/>
      <w:pPr>
        <w:ind w:left="72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F4224B"/>
    <w:multiLevelType w:val="multilevel"/>
    <w:tmpl w:val="52F4224B"/>
    <w:lvl w:ilvl="0" w:tentative="0">
      <w:start w:val="1"/>
      <w:numFmt w:val="bullet"/>
      <w:lvlText w:val=""/>
      <w:lvlJc w:val="left"/>
      <w:pPr>
        <w:ind w:left="500" w:hanging="360"/>
      </w:pPr>
      <w:rPr>
        <w:rFonts w:hint="default" w:ascii="Symbol" w:hAnsi="Symbol"/>
      </w:rPr>
    </w:lvl>
    <w:lvl w:ilvl="1" w:tentative="0">
      <w:start w:val="1"/>
      <w:numFmt w:val="bullet"/>
      <w:lvlText w:val="o"/>
      <w:lvlJc w:val="left"/>
      <w:pPr>
        <w:ind w:left="1220" w:hanging="360"/>
      </w:pPr>
      <w:rPr>
        <w:rFonts w:hint="default" w:ascii="Courier New" w:hAnsi="Courier New" w:cs="Courier New"/>
      </w:rPr>
    </w:lvl>
    <w:lvl w:ilvl="2" w:tentative="0">
      <w:start w:val="1"/>
      <w:numFmt w:val="bullet"/>
      <w:lvlText w:val=""/>
      <w:lvlJc w:val="left"/>
      <w:pPr>
        <w:ind w:left="1940" w:hanging="360"/>
      </w:pPr>
      <w:rPr>
        <w:rFonts w:hint="default" w:ascii="Wingdings" w:hAnsi="Wingdings"/>
      </w:rPr>
    </w:lvl>
    <w:lvl w:ilvl="3" w:tentative="0">
      <w:start w:val="1"/>
      <w:numFmt w:val="bullet"/>
      <w:lvlText w:val=""/>
      <w:lvlJc w:val="left"/>
      <w:pPr>
        <w:ind w:left="2660" w:hanging="360"/>
      </w:pPr>
      <w:rPr>
        <w:rFonts w:hint="default" w:ascii="Symbol" w:hAnsi="Symbol"/>
      </w:rPr>
    </w:lvl>
    <w:lvl w:ilvl="4" w:tentative="0">
      <w:start w:val="1"/>
      <w:numFmt w:val="bullet"/>
      <w:lvlText w:val="o"/>
      <w:lvlJc w:val="left"/>
      <w:pPr>
        <w:ind w:left="3380" w:hanging="360"/>
      </w:pPr>
      <w:rPr>
        <w:rFonts w:hint="default" w:ascii="Courier New" w:hAnsi="Courier New" w:cs="Courier New"/>
      </w:rPr>
    </w:lvl>
    <w:lvl w:ilvl="5" w:tentative="0">
      <w:start w:val="1"/>
      <w:numFmt w:val="bullet"/>
      <w:lvlText w:val=""/>
      <w:lvlJc w:val="left"/>
      <w:pPr>
        <w:ind w:left="4100" w:hanging="360"/>
      </w:pPr>
      <w:rPr>
        <w:rFonts w:hint="default" w:ascii="Wingdings" w:hAnsi="Wingdings"/>
      </w:rPr>
    </w:lvl>
    <w:lvl w:ilvl="6" w:tentative="0">
      <w:start w:val="1"/>
      <w:numFmt w:val="bullet"/>
      <w:lvlText w:val=""/>
      <w:lvlJc w:val="left"/>
      <w:pPr>
        <w:ind w:left="4820" w:hanging="360"/>
      </w:pPr>
      <w:rPr>
        <w:rFonts w:hint="default" w:ascii="Symbol" w:hAnsi="Symbol"/>
      </w:rPr>
    </w:lvl>
    <w:lvl w:ilvl="7" w:tentative="0">
      <w:start w:val="1"/>
      <w:numFmt w:val="bullet"/>
      <w:lvlText w:val="o"/>
      <w:lvlJc w:val="left"/>
      <w:pPr>
        <w:ind w:left="5540" w:hanging="360"/>
      </w:pPr>
      <w:rPr>
        <w:rFonts w:hint="default" w:ascii="Courier New" w:hAnsi="Courier New" w:cs="Courier New"/>
      </w:rPr>
    </w:lvl>
    <w:lvl w:ilvl="8" w:tentative="0">
      <w:start w:val="1"/>
      <w:numFmt w:val="bullet"/>
      <w:lvlText w:val=""/>
      <w:lvlJc w:val="left"/>
      <w:pPr>
        <w:ind w:left="6260" w:hanging="360"/>
      </w:pPr>
      <w:rPr>
        <w:rFonts w:hint="default" w:ascii="Wingdings" w:hAnsi="Wingdings"/>
      </w:rPr>
    </w:lvl>
  </w:abstractNum>
  <w:abstractNum w:abstractNumId="6">
    <w:nsid w:val="52F66CF3"/>
    <w:multiLevelType w:val="multilevel"/>
    <w:tmpl w:val="52F66C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778625DB"/>
    <w:multiLevelType w:val="multilevel"/>
    <w:tmpl w:val="778625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8"/>
  </w:num>
  <w:num w:numId="5">
    <w:abstractNumId w:val="2"/>
  </w:num>
  <w:num w:numId="6">
    <w:abstractNumId w:val="5"/>
  </w:num>
  <w:num w:numId="7">
    <w:abstractNumId w:val="1"/>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37014A"/>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420BF5"/>
    <w:rsid w:val="66EB0A29"/>
    <w:rsid w:val="670C3F88"/>
    <w:rsid w:val="675A129D"/>
    <w:rsid w:val="67E027FB"/>
    <w:rsid w:val="690A7914"/>
    <w:rsid w:val="69F40BE1"/>
    <w:rsid w:val="6A066E11"/>
    <w:rsid w:val="6A120A62"/>
    <w:rsid w:val="6B4D7F19"/>
    <w:rsid w:val="6B5C6196"/>
    <w:rsid w:val="6B7845E0"/>
    <w:rsid w:val="6BD510F7"/>
    <w:rsid w:val="6D1B2194"/>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pPr>
      <w:spacing w:after="0" w:line="240" w:lineRule="auto"/>
    </w:pPr>
    <w:rPr>
      <w:rFonts w:ascii="Tahoma" w:hAnsi="Tahoma" w:cs="Tahoma"/>
      <w:sz w:val="16"/>
      <w:szCs w:val="16"/>
    </w:rPr>
  </w:style>
  <w:style w:type="paragraph" w:styleId="5">
    <w:name w:val="Body Text"/>
    <w:basedOn w:val="1"/>
    <w:link w:val="17"/>
    <w:semiHidden/>
    <w:unhideWhenUsed/>
    <w:qFormat/>
    <w:uiPriority w:val="99"/>
    <w:pPr>
      <w:spacing w:after="120" w:line="240" w:lineRule="auto"/>
    </w:pPr>
    <w:rPr>
      <w:rFonts w:ascii="Times New Roman" w:hAnsi="Times New Roman" w:eastAsia="Times New Roman"/>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2"/>
    <w:semiHidden/>
    <w:unhideWhenUsed/>
    <w:qFormat/>
    <w:uiPriority w:val="99"/>
    <w:pPr>
      <w:spacing w:line="240" w:lineRule="auto"/>
    </w:pPr>
    <w:rPr>
      <w:sz w:val="20"/>
      <w:szCs w:val="20"/>
    </w:rPr>
  </w:style>
  <w:style w:type="paragraph" w:styleId="8">
    <w:name w:val="annotation subject"/>
    <w:basedOn w:val="7"/>
    <w:next w:val="7"/>
    <w:link w:val="23"/>
    <w:semiHidden/>
    <w:unhideWhenUsed/>
    <w:qFormat/>
    <w:uiPriority w:val="99"/>
    <w:rPr>
      <w:b/>
      <w:bCs/>
    </w:rPr>
  </w:style>
  <w:style w:type="paragraph" w:styleId="9">
    <w:name w:val="footer"/>
    <w:basedOn w:val="1"/>
    <w:link w:val="13"/>
    <w:unhideWhenUsed/>
    <w:qFormat/>
    <w:uiPriority w:val="99"/>
    <w:pPr>
      <w:tabs>
        <w:tab w:val="center" w:pos="4680"/>
        <w:tab w:val="right" w:pos="9360"/>
      </w:tabs>
      <w:spacing w:after="0" w:line="240" w:lineRule="auto"/>
    </w:pPr>
  </w:style>
  <w:style w:type="paragraph" w:styleId="10">
    <w:name w:val="header"/>
    <w:basedOn w:val="1"/>
    <w:link w:val="12"/>
    <w:unhideWhenUsed/>
    <w:qFormat/>
    <w:uiPriority w:val="0"/>
    <w:pPr>
      <w:tabs>
        <w:tab w:val="center" w:pos="4680"/>
        <w:tab w:val="right" w:pos="9360"/>
      </w:tabs>
      <w:spacing w:after="0" w:line="240" w:lineRule="auto"/>
    </w:pPr>
  </w:style>
  <w:style w:type="paragraph" w:styleId="11">
    <w:name w:val="Plain Text"/>
    <w:basedOn w:val="1"/>
    <w:link w:val="16"/>
    <w:unhideWhenUsed/>
    <w:qFormat/>
    <w:uiPriority w:val="99"/>
    <w:pPr>
      <w:spacing w:after="0" w:line="240" w:lineRule="auto"/>
    </w:pPr>
    <w:rPr>
      <w:rFonts w:ascii="Arial" w:hAnsi="Arial" w:eastAsia="Times New Roman"/>
      <w:color w:val="17365D"/>
      <w:sz w:val="20"/>
      <w:szCs w:val="21"/>
    </w:rPr>
  </w:style>
  <w:style w:type="character" w:customStyle="1" w:styleId="12">
    <w:name w:val="Header Char"/>
    <w:basedOn w:val="2"/>
    <w:link w:val="10"/>
    <w:qFormat/>
    <w:uiPriority w:val="99"/>
  </w:style>
  <w:style w:type="character" w:customStyle="1" w:styleId="13">
    <w:name w:val="Footer Char"/>
    <w:basedOn w:val="2"/>
    <w:link w:val="9"/>
    <w:qFormat/>
    <w:uiPriority w:val="99"/>
  </w:style>
  <w:style w:type="character" w:customStyle="1" w:styleId="14">
    <w:name w:val="Balloon Text Char"/>
    <w:basedOn w:val="2"/>
    <w:link w:val="4"/>
    <w:semiHidden/>
    <w:qFormat/>
    <w:uiPriority w:val="99"/>
    <w:rPr>
      <w:rFonts w:ascii="Tahoma" w:hAnsi="Tahoma" w:cs="Tahoma"/>
      <w:sz w:val="16"/>
      <w:szCs w:val="16"/>
    </w:rPr>
  </w:style>
  <w:style w:type="paragraph" w:customStyle="1" w:styleId="15">
    <w:name w:val="pbody"/>
    <w:basedOn w:val="1"/>
    <w:qFormat/>
    <w:uiPriority w:val="0"/>
    <w:pPr>
      <w:spacing w:before="100" w:beforeAutospacing="1" w:after="100" w:afterAutospacing="1" w:line="240" w:lineRule="auto"/>
    </w:pPr>
    <w:rPr>
      <w:rFonts w:ascii="Times New Roman" w:hAnsi="Times New Roman" w:eastAsia="Times New Roman"/>
      <w:sz w:val="24"/>
      <w:szCs w:val="24"/>
    </w:rPr>
  </w:style>
  <w:style w:type="character" w:customStyle="1" w:styleId="16">
    <w:name w:val="Plain Text Char"/>
    <w:basedOn w:val="2"/>
    <w:link w:val="11"/>
    <w:qFormat/>
    <w:uiPriority w:val="99"/>
    <w:rPr>
      <w:rFonts w:ascii="Arial" w:hAnsi="Arial" w:eastAsia="Times New Roman" w:cs="Times New Roman"/>
      <w:color w:val="17365D"/>
      <w:sz w:val="20"/>
      <w:szCs w:val="21"/>
    </w:rPr>
  </w:style>
  <w:style w:type="character" w:customStyle="1" w:styleId="17">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8">
    <w:name w:val="a"/>
    <w:basedOn w:val="1"/>
    <w:qFormat/>
    <w:uiPriority w:val="0"/>
    <w:pPr>
      <w:spacing w:after="0" w:line="240" w:lineRule="auto"/>
    </w:pPr>
    <w:rPr>
      <w:rFonts w:ascii="VNI-Times" w:hAnsi="VNI-Times" w:eastAsia="Times New Roman"/>
      <w:b/>
      <w:sz w:val="28"/>
      <w:szCs w:val="20"/>
    </w:rPr>
  </w:style>
  <w:style w:type="paragraph" w:customStyle="1" w:styleId="19">
    <w:name w:val="c"/>
    <w:basedOn w:val="1"/>
    <w:qFormat/>
    <w:uiPriority w:val="0"/>
    <w:pPr>
      <w:spacing w:after="0" w:line="240" w:lineRule="auto"/>
      <w:ind w:left="360" w:hanging="360"/>
      <w:jc w:val="both"/>
    </w:pPr>
    <w:rPr>
      <w:rFonts w:ascii="VNI-Times" w:hAnsi="VNI-Times" w:eastAsia="Times New Roman"/>
      <w:sz w:val="28"/>
      <w:szCs w:val="20"/>
    </w:rPr>
  </w:style>
  <w:style w:type="paragraph" w:styleId="20">
    <w:name w:val="List Paragraph"/>
    <w:basedOn w:val="1"/>
    <w:qFormat/>
    <w:uiPriority w:val="34"/>
    <w:pPr>
      <w:ind w:left="720"/>
      <w:contextualSpacing/>
    </w:pPr>
  </w:style>
  <w:style w:type="paragraph" w:customStyle="1" w:styleId="21">
    <w:name w:val="Colorful List - Accent 11"/>
    <w:basedOn w:val="1"/>
    <w:qFormat/>
    <w:uiPriority w:val="34"/>
    <w:pPr>
      <w:spacing w:after="200" w:line="276" w:lineRule="auto"/>
      <w:ind w:left="720"/>
      <w:contextualSpacing/>
    </w:pPr>
  </w:style>
  <w:style w:type="character" w:customStyle="1" w:styleId="22">
    <w:name w:val="Comment Text Char"/>
    <w:basedOn w:val="2"/>
    <w:link w:val="7"/>
    <w:semiHidden/>
    <w:qFormat/>
    <w:uiPriority w:val="99"/>
    <w:rPr>
      <w:rFonts w:ascii="Calibri" w:hAnsi="Calibri" w:eastAsia="Calibri" w:cs="Times New Roman"/>
      <w:sz w:val="20"/>
      <w:szCs w:val="20"/>
    </w:rPr>
  </w:style>
  <w:style w:type="character" w:customStyle="1" w:styleId="23">
    <w:name w:val="Comment Subject Char"/>
    <w:basedOn w:val="22"/>
    <w:link w:val="8"/>
    <w:semiHidden/>
    <w:qFormat/>
    <w:uiPriority w:val="99"/>
    <w:rPr>
      <w:rFonts w:ascii="Calibri" w:hAnsi="Calibri" w:eastAsia="Calibri" w:cs="Times New Roman"/>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datastoreItem>
</file>

<file path=docProps/app.xml><?xml version="1.0" encoding="utf-8"?>
<Properties xmlns="http://schemas.openxmlformats.org/officeDocument/2006/extended-properties" xmlns:vt="http://schemas.openxmlformats.org/officeDocument/2006/docPropsVTypes">
  <Template>Normal</Template>
  <Pages>13</Pages>
  <Words>377</Words>
  <Characters>1633</Characters>
  <Lines>151</Lines>
  <Paragraphs>42</Paragraphs>
  <TotalTime>2</TotalTime>
  <ScaleCrop>false</ScaleCrop>
  <LinksUpToDate>false</LinksUpToDate>
  <CharactersWithSpaces>2035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2020-02-05T13:52:00Z</dcterms:created>
  <dc:creator>TSN-MAR</dc:creator>
  <cp:lastModifiedBy>Dell3070</cp:lastModifiedBy>
  <cp:lastPrinted>2025-11-02T11:25:00Z</cp:lastPrinted>
  <dcterms:modified xsi:type="dcterms:W3CDTF">2026-06-19T10:23:19Z</dcterms:modified>
  <cp:revision>300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