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34B916">
      <w:pPr>
        <w:spacing w:before="120" w:after="120"/>
        <w:ind w:left="-2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44AD53F0">
      <w:pPr>
        <w:spacing w:before="120" w:after="120"/>
        <w:ind w:left="-220" w:leftChars="-100"/>
        <w:jc w:val="center"/>
        <w:rPr>
          <w:rFonts w:ascii="Times New Roman" w:hAnsi="Times New Roman"/>
          <w:b/>
          <w:sz w:val="26"/>
          <w:szCs w:val="26"/>
        </w:rPr>
      </w:pPr>
      <w:r>
        <w:rPr>
          <w:rFonts w:ascii="Times New Roman" w:hAnsi="Times New Roman"/>
          <w:b/>
          <w:sz w:val="26"/>
          <w:szCs w:val="26"/>
        </w:rPr>
        <w:t>Độc Lập – Tự Do – Hạnh Phúc</w:t>
      </w:r>
    </w:p>
    <w:p w14:paraId="4879FAF3">
      <w:pPr>
        <w:spacing w:before="120" w:after="120"/>
        <w:ind w:left="-220" w:leftChars="-100"/>
        <w:jc w:val="center"/>
        <w:rPr>
          <w:rFonts w:ascii="Times New Roman" w:hAnsi="Times New Roman"/>
          <w:b/>
          <w:sz w:val="26"/>
          <w:szCs w:val="26"/>
        </w:rPr>
      </w:pPr>
      <w:r>
        <w:rPr>
          <w:rFonts w:ascii="Times New Roman" w:hAnsi="Times New Roman"/>
          <w:b/>
          <w:sz w:val="26"/>
          <w:szCs w:val="26"/>
        </w:rPr>
        <w:t>---------------------</w:t>
      </w:r>
    </w:p>
    <w:p w14:paraId="0A9D112D">
      <w:pPr>
        <w:spacing w:before="120" w:after="120"/>
        <w:ind w:left="-220" w:leftChars="-100"/>
        <w:jc w:val="center"/>
        <w:rPr>
          <w:rFonts w:ascii="Times New Roman" w:hAnsi="Times New Roman"/>
          <w:b/>
          <w:sz w:val="40"/>
          <w:szCs w:val="40"/>
        </w:rPr>
      </w:pPr>
      <w:r>
        <w:rPr>
          <w:rFonts w:ascii="Times New Roman" w:hAnsi="Times New Roman"/>
          <w:b/>
          <w:sz w:val="40"/>
          <w:szCs w:val="40"/>
        </w:rPr>
        <w:t>HỢP ĐỒNG ĐẶT TIỆC</w:t>
      </w:r>
    </w:p>
    <w:p w14:paraId="46A8971B">
      <w:pPr>
        <w:spacing w:line="276" w:lineRule="auto"/>
        <w:ind w:left="-220" w:leftChars="-100"/>
        <w:jc w:val="center"/>
        <w:rPr>
          <w:rFonts w:ascii="Times New Roman" w:hAnsi="Times New Roman"/>
          <w:sz w:val="26"/>
          <w:szCs w:val="26"/>
        </w:rPr>
      </w:pPr>
      <w:r>
        <w:rPr>
          <w:rFonts w:ascii="Times New Roman" w:hAnsi="Times New Roman"/>
          <w:sz w:val="26"/>
          <w:szCs w:val="26"/>
        </w:rPr>
        <w:t>HĐ số: {Sohopdong}</w:t>
      </w:r>
    </w:p>
    <w:p w14:paraId="4CB9C3A5">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cứ Bộ Luật Dân Sự số 91/2015/QH13 được Quốc hội nước CHXHCN Việt Nam khóa XIII, thông qua ngày 24 tháng 11 năm 2015;</w:t>
      </w:r>
    </w:p>
    <w:p w14:paraId="0D936CCF">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cứ vào Luật Thương mại số 36/2005/QH11 được Quốc hội nước CHXHCN Việt Nam khóa XI, thông qua ngày 14 tháng 06 năm 2005;</w:t>
      </w:r>
    </w:p>
    <w:p w14:paraId="6BC1E8D5">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cứ vào nhu cầu và khả năng đáp ứng của hai bên.</w:t>
      </w:r>
    </w:p>
    <w:p w14:paraId="090E36F5">
      <w:pPr>
        <w:spacing w:after="0" w:line="360" w:lineRule="auto"/>
        <w:ind w:left="-220" w:leftChars="-100"/>
        <w:jc w:val="both"/>
        <w:rPr>
          <w:rFonts w:ascii="Times New Roman" w:hAnsi="Times New Roman"/>
          <w:i/>
          <w:sz w:val="26"/>
          <w:szCs w:val="26"/>
        </w:rPr>
      </w:pPr>
    </w:p>
    <w:p w14:paraId="015F06FC">
      <w:pPr>
        <w:spacing w:before="120" w:after="120"/>
        <w:ind w:left="-220" w:leftChars="-100"/>
        <w:jc w:val="both"/>
        <w:rPr>
          <w:rFonts w:ascii="Times New Roman" w:hAnsi="Times New Roman"/>
          <w:i/>
          <w:sz w:val="26"/>
          <w:szCs w:val="26"/>
        </w:rPr>
      </w:pPr>
      <w:r>
        <w:rPr>
          <w:rFonts w:ascii="Times New Roman" w:hAnsi="Times New Roman"/>
          <w:i/>
          <w:sz w:val="26"/>
          <w:szCs w:val="26"/>
        </w:rPr>
        <w:t>Hôm nay, ngày {NgayLapHD} tháng {ThangLapHD} năm {NamLapHD}, chúng tôi gồm có dưới đây:</w:t>
      </w:r>
    </w:p>
    <w:p w14:paraId="36F5836A">
      <w:pPr>
        <w:spacing w:before="120" w:after="120" w:line="276" w:lineRule="auto"/>
        <w:ind w:left="-220" w:leftChars="-100"/>
        <w:rPr>
          <w:rFonts w:ascii="Times New Roman" w:hAnsi="Times New Roman"/>
          <w:b/>
          <w:sz w:val="26"/>
          <w:szCs w:val="26"/>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{BenATenCongTy}</w:t>
      </w:r>
    </w:p>
    <w:p w14:paraId="359BAAF1">
      <w:pPr>
        <w:spacing w:before="120" w:after="120" w:line="276" w:lineRule="auto"/>
        <w:ind w:left="-220" w:leftChars="-100"/>
        <w:rPr>
          <w:rFonts w:ascii="Times New Roman" w:hAnsi="Times New Roman"/>
          <w:b/>
          <w:sz w:val="26"/>
          <w:szCs w:val="26"/>
        </w:rPr>
      </w:pP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TRUNG TÂM HỘI NGHỊ - TIỆC CƯỚI QUEEN PLAZA KỲ HOÀ</w:t>
      </w:r>
    </w:p>
    <w:p w14:paraId="2FF9BEA3">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16A Lê Hồng Phong (nối dài), Phường Hoà Hưng, TP.HCM</w:t>
      </w:r>
    </w:p>
    <w:p w14:paraId="1B13456A">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Điện thoại: {BenB_DienThoai}: {BenB_DienThoai}</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(+8428) 38 628 899</w:t>
      </w:r>
    </w:p>
    <w:p w14:paraId="4D5AB0F3">
      <w:pPr>
        <w:spacing w:before="120" w:after="120" w:line="276" w:lineRule="auto"/>
        <w:ind w:left="-220" w:leftChars="-100"/>
        <w:jc w:val="both"/>
        <w:rPr>
          <w:rFonts w:ascii="Times New Roman" w:hAnsi="Times New Roman"/>
          <w:sz w:val="26"/>
          <w:szCs w:val="26"/>
        </w:rPr>
      </w:pPr>
      <w:r>
        <w:rPr>
          <w:rFonts w:ascii="Times New Roman" w:hAnsi="Times New Roman"/>
          <w:b/>
          <w:sz w:val="26"/>
          <w:szCs w:val="26"/>
        </w:rPr>
        <w:t>Đại Diện:</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 xml:space="preserve">Ông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Chức Vụ</w:t>
      </w:r>
      <w:r>
        <w:rPr>
          <w:rFonts w:ascii="Times New Roman" w:hAnsi="Times New Roman"/>
          <w:sz w:val="26"/>
          <w:szCs w:val="26"/>
        </w:rPr>
        <w:t xml:space="preserve">: </w:t>
      </w:r>
    </w:p>
    <w:p w14:paraId="2B433205">
      <w:pPr>
        <w:spacing w:before="120" w:after="120" w:line="276" w:lineRule="auto"/>
        <w:ind w:left="-220" w:leftChars="-100"/>
        <w:jc w:val="both"/>
        <w:rPr>
          <w:rFonts w:ascii="Times New Roman" w:hAnsi="Times New Roman"/>
          <w:bCs/>
          <w:sz w:val="26"/>
          <w:szCs w:val="26"/>
        </w:rPr>
      </w:pPr>
      <w:r>
        <w:rPr>
          <w:rFonts w:ascii="Times New Roman" w:hAnsi="Times New Roman"/>
          <w:sz w:val="26"/>
          <w:szCs w:val="26"/>
        </w:rPr>
        <w:t xml:space="preserve">Nhân viên Phụ Trách: {BenA_NhanVienPhuTrach} </w:t>
      </w:r>
      <w:r>
        <w:rPr>
          <w:rFonts w:ascii="Times New Roman" w:hAnsi="Times New Roman"/>
          <w:b/>
          <w:sz w:val="26"/>
          <w:szCs w:val="26"/>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sz w:val="26"/>
          <w:szCs w:val="26"/>
        </w:rPr>
        <w:t xml:space="preserve">Số ĐT: {BenA_SDT_NhanVien} </w:t>
      </w:r>
    </w:p>
    <w:p w14:paraId="4BE2B831">
      <w:pPr>
        <w:spacing w:before="120" w:after="120"/>
        <w:ind w:left="-220" w:leftChars="-100"/>
        <w:jc w:val="both"/>
        <w:rPr>
          <w:rFonts w:ascii="Times New Roman" w:hAnsi="Times New Roman"/>
          <w:sz w:val="26"/>
          <w:szCs w:val="26"/>
        </w:rPr>
      </w:pPr>
      <w:r>
        <w:rPr>
          <w:rFonts w:ascii="Times New Roman" w:hAnsi="Times New Roman"/>
          <w:sz w:val="26"/>
          <w:szCs w:val="26"/>
        </w:rPr>
        <w:t>&amp;</w:t>
      </w:r>
    </w:p>
    <w:p w14:paraId="53C1097D">
      <w:pPr>
        <w:spacing w:before="120" w:after="120" w:line="276" w:lineRule="auto"/>
        <w:ind w:left="-220" w:leftChars="-100"/>
        <w:jc w:val="both"/>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KHÁCH HÀNG</w:t>
      </w:r>
    </w:p>
    <w:p w14:paraId="2F95EA83">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 xml:space="preserve">Tên đại diện: {BenBTenDaiDien}         </w:t>
      </w:r>
    </w:p>
    <w:p w14:paraId="25525EDC">
      <w:pPr>
        <w:spacing w:before="120" w:after="120" w:line="276" w:lineRule="auto"/>
        <w:ind w:left="-220" w:leftChars="-100"/>
        <w:jc w:val="both"/>
        <w:rPr>
          <w:rFonts w:ascii="Times New Roman" w:hAnsi="Times New Roman"/>
          <w:b/>
          <w:sz w:val="26"/>
          <w:szCs w:val="26"/>
        </w:rPr>
      </w:pPr>
      <w:r>
        <w:rPr>
          <w:rFonts w:ascii="Times New Roman" w:hAnsi="Times New Roman"/>
          <w:sz w:val="26"/>
          <w:szCs w:val="26"/>
        </w:rPr>
        <w:t>Tên Chủ Tiệc: {BenBTenChuTiec}</w:t>
      </w:r>
      <w:r>
        <w:rPr>
          <w:rFonts w:ascii="Times New Roman" w:hAnsi="Times New Roman"/>
          <w:sz w:val="26"/>
          <w:szCs w:val="26"/>
        </w:rPr>
        <w:tab/>
      </w:r>
      <w:r>
        <w:rPr>
          <w:rFonts w:ascii="Times New Roman" w:hAnsi="Times New Roman"/>
          <w:sz w:val="26"/>
          <w:szCs w:val="26"/>
        </w:rPr>
        <w:tab/>
      </w:r>
    </w:p>
    <w:p w14:paraId="640DEB65">
      <w:pPr>
        <w:spacing w:before="120" w:after="120" w:line="276" w:lineRule="auto"/>
        <w:ind w:left="-220" w:leftChars="-100"/>
        <w:jc w:val="both"/>
        <w:rPr>
          <w:rFonts w:ascii="Times New Roman" w:hAnsi="Times New Roman"/>
          <w:b/>
          <w:sz w:val="26"/>
          <w:szCs w:val="26"/>
        </w:rPr>
      </w:pPr>
      <w:r>
        <w:rPr>
          <w:rFonts w:ascii="Times New Roman" w:hAnsi="Times New Roman"/>
          <w:bCs/>
          <w:sz w:val="26"/>
          <w:szCs w:val="26"/>
        </w:rPr>
        <w:t>CCCD: {BenBCCCD}</w:t>
      </w:r>
      <w:r>
        <w:rPr>
          <w:rFonts w:ascii="Times New Roman" w:hAnsi="Times New Roman"/>
          <w:bCs/>
          <w:sz w:val="26"/>
          <w:szCs w:val="26"/>
        </w:rPr>
        <w:tab/>
      </w:r>
      <w:r>
        <w:rPr>
          <w:rFonts w:ascii="Times New Roman" w:hAnsi="Times New Roman"/>
          <w:bCs/>
          <w:sz w:val="26"/>
          <w:szCs w:val="26"/>
        </w:rPr>
        <w:tab/>
      </w:r>
      <w:r>
        <w:rPr>
          <w:rFonts w:ascii="Times New Roman" w:hAnsi="Times New Roman"/>
          <w:b/>
          <w:sz w:val="26"/>
          <w:szCs w:val="26"/>
        </w:rPr>
        <w:tab/>
      </w:r>
    </w:p>
    <w:p w14:paraId="050C7ADB">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Địa chỉ: {BenBDiaChi}</w:t>
      </w:r>
      <w:r>
        <w:rPr>
          <w:rFonts w:ascii="Times New Roman" w:hAnsi="Times New Roman"/>
          <w:sz w:val="26"/>
          <w:szCs w:val="26"/>
        </w:rPr>
        <w:tab/>
      </w:r>
      <w:r>
        <w:rPr>
          <w:rFonts w:ascii="Times New Roman" w:hAnsi="Times New Roman"/>
          <w:sz w:val="26"/>
          <w:szCs w:val="26"/>
        </w:rPr>
        <w:tab/>
      </w:r>
    </w:p>
    <w:p w14:paraId="4AD1CC05">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Điện thoại: {BenBDienThoai}</w:t>
      </w:r>
      <w:r>
        <w:rPr>
          <w:rFonts w:ascii="Times New Roman" w:hAnsi="Times New Roman"/>
          <w:sz w:val="26"/>
          <w:szCs w:val="26"/>
        </w:rPr>
        <w:tab/>
      </w:r>
    </w:p>
    <w:p w14:paraId="6D8CB8F3">
      <w:pPr>
        <w:spacing w:before="120" w:after="120" w:line="276" w:lineRule="auto"/>
        <w:ind w:left="-220" w:leftChars="-100"/>
        <w:jc w:val="both"/>
        <w:rPr>
          <w:rFonts w:ascii="Times New Roman" w:hAnsi="Times New Roman"/>
          <w:i/>
          <w:sz w:val="26"/>
          <w:szCs w:val="26"/>
        </w:rPr>
      </w:pPr>
      <w:r>
        <w:rPr>
          <w:rFonts w:ascii="Times New Roman" w:hAnsi="Times New Roman"/>
          <w:i/>
          <w:sz w:val="26"/>
          <w:szCs w:val="26"/>
        </w:rPr>
        <w:t>(Lưu ý: Đại diện một trong 02 người ký Hợp đồng thì điền thông tin của người đại diện ký. Trường hợp 02 người cùng đứng tên trên hợp đồng thì phải có chữ ký xác nhận của 02 người trong hợp đồng).</w:t>
      </w:r>
    </w:p>
    <w:p w14:paraId="4AA03A03">
      <w:pPr>
        <w:pStyle w:val="5"/>
        <w:spacing w:after="0"/>
        <w:ind w:left="-220" w:leftChars="-100"/>
        <w:jc w:val="both"/>
        <w:rPr>
          <w:i/>
          <w:sz w:val="26"/>
          <w:szCs w:val="26"/>
          <w:lang w:val="en-US"/>
        </w:rPr>
      </w:pPr>
      <w:r>
        <w:rPr>
          <w:i/>
          <w:sz w:val="26"/>
          <w:szCs w:val="26"/>
        </w:rPr>
        <w:t>Bên A và Bên B thống nhất và ký hợp đồng đặt tiệc (“Hợp Đồng”) theo các điều khoản sau:</w:t>
      </w:r>
    </w:p>
    <w:p w14:paraId="7FDE691E">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Cs/>
          <w:sz w:val="26"/>
          <w:szCs w:val="26"/>
          <w:u w:val="single"/>
        </w:rPr>
        <w:t>ĐIỀU 1</w:t>
      </w:r>
      <w:r>
        <w:rPr>
          <w:rFonts w:ascii="Times New Roman" w:hAnsi="Times New Roman"/>
          <w:bCs/>
          <w:sz w:val="26"/>
          <w:szCs w:val="26"/>
        </w:rPr>
        <w:t>.</w:t>
      </w:r>
      <w:r>
        <w:rPr>
          <w:rFonts w:ascii="Times New Roman" w:hAnsi="Times New Roman"/>
          <w:sz w:val="26"/>
          <w:szCs w:val="26"/>
        </w:rPr>
        <w:t xml:space="preserve"> NỘI DUNG HỢP ĐỒNG</w:t>
      </w:r>
    </w:p>
    <w:p w14:paraId="1273908C">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Bên B đề nghị và Bên A đồng ý cung cấp dịch vụ tiệc cho Bên B, cụ thể như sau:</w:t>
      </w:r>
    </w:p>
    <w:p w14:paraId="767D0D05">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Loại tiệc:</w:t>
      </w:r>
      <w:r>
        <w:rPr>
          <w:rFonts w:ascii="Times New Roman" w:hAnsi="Times New Roman"/>
          <w:b/>
          <w:sz w:val="26"/>
          <w:szCs w:val="26"/>
        </w:rPr>
        <w:t xml:space="preserve"> CƯỚI – LỄ TÂN HÔN/VU QUY/BÁO HỶ</w:t>
      </w:r>
    </w:p>
    <w:p w14:paraId="36696191">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Ngày tiệc: Vào lúc {TiecGioBatDau}, ngày {TiecNgayDL} tháng {TiecThangDL} năm {Tiec_NamDL} (Dương lịch)</w:t>
      </w:r>
    </w:p>
    <w:p w14:paraId="03D0CF1F">
      <w:pPr>
        <w:pStyle w:val="19"/>
        <w:spacing w:before="120" w:after="120" w:line="360" w:lineRule="auto"/>
        <w:ind w:left="-220" w:leftChars="-100" w:firstLine="0"/>
        <w:rPr>
          <w:rFonts w:ascii="Times New Roman" w:hAnsi="Times New Roman"/>
          <w:sz w:val="26"/>
          <w:szCs w:val="26"/>
        </w:rPr>
      </w:pPr>
      <w:r>
        <w:rPr>
          <w:rFonts w:ascii="Times New Roman" w:hAnsi="Times New Roman"/>
          <w:sz w:val="26"/>
          <w:szCs w:val="26"/>
        </w:rPr>
        <w:t>Nhằm ngày {TiecNgayAL} tháng {TiecThangAL} năm {TiecNamAL} (Âm lịch)</w:t>
      </w:r>
    </w:p>
    <w:p w14:paraId="23BEBEB1">
      <w:pPr>
        <w:spacing w:before="120" w:after="120" w:line="360" w:lineRule="auto"/>
        <w:ind w:left="-220" w:leftChars="-100"/>
        <w:jc w:val="both"/>
        <w:rPr>
          <w:rFonts w:ascii="Times New Roman" w:hAnsi="Times New Roman"/>
          <w:b/>
          <w:sz w:val="26"/>
          <w:szCs w:val="26"/>
        </w:rPr>
      </w:pPr>
      <w:r>
        <w:rPr>
          <w:rFonts w:ascii="Times New Roman" w:hAnsi="Times New Roman"/>
          <w:sz w:val="26"/>
          <w:szCs w:val="26"/>
        </w:rPr>
        <w:t>Sảnh tiệc: {TiecSanhTiec}</w:t>
      </w:r>
    </w:p>
    <w:p w14:paraId="7CA68AC3">
      <w:pPr>
        <w:spacing w:before="120" w:after="120" w:line="360" w:lineRule="auto"/>
        <w:ind w:left="-220" w:leftChars="-100"/>
        <w:jc w:val="both"/>
        <w:rPr>
          <w:rFonts w:ascii="Times New Roman" w:hAnsi="Times New Roman"/>
          <w:sz w:val="26"/>
          <w:szCs w:val="26"/>
        </w:rPr>
      </w:pPr>
      <w:r>
        <w:rPr>
          <w:rFonts w:ascii="Times New Roman" w:hAnsi="Times New Roman"/>
          <w:bCs/>
          <w:sz w:val="26"/>
          <w:szCs w:val="26"/>
        </w:rPr>
        <w:t xml:space="preserve"> Quy mô phục vụ của sảnh: từ {SanhQuyMoMin} bàn đến {SanhQuyMoMax} bàn</w:t>
      </w:r>
    </w:p>
    <w:p w14:paraId="4A5100A2">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Các dịch vụ, đơn giá, số lượng bàn tiệc, chương trình khuyến mại và các nội dung liên quan khác được quy định chi tiết tại các điều khoản và phụ lục kèm theo Hợp đồng này.</w:t>
      </w:r>
    </w:p>
    <w:p w14:paraId="1C264504">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ĐIÊU 2</w:t>
      </w:r>
      <w:r>
        <w:rPr>
          <w:rFonts w:ascii="Times New Roman" w:hAnsi="Times New Roman"/>
          <w:b/>
          <w:sz w:val="26"/>
          <w:szCs w:val="26"/>
        </w:rPr>
        <w:t>: QUY MÔ TIỆC</w:t>
      </w:r>
    </w:p>
    <w:p w14:paraId="03326CC5">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2.1. Tại thời điểm ký hợp đồng, Bên B yêu cầu Bên A tổ chức tiệc nêu trên với quy mô cụ thể như sau:</w:t>
      </w:r>
    </w:p>
    <w:p w14:paraId="40836B87">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bàn tiệc chính thức: {TiecSoBanChinhThuc} </w:t>
      </w:r>
    </w:p>
    <w:p w14:paraId="0CC0E919">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lượng bàn tặng: {TiecSoBanTang} </w:t>
      </w:r>
    </w:p>
    <w:p w14:paraId="5FBB2066">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Số lượng bàn dự phòng: {TiecSoBanDuPhong}</w:t>
      </w:r>
      <w:r>
        <w:rPr>
          <w:rFonts w:ascii="Times New Roman" w:hAnsi="Times New Roman"/>
          <w:b/>
          <w:bCs/>
          <w:sz w:val="26"/>
          <w:szCs w:val="26"/>
        </w:rPr>
        <w:t xml:space="preserve"> </w:t>
      </w:r>
    </w:p>
    <w:p w14:paraId="28D6CB5D">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khách trong một bàn: {TiecSoKhach1Ban} </w:t>
      </w:r>
    </w:p>
    <w:p w14:paraId="53446E40">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2.2. Bên A chuẩn bị số lượng bàn dự phòng để phục vụ phát sinh trong tiệc. Số lượng bàn dự phòng tối đa bằng 5% số lượng bàn tiệc chính thức quy định tại Điều 2.1 và do Bên A quyết định căn cứ điều kiện thực tế của sảnh tiệc.</w:t>
      </w:r>
    </w:p>
    <w:p w14:paraId="03466153">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Bàn dự phòng được bố trí sẵn trong sảnh để sử dụng khi phát sinh nhu cầu và chỉ được tính phí khi Bên B hoặc đại diện của Bên B xác nhận sử dụng thực tế.</w:t>
      </w:r>
    </w:p>
    <w:p w14:paraId="3E1058FC">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2.3. Giá bàn phát sinh được tính như sau:</w:t>
      </w:r>
    </w:p>
    <w:p w14:paraId="1F6A00BB">
      <w:pPr>
        <w:pStyle w:val="20"/>
        <w:numPr>
          <w:ilvl w:val="0"/>
          <w:numId w:val="2"/>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Trường hợp tổng số lượng bàn sử dụng thực tế vượt số lượng bàn chính thức nhưng không vượt quá 10% số lượng bàn chính thức quy định tại Điều 2.1 thì đơn giá thực đơn được áp dụng bằng đơn giá bàn tiệc chính thức.</w:t>
      </w:r>
    </w:p>
    <w:p w14:paraId="70920313">
      <w:pPr>
        <w:pStyle w:val="20"/>
        <w:numPr>
          <w:ilvl w:val="0"/>
          <w:numId w:val="2"/>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Trường hợp tổng số lượng bàn sử dụng thực tế vượt quá 10% số lượng bàn chính thức quy định tại Điều 2.1 thì phần bàn vượt quá 10% sẽ được tính theo đơn giá bàn tiệc chính thức cộng thêm 15%.</w:t>
      </w:r>
    </w:p>
    <w:p w14:paraId="3BBA6A5C">
      <w:pPr>
        <w:pStyle w:val="20"/>
        <w:spacing w:before="120" w:after="120" w:line="360" w:lineRule="auto"/>
        <w:ind w:left="-220"/>
        <w:jc w:val="both"/>
        <w:rPr>
          <w:rFonts w:ascii="Times New Roman" w:hAnsi="Times New Roman"/>
          <w:sz w:val="26"/>
          <w:szCs w:val="26"/>
        </w:rPr>
      </w:pPr>
      <w:r>
        <w:rPr>
          <w:rFonts w:ascii="Times New Roman" w:hAnsi="Times New Roman"/>
          <w:sz w:val="26"/>
          <w:szCs w:val="26"/>
        </w:rPr>
        <w:t>2.4. Số lượng bàn tiệc có thể được thay đổi với số bàn tiệc đã đặt nêu tại Điều 2.1 nhưng Bên B phải thông báo ít nhất 10 (mười) ngày trước ngày tổ chức tiệc và có sự đồng ý của bên A.</w:t>
      </w:r>
    </w:p>
    <w:p w14:paraId="798F2602">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2.5. Trong trường hợp số bàn tiệc điều chỉnh giảm so với số bàn tiệc đã đặt nêu tại Điều 2.1, Bên A tính phí 1.000.000đồng/bàn (tính theo số lượng bàn mà bên B đã giảm) và số lượng bàn tiệc giảm không quá 10% so với số lượng bàn Bên B đã đặt.</w:t>
      </w:r>
    </w:p>
    <w:p w14:paraId="1DCC42E1">
      <w:pPr>
        <w:spacing w:before="120" w:after="120" w:line="360" w:lineRule="auto"/>
        <w:ind w:left="-220" w:leftChars="-100" w:firstLine="220"/>
        <w:jc w:val="both"/>
        <w:rPr>
          <w:rFonts w:ascii="Times New Roman" w:hAnsi="Times New Roman"/>
          <w:sz w:val="26"/>
          <w:szCs w:val="26"/>
        </w:rPr>
      </w:pPr>
      <w:r>
        <w:rPr>
          <w:rFonts w:ascii="Times New Roman" w:hAnsi="Times New Roman"/>
          <w:sz w:val="26"/>
          <w:szCs w:val="26"/>
        </w:rPr>
        <w:t xml:space="preserve"> Sau khi điều chỉnh, số lượng bàn tiệc không được thấp hơn quy mô tối thiểu của sảnh tiệc đã lựa chọn. Trường hợp số lượng bàn thực tế thấp hơn quy mô tối thiểu của sảnh, Bên A có quyền áp dụng phụ phí theo chính sách của sảnh hoặc bố trí chuyển sang sảnh khác phù hợp.</w:t>
      </w:r>
    </w:p>
    <w:p w14:paraId="03B20BB9">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2.6. Trong trường hợp số lượng bàn tăng quá 10%, Bên B phải thông báo cho Bên A trước tiệc 10 ngày và phải có sự đồng ý của Bên A.</w:t>
      </w:r>
    </w:p>
    <w:p w14:paraId="0D696DA8">
      <w:pPr>
        <w:spacing w:before="120" w:after="120" w:line="360" w:lineRule="auto"/>
        <w:ind w:left="-220" w:leftChars="-100"/>
        <w:jc w:val="both"/>
        <w:rPr>
          <w:rFonts w:ascii="Times New Roman" w:hAnsi="Times New Roman"/>
          <w:b/>
          <w:sz w:val="26"/>
          <w:szCs w:val="26"/>
        </w:rPr>
      </w:pPr>
      <w:r>
        <w:rPr>
          <w:rFonts w:ascii="Times New Roman" w:hAnsi="Times New Roman"/>
          <w:sz w:val="26"/>
          <w:szCs w:val="26"/>
        </w:rPr>
        <w:t>2.7. Số lượng bàn thanh toán cuối cùng là số lượng bàn thực tế được Bên A phục vụ, bao gồm bàn chính thức, bàn dự phòng đã sử dụng và các bàn phát sinh được Bên B xác nhận.</w:t>
      </w:r>
    </w:p>
    <w:p w14:paraId="60786862">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ĐIỀU 3</w:t>
      </w:r>
      <w:r>
        <w:rPr>
          <w:rFonts w:ascii="Times New Roman" w:hAnsi="Times New Roman"/>
          <w:b/>
          <w:sz w:val="26"/>
          <w:szCs w:val="26"/>
        </w:rPr>
        <w:t>: THỰC ĐƠN ĐẶT TIỆC VÀ DỊCH VỤ ĐI KÈM</w:t>
      </w:r>
    </w:p>
    <w:p w14:paraId="06496FF1">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3.1. Thực đơn đặt tiệc có ít nhất </w:t>
      </w:r>
      <w:r>
        <w:rPr>
          <w:rFonts w:ascii="Times New Roman" w:hAnsi="Times New Roman"/>
          <w:b/>
          <w:sz w:val="26"/>
          <w:szCs w:val="26"/>
        </w:rPr>
        <w:t>06</w:t>
      </w:r>
      <w:r>
        <w:rPr>
          <w:rFonts w:ascii="Times New Roman" w:hAnsi="Times New Roman"/>
          <w:sz w:val="26"/>
          <w:szCs w:val="26"/>
        </w:rPr>
        <w:t xml:space="preserve"> món ăn, gồm </w:t>
      </w:r>
      <w:r>
        <w:rPr>
          <w:rFonts w:ascii="Times New Roman" w:hAnsi="Times New Roman"/>
          <w:b/>
          <w:sz w:val="26"/>
          <w:szCs w:val="26"/>
        </w:rPr>
        <w:t>05</w:t>
      </w:r>
      <w:r>
        <w:rPr>
          <w:rFonts w:ascii="Times New Roman" w:hAnsi="Times New Roman"/>
          <w:sz w:val="26"/>
          <w:szCs w:val="26"/>
        </w:rPr>
        <w:t xml:space="preserve"> món mặn và </w:t>
      </w:r>
      <w:r>
        <w:rPr>
          <w:rFonts w:ascii="Times New Roman" w:hAnsi="Times New Roman"/>
          <w:b/>
          <w:sz w:val="26"/>
          <w:szCs w:val="26"/>
        </w:rPr>
        <w:t>01</w:t>
      </w:r>
      <w:r>
        <w:rPr>
          <w:rFonts w:ascii="Times New Roman" w:hAnsi="Times New Roman"/>
          <w:sz w:val="26"/>
          <w:szCs w:val="26"/>
        </w:rPr>
        <w:t xml:space="preserve"> món tráng miệng.</w:t>
      </w:r>
    </w:p>
    <w:p w14:paraId="4A581916">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3.2. Chậm nhất </w:t>
      </w:r>
      <w:r>
        <w:rPr>
          <w:rFonts w:ascii="Times New Roman" w:hAnsi="Times New Roman"/>
          <w:b/>
          <w:bCs/>
          <w:sz w:val="26"/>
          <w:szCs w:val="26"/>
        </w:rPr>
        <w:t>30</w:t>
      </w:r>
      <w:r>
        <w:rPr>
          <w:rFonts w:ascii="Times New Roman" w:hAnsi="Times New Roman"/>
          <w:sz w:val="26"/>
          <w:szCs w:val="26"/>
        </w:rPr>
        <w:t xml:space="preserve"> ngày trước ngày tổ chức tiệc quy định tại Điều 1, Bên B phải liên hệ Bên A để lựa chọn và xác nhận thực đơn tiệc. Thực đơn đãi tiệc có thể được thay đổi nếu Bên B thông báo ít nhất 10 ngày trước ngày đãi tiệc với điều kiện giá thực đơn, dịch vụ sau khi điều chỉnh phải bằng hoặc cao hơn giá đã ký trong Hợp đồng hoặc các phụ lục đã được hai bên xác nhận.</w:t>
      </w:r>
    </w:p>
    <w:p w14:paraId="736FD09E">
      <w:pPr>
        <w:rPr>
          <w:rFonts w:ascii="Times New Roman" w:hAnsi="Times New Roman"/>
          <w:sz w:val="26"/>
          <w:szCs w:val="26"/>
        </w:rPr>
      </w:pPr>
    </w:p>
    <w:p w14:paraId="4990227B">
      <w:pPr>
        <w:tabs>
          <w:tab w:val="left" w:pos="6527"/>
        </w:tabs>
        <w:rPr>
          <w:rFonts w:ascii="Times New Roman" w:hAnsi="Times New Roman"/>
          <w:sz w:val="26"/>
          <w:szCs w:val="26"/>
        </w:rPr>
      </w:pPr>
      <w:r>
        <w:rPr>
          <w:rFonts w:ascii="Times New Roman" w:hAnsi="Times New Roman"/>
          <w:sz w:val="26"/>
          <w:szCs w:val="26"/>
        </w:rPr>
        <w:tab/>
      </w:r>
    </w:p>
    <w:p w14:paraId="30C74519">
      <w:pPr>
        <w:pStyle w:val="18"/>
        <w:tabs>
          <w:tab w:val="left" w:pos="1080"/>
        </w:tabs>
        <w:spacing w:before="20" w:after="20" w:line="360" w:lineRule="auto"/>
        <w:ind w:left="-220" w:leftChars="-100" w:right="-28"/>
        <w:jc w:val="both"/>
        <w:rPr>
          <w:rFonts w:ascii="Times New Roman" w:hAnsi="Times New Roman"/>
          <w:b w:val="0"/>
          <w:sz w:val="26"/>
          <w:szCs w:val="26"/>
        </w:rPr>
      </w:pPr>
      <w:r>
        <w:rPr>
          <w:rFonts w:ascii="Times New Roman" w:hAnsi="Times New Roman"/>
          <w:b w:val="0"/>
          <w:sz w:val="26"/>
          <w:szCs w:val="26"/>
        </w:rPr>
        <w:t>3.3. Trong trường hợp tiệc sử dụng bàn dự phòng hoặc bàn phát sinh, thực đơn những bàn tiệc dự phòng/bàn phát sinh có thể không giống với thực đơn bàn tiệc chính thức. Khi đó, Bên A chỉ chuẩn bị thực đơn của bàn dự phòng/phát sinh khi có sự xác nhận của Bên B.</w:t>
      </w:r>
    </w:p>
    <w:p w14:paraId="67B29D55">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ĐIỀU 4</w:t>
      </w:r>
      <w:r>
        <w:rPr>
          <w:rFonts w:ascii="Times New Roman" w:hAnsi="Times New Roman"/>
          <w:b/>
          <w:sz w:val="26"/>
          <w:szCs w:val="26"/>
        </w:rPr>
        <w:t>: GIÁ BÀN TIỆC VÀ DỊCH VỤ KHÁC</w:t>
      </w:r>
    </w:p>
    <w:p w14:paraId="4A4AAA22">
      <w:pPr>
        <w:tabs>
          <w:tab w:val="left" w:pos="9270"/>
        </w:tabs>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4.1. Giá bàn tiệc sẽ căn cứ vào Phụ lục (thực đơn đặt tiệc) được lập khi Bên B xác nhận thực đơn đãi tiệc như nêu tại Điều 3.2. </w:t>
      </w:r>
      <w:r>
        <w:rPr>
          <w:rFonts w:ascii="Times New Roman" w:hAnsi="Times New Roman"/>
          <w:color w:val="EE0000"/>
          <w:sz w:val="26"/>
          <w:szCs w:val="26"/>
        </w:rPr>
        <w:t>Giá bàn tiệc chưa bao gồm thuế VAT.</w:t>
      </w:r>
    </w:p>
    <w:p w14:paraId="2D6DB58A">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4.2. Ngoài chi phí bàn tiệc nêu tại Điều 4.1, Bên B còn phải thanh toán các khoản phí dưới đây phát sinh trong quá trình đãi tiệc gồm:</w:t>
      </w:r>
    </w:p>
    <w:p w14:paraId="2581A66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Nước uống: Bia, nước ngọt và nước uống khác được tính theo số lượng thực tế sử dụng, căn cứ báo giá tại thời điểm đãi tiệc hoặc theo chương trình khuyến mãi ở phụ lục đính kèm. Thức uống được Bên A khuyến mãi (nếu có) chỉ được sử dụng trong thời gian và phạm vi tổ chức tiệc tại nhà hàng. Phần thức uống khuyến mãi chưa sử dụng hết sẽ không được quy đổi thành tiền mặt hoặc mang ra khỏi nhà hàng, trừ trường hợp có thỏa thuận khác bằng văn bản.</w:t>
      </w:r>
    </w:p>
    <w:p w14:paraId="79D8AC34">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 xml:space="preserve">Phí phục vụ: </w:t>
      </w:r>
      <w:r>
        <w:rPr>
          <w:rFonts w:ascii="Times New Roman" w:hAnsi="Times New Roman"/>
          <w:b/>
          <w:sz w:val="26"/>
          <w:szCs w:val="26"/>
        </w:rPr>
        <w:t>180.000vnđ/ bàn tiệc</w:t>
      </w:r>
      <w:r>
        <w:rPr>
          <w:rFonts w:ascii="Times New Roman" w:hAnsi="Times New Roman"/>
          <w:sz w:val="26"/>
          <w:szCs w:val="26"/>
        </w:rPr>
        <w:t>;</w:t>
      </w:r>
    </w:p>
    <w:p w14:paraId="0853465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bCs/>
          <w:sz w:val="26"/>
          <w:szCs w:val="26"/>
        </w:rPr>
        <w:t>Phí phục vụ rượu, nước nếu bên B được Bên A cho phép đưa vào (nếu có):</w:t>
      </w:r>
    </w:p>
    <w:p w14:paraId="7DBE76C1">
      <w:pPr>
        <w:numPr>
          <w:ilvl w:val="0"/>
          <w:numId w:val="3"/>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Rượu mạnh: 300.000vnđ/chai 750ml</w:t>
      </w:r>
    </w:p>
    <w:p w14:paraId="0EDED3AF">
      <w:pPr>
        <w:numPr>
          <w:ilvl w:val="0"/>
          <w:numId w:val="3"/>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Rượu Vang hoặc Champagne: 200.000vnđ/chai 750ml</w:t>
      </w:r>
    </w:p>
    <w:p w14:paraId="156BA6E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Các khoản phí dịch vụ khác (nếu có) theo yêu cầu của Bên B hoặc ngoài phạm vi dịch vụ được ghi nhận trong hợp đồng sẽ được hai bên xác nhận và thanh toán bổ sung theo thực tế phát sinh.</w:t>
      </w:r>
    </w:p>
    <w:p w14:paraId="5DEFE7CE">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4.3. Căn cứ vào số bàn tiệc nêu tại Điều 2.1 thì Bên B được hưởng các dịch vụ khuyến mãi và chương trình ưu đãi như nêu tại Phụ lục đính kèm. </w:t>
      </w:r>
    </w:p>
    <w:p w14:paraId="579CA087">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Trong trường hợp Bên B yêu cầu thay đổi số bàn tiệc thì dịch vụ khuyến mãi và chương trình ưu đãi sẽ thay đổi tương ứng với số bàn tiệc đặt chính thức trước ngày diễn ra tiệc và được điều chỉnh trong Phụ lục Hợp đồng đính kèm.</w:t>
      </w:r>
    </w:p>
    <w:p w14:paraId="2EC73AF4">
      <w:pPr>
        <w:pStyle w:val="18"/>
        <w:spacing w:before="120" w:after="120" w:line="360" w:lineRule="auto"/>
        <w:ind w:left="-220" w:leftChars="-100"/>
        <w:jc w:val="both"/>
        <w:outlineLvl w:val="0"/>
        <w:rPr>
          <w:rFonts w:ascii="Times New Roman" w:hAnsi="Times New Roman"/>
          <w:b w:val="0"/>
          <w:sz w:val="26"/>
          <w:szCs w:val="26"/>
        </w:rPr>
      </w:pPr>
      <w:r>
        <w:rPr>
          <w:rFonts w:ascii="Times New Roman" w:hAnsi="Times New Roman"/>
          <w:bCs/>
          <w:sz w:val="26"/>
          <w:szCs w:val="26"/>
          <w:u w:val="single"/>
        </w:rPr>
        <w:t>ĐIỀU 5</w:t>
      </w:r>
      <w:r>
        <w:rPr>
          <w:rFonts w:ascii="Times New Roman" w:hAnsi="Times New Roman"/>
          <w:bCs/>
          <w:sz w:val="26"/>
          <w:szCs w:val="26"/>
        </w:rPr>
        <w:t>.</w:t>
      </w:r>
      <w:r>
        <w:rPr>
          <w:rFonts w:ascii="Times New Roman" w:hAnsi="Times New Roman"/>
          <w:b w:val="0"/>
          <w:sz w:val="26"/>
          <w:szCs w:val="26"/>
        </w:rPr>
        <w:t xml:space="preserve"> </w:t>
      </w:r>
      <w:r>
        <w:rPr>
          <w:rFonts w:ascii="Times New Roman" w:hAnsi="Times New Roman"/>
          <w:bCs/>
          <w:sz w:val="26"/>
          <w:szCs w:val="26"/>
        </w:rPr>
        <w:t>PHƯƠNG THỨC VÀ THỜI HẠN THANH TOÁN</w:t>
      </w:r>
    </w:p>
    <w:p w14:paraId="2C2D694D">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sz w:val="26"/>
          <w:szCs w:val="26"/>
        </w:rPr>
        <w:t xml:space="preserve">5.1. Phương thức thanh toán: </w:t>
      </w:r>
    </w:p>
    <w:p w14:paraId="6B79873D">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Cs/>
          <w:sz w:val="26"/>
          <w:szCs w:val="26"/>
        </w:rPr>
        <w:tab/>
      </w:r>
      <w:r>
        <w:rPr>
          <w:rFonts w:ascii="Times New Roman" w:hAnsi="Times New Roman"/>
          <w:sz w:val="26"/>
          <w:szCs w:val="26"/>
          <w:u w:val="single"/>
        </w:rPr>
        <w:t>Lần 1</w:t>
      </w:r>
      <w:r>
        <w:rPr>
          <w:rFonts w:ascii="Times New Roman" w:hAnsi="Times New Roman"/>
          <w:sz w:val="26"/>
          <w:szCs w:val="26"/>
        </w:rPr>
        <w:t>:</w:t>
      </w:r>
      <w:r>
        <w:rPr>
          <w:rFonts w:ascii="Times New Roman" w:hAnsi="Times New Roman"/>
          <w:b w:val="0"/>
          <w:bCs/>
          <w:sz w:val="26"/>
          <w:szCs w:val="26"/>
        </w:rPr>
        <w:t xml:space="preserve"> </w:t>
      </w:r>
      <w:r>
        <w:rPr>
          <w:rFonts w:ascii="Times New Roman" w:hAnsi="Times New Roman"/>
          <w:sz w:val="26"/>
          <w:szCs w:val="26"/>
        </w:rPr>
        <w:t>Đặt cọc giữ chỗ</w:t>
      </w:r>
    </w:p>
    <w:p w14:paraId="652D6D76">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Bên B thanh toán cho Bên A khoản tiền đặt cọc giữ chỗ/sảnh tổ chức tiệc là: {CocLan1SoTien} VNĐ</w:t>
      </w:r>
      <w:r>
        <w:rPr>
          <w:rFonts w:ascii="Times New Roman" w:hAnsi="Times New Roman"/>
          <w:bCs/>
          <w:sz w:val="26"/>
          <w:szCs w:val="26"/>
        </w:rPr>
        <w:t xml:space="preserve"> (Bằng chữ: {CocLan1BangChu}) </w:t>
      </w:r>
      <w:r>
        <w:rPr>
          <w:rFonts w:ascii="Times New Roman" w:hAnsi="Times New Roman"/>
          <w:b w:val="0"/>
          <w:bCs/>
          <w:sz w:val="26"/>
          <w:szCs w:val="26"/>
        </w:rPr>
        <w:t>ngay sau khi ký Hợp đồng vào ngày {CocNgay} tháng {CocThang} năm {CocNam}</w:t>
      </w:r>
      <w:r>
        <w:rPr>
          <w:rFonts w:ascii="Times New Roman" w:hAnsi="Times New Roman"/>
          <w:sz w:val="26"/>
          <w:szCs w:val="26"/>
        </w:rPr>
        <w:t xml:space="preserve"> </w:t>
      </w:r>
    </w:p>
    <w:p w14:paraId="19F97244">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Khoản tiền này nhằm xác nhận việc giữ chỗ/sảnh tổ chức tiệc và thực hiện Hợp đồng. Việc hoàn trả hoặc xử lý khoản tiền đặt cọc được thực hiện theo quy định tại Điều 6 của Hợp đồng này. Khoản tiệc cọc được khấu trừ vào tổng giá trị thanh toán khi quyết toán Hợp đồng.</w:t>
      </w:r>
    </w:p>
    <w:p w14:paraId="04542690">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ab/>
      </w:r>
      <w:r>
        <w:rPr>
          <w:rFonts w:ascii="Times New Roman" w:hAnsi="Times New Roman"/>
          <w:sz w:val="26"/>
          <w:szCs w:val="26"/>
          <w:u w:val="single"/>
        </w:rPr>
        <w:t>Lần 2</w:t>
      </w:r>
      <w:r>
        <w:rPr>
          <w:rFonts w:ascii="Times New Roman" w:hAnsi="Times New Roman"/>
          <w:b w:val="0"/>
          <w:bCs/>
          <w:sz w:val="26"/>
          <w:szCs w:val="26"/>
        </w:rPr>
        <w:t xml:space="preserve">: </w:t>
      </w:r>
      <w:r>
        <w:rPr>
          <w:rFonts w:ascii="Times New Roman" w:hAnsi="Times New Roman"/>
          <w:sz w:val="26"/>
          <w:szCs w:val="26"/>
        </w:rPr>
        <w:t>Đặt cọc thực hiện Hợp đồng</w:t>
      </w:r>
    </w:p>
    <w:p w14:paraId="1ACD3471">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 xml:space="preserve">Trước ngày đãi tiệc </w:t>
      </w:r>
      <w:r>
        <w:rPr>
          <w:rFonts w:ascii="Times New Roman" w:hAnsi="Times New Roman"/>
          <w:bCs/>
          <w:sz w:val="26"/>
          <w:szCs w:val="26"/>
        </w:rPr>
        <w:t>30</w:t>
      </w:r>
      <w:r>
        <w:rPr>
          <w:rFonts w:ascii="Times New Roman" w:hAnsi="Times New Roman"/>
          <w:b w:val="0"/>
          <w:bCs/>
          <w:sz w:val="26"/>
          <w:szCs w:val="26"/>
        </w:rPr>
        <w:t xml:space="preserve"> ngày nêu tại Điều 3.2, Bên B phải thanh toán tiếp cho Bên A một số tiền tương đương 50% tổng giá trị hợp đồng tạm tính tại thời điểm thanh toán.</w:t>
      </w:r>
    </w:p>
    <w:p w14:paraId="19275269">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Khoản tiền này nhằm đảm bảo việc thực hiện Hợp đồng và được khấu trừ vào tổng giá trị thanh toán khi quyết toán</w:t>
      </w:r>
    </w:p>
    <w:p w14:paraId="512E220C">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ab/>
      </w:r>
      <w:r>
        <w:rPr>
          <w:rFonts w:ascii="Times New Roman" w:hAnsi="Times New Roman"/>
          <w:sz w:val="26"/>
          <w:szCs w:val="26"/>
          <w:u w:val="single"/>
        </w:rPr>
        <w:t>Lần 3</w:t>
      </w:r>
      <w:r>
        <w:rPr>
          <w:rFonts w:ascii="Times New Roman" w:hAnsi="Times New Roman"/>
          <w:sz w:val="26"/>
          <w:szCs w:val="26"/>
        </w:rPr>
        <w:t>:</w:t>
      </w:r>
      <w:r>
        <w:rPr>
          <w:rFonts w:ascii="Times New Roman" w:hAnsi="Times New Roman"/>
          <w:b w:val="0"/>
          <w:bCs/>
          <w:sz w:val="26"/>
          <w:szCs w:val="26"/>
        </w:rPr>
        <w:t xml:space="preserve"> </w:t>
      </w:r>
      <w:r>
        <w:rPr>
          <w:rFonts w:ascii="Times New Roman" w:hAnsi="Times New Roman"/>
          <w:sz w:val="26"/>
          <w:szCs w:val="26"/>
        </w:rPr>
        <w:t>Thanh toán giá trị còn lại</w:t>
      </w:r>
    </w:p>
    <w:p w14:paraId="4D618E1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Ngay sau khi hai bên hoàn tất việc xác nhận số lượng bàn thực tế, đồ uống thực tế sử dụng và các khoản phát sinh, Bên B thanh toán toàn bộ giá trị còn lại của Hợp đồng và các khoản phát sinh thực tế (nếu có)</w:t>
      </w:r>
    </w:p>
    <w:p w14:paraId="0E6504FD">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sz w:val="26"/>
          <w:szCs w:val="26"/>
        </w:rPr>
        <w:t xml:space="preserve">5.2. Đồng tiền và hình thức thanh toán: </w:t>
      </w:r>
    </w:p>
    <w:p w14:paraId="1B399ED4">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Đồng tiền thanh toán:  Việt Nam đồng.</w:t>
      </w:r>
    </w:p>
    <w:p w14:paraId="2619EFAD">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Hình thức thanh toán: Chuyển khoản hoặc tiền mặt</w:t>
      </w:r>
    </w:p>
    <w:p w14:paraId="0C8EF8B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 xml:space="preserve">5.3. Căn cứ quyết toán: </w:t>
      </w:r>
      <w:r>
        <w:rPr>
          <w:rFonts w:ascii="Times New Roman" w:hAnsi="Times New Roman"/>
          <w:b w:val="0"/>
          <w:bCs/>
          <w:sz w:val="26"/>
          <w:szCs w:val="26"/>
        </w:rPr>
        <w:t>Giá trị quyết toán cuối cùng của Hợp đồng được xác định trên cơ sở:</w:t>
      </w:r>
    </w:p>
    <w:p w14:paraId="615F1B21">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u w:val="single"/>
        </w:rPr>
        <w:t xml:space="preserve"> </w:t>
      </w:r>
      <w:r>
        <w:rPr>
          <w:rFonts w:ascii="Times New Roman" w:hAnsi="Times New Roman"/>
          <w:b w:val="0"/>
          <w:bCs/>
          <w:sz w:val="26"/>
          <w:szCs w:val="26"/>
        </w:rPr>
        <w:t>Số lượng bàn tiệc thực tế (bao gồm bàn chính thức, bàn dự phòng và bàn phát sinh);</w:t>
      </w:r>
    </w:p>
    <w:p w14:paraId="40DAC1E5">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Đồ uống thực tế sử dụng;</w:t>
      </w:r>
    </w:p>
    <w:p w14:paraId="5F023A8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khoản phí dịch vụ phát sinh theo Hợp đồng;</w:t>
      </w:r>
    </w:p>
    <w:p w14:paraId="0E6D83F3">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chương trình khuyến mãi, ưu đãi được áp dụng theo Hợp đồng và Phụ lục Hợp đồng.</w:t>
      </w:r>
    </w:p>
    <w:p w14:paraId="4D235D46">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Biên bản giao nhận tiệc và các chứng từ liên quan (nếu có) là căn cứ để hai bên thực hiện quyết toán và thanh toán giá trị còn lại của Hợp đồng.</w:t>
      </w:r>
    </w:p>
    <w:p w14:paraId="2F87620A">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Trường hợp người đại diện của Bên B hoặc người được Bên B chỉ định ký xác nhận tại Biên bản giao nhận tiệc và các chứng từ liên quan (nếu có) thì các xác nhận đó có giá trị ràng buộc đối với bên B và là căn cứ để bên A thực hiện quyết toán theo quy định của Hợp đồng.</w:t>
      </w:r>
    </w:p>
    <w:p w14:paraId="63E86C2E">
      <w:pPr>
        <w:pStyle w:val="18"/>
        <w:numPr>
          <w:ilvl w:val="12"/>
          <w:numId w:val="0"/>
        </w:numPr>
        <w:spacing w:before="120" w:after="120" w:line="360" w:lineRule="auto"/>
        <w:ind w:left="-220" w:leftChars="-100"/>
        <w:jc w:val="both"/>
        <w:rPr>
          <w:rFonts w:ascii="Times New Roman" w:hAnsi="Times New Roman"/>
          <w:sz w:val="26"/>
          <w:szCs w:val="26"/>
        </w:rPr>
      </w:pPr>
      <w:r>
        <w:rPr>
          <w:rFonts w:ascii="Times New Roman" w:hAnsi="Times New Roman"/>
          <w:sz w:val="26"/>
          <w:szCs w:val="26"/>
          <w:u w:val="single"/>
        </w:rPr>
        <w:t>ĐIỀU 6</w:t>
      </w:r>
      <w:r>
        <w:rPr>
          <w:rFonts w:ascii="Times New Roman" w:hAnsi="Times New Roman"/>
          <w:b w:val="0"/>
          <w:sz w:val="26"/>
          <w:szCs w:val="26"/>
        </w:rPr>
        <w:t xml:space="preserve">: </w:t>
      </w:r>
      <w:r>
        <w:rPr>
          <w:rFonts w:ascii="Times New Roman" w:hAnsi="Times New Roman"/>
          <w:sz w:val="26"/>
          <w:szCs w:val="26"/>
        </w:rPr>
        <w:t>HỦY TIỆC - CHUYỂN TIỆC</w:t>
      </w:r>
    </w:p>
    <w:p w14:paraId="1B95FB72">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6.1. Hủy tiệc</w:t>
      </w:r>
    </w:p>
    <w:p w14:paraId="26926E44">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Trong trường hợp đến thời điểm chọn thực đơn theo quy định tại Điều 3.2 mà Bên B không đến chọn thực đơn và không thực hiện thanh toán đợt 2 theo quy định tại Điều 5.1 thì được xem là Bên B đơn phương chấm dứt Hợp đồng. Khi đó, Bên B mất toàn bộ khoản tiền đặt cọc đợt 1 đã thanh toán và Bên A có quyền sử dụng sảnh tiệc nêu tại Điều 1 để cung cấp dịch vụ cho khách hàng khác.</w:t>
      </w:r>
    </w:p>
    <w:p w14:paraId="7EF9AB07">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Trường hợp Bên B thông báo hủy tiệc sau khi đã ký Hợp đồng và trước ngày tổ chức tiệc thì toàn bộ số tiền Bên B đã thanh toán cho Bên A sẽ không được hoàn lại.</w:t>
      </w:r>
    </w:p>
    <w:p w14:paraId="01F0AFC9">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6.2. Chuyển tiệc sau khi thanh toán đợt 1</w:t>
      </w:r>
    </w:p>
    <w:p w14:paraId="12D30CC3">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Sau khi thanh toán đợt 1 theo Điều 5.1, Bên B có nhu cầu thay đổi ngày tổ chức tiệc phải thông báo cho Bên A bằng điện thoại, email hoặc trực tiếp và được Bên A chấp thuận.</w:t>
      </w:r>
    </w:p>
    <w:p w14:paraId="7E3CA0C2">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Ngày tổ chức mới phải đáp ứng các điều kiện sau:</w:t>
      </w:r>
    </w:p>
    <w:p w14:paraId="208843E4">
      <w:pPr>
        <w:pStyle w:val="18"/>
        <w:numPr>
          <w:ilvl w:val="0"/>
          <w:numId w:val="4"/>
        </w:numPr>
        <w:spacing w:before="120" w:after="120" w:line="360" w:lineRule="auto"/>
        <w:jc w:val="both"/>
        <w:rPr>
          <w:rFonts w:ascii="Times New Roman" w:hAnsi="Times New Roman"/>
          <w:b w:val="0"/>
          <w:sz w:val="26"/>
          <w:szCs w:val="26"/>
        </w:rPr>
      </w:pPr>
      <w:r>
        <w:rPr>
          <w:rFonts w:ascii="Times New Roman" w:hAnsi="Times New Roman"/>
          <w:b w:val="0"/>
          <w:sz w:val="26"/>
          <w:szCs w:val="26"/>
        </w:rPr>
        <w:t>Không vượt quá 06 (sáu) tháng kể từ ngày tổ chức tiệc ban đầu;</w:t>
      </w:r>
    </w:p>
    <w:p w14:paraId="0A19214F">
      <w:pPr>
        <w:pStyle w:val="18"/>
        <w:numPr>
          <w:ilvl w:val="0"/>
          <w:numId w:val="4"/>
        </w:numPr>
        <w:spacing w:before="120" w:after="120" w:line="360" w:lineRule="auto"/>
        <w:jc w:val="both"/>
        <w:rPr>
          <w:rFonts w:ascii="Times New Roman" w:hAnsi="Times New Roman"/>
          <w:b w:val="0"/>
          <w:sz w:val="26"/>
          <w:szCs w:val="26"/>
        </w:rPr>
      </w:pPr>
      <w:r>
        <w:rPr>
          <w:rFonts w:ascii="Times New Roman" w:hAnsi="Times New Roman"/>
          <w:b w:val="0"/>
          <w:sz w:val="26"/>
          <w:szCs w:val="26"/>
        </w:rPr>
        <w:t>Phù hợp với khả năng sắp xếp của Bên A</w:t>
      </w:r>
    </w:p>
    <w:p w14:paraId="0C5C4AFC">
      <w:pPr>
        <w:pStyle w:val="18"/>
        <w:numPr>
          <w:ilvl w:val="12"/>
          <w:numId w:val="2"/>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Trong trường hợp được chấp thuận chuyển tiệc:</w:t>
      </w:r>
    </w:p>
    <w:p w14:paraId="42F091B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phải thanh toán khoản đặt cọc giữ chỗ cho ngày tiệc mới theo chính sách của Bên A tại thời điểm chuyển tiệc;</w:t>
      </w:r>
    </w:p>
    <w:p w14:paraId="7D35B10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Khoản tiền Bên B đã thanh toán trước đó sẽ được cấn trừ vào giá trị tiệc của ngày tiệc mới khi và chỉ khi Bên A ký được Hợp đồng với khách hàng khác thay thế và tiệc của khách hàng đó đã được tổ chức thành công tại đúng thời gian và sảnh tiệc mà Bên B đã chuyển.</w:t>
      </w:r>
    </w:p>
    <w:p w14:paraId="6BB431F6">
      <w:pPr>
        <w:pStyle w:val="18"/>
        <w:numPr>
          <w:ilvl w:val="12"/>
          <w:numId w:val="5"/>
        </w:numPr>
        <w:spacing w:before="120" w:after="120" w:line="360" w:lineRule="auto"/>
        <w:ind w:left="-220"/>
        <w:jc w:val="both"/>
        <w:rPr>
          <w:rFonts w:ascii="Times New Roman" w:hAnsi="Times New Roman"/>
          <w:bCs/>
          <w:sz w:val="26"/>
          <w:szCs w:val="26"/>
        </w:rPr>
      </w:pPr>
      <w:r>
        <w:rPr>
          <w:rFonts w:ascii="Times New Roman" w:hAnsi="Times New Roman"/>
          <w:bCs/>
          <w:sz w:val="26"/>
          <w:szCs w:val="26"/>
        </w:rPr>
        <w:t>6.3. Chuyển tiệc sau khi thanh toán đợt 2</w:t>
      </w:r>
    </w:p>
    <w:p w14:paraId="147C09AB">
      <w:pPr>
        <w:pStyle w:val="18"/>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Sau khi thanh toán đợt 2 theo Điều 5.1, nếu Bên B yêu cầu chuyển tiệc thì áp dụng tương tự quy định tại Điều 6.2.</w:t>
      </w:r>
    </w:p>
    <w:p w14:paraId="44E06E21">
      <w:pPr>
        <w:pStyle w:val="18"/>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Trường hợp Bên A không ký được Hợp đồng với khách hàng thay thế thì:</w:t>
      </w:r>
    </w:p>
    <w:p w14:paraId="0D3346D4">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mất toàn bộ khoản đặt cọc đợt 1;</w:t>
      </w:r>
    </w:p>
    <w:p w14:paraId="22EB98D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mất 30% giá trị khoản thanh toán đợt 2.</w:t>
      </w:r>
    </w:p>
    <w:p w14:paraId="582E6F69">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Phần còn lại (nếu có) được cấn trừ vào giá trị tiệc tổ chức vào ngày tiệc mới.</w:t>
      </w:r>
    </w:p>
    <w:p w14:paraId="553E389D">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 xml:space="preserve">6.4. Số lần chuyển tiệc </w:t>
      </w:r>
    </w:p>
    <w:p w14:paraId="2D082E1D">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xml:space="preserve">Số lần yêu cầu chuyển tiệc tối đa: 01 lần, trừ trường hợp có sự đồng ý của Bên A. </w:t>
      </w:r>
    </w:p>
    <w:p w14:paraId="7FFF5440">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6.5. Trường hợp Bên B không sử dụng dịch vụ</w:t>
      </w:r>
    </w:p>
    <w:p w14:paraId="46008FFA">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đến ngày tổ chức tiệc mà Bên B không sử dụng dịch vụ theo quy định tại Hợp đồng và không thông báo trước cho Bên A thì ngoài trách nhiệm phải thanh toán đủ giá trị bàn tiệc và dịch vụ cho Bên A, Bên B còn phải chịu mọi chi phí phát sinh mà Bên A đã thực hiện để chuẩn bị tiệc.</w:t>
      </w:r>
    </w:p>
    <w:p w14:paraId="7B92A3B0">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Đối với thực phẩm, nguyên vật liệu và các hạng mục đã được chuẩn bị riêng cho buổi tiệc của Bên B, Bên A được toàn quyền định đoạt, sử dụng hoặc xử lý mà không phải bồi hoàn cho Bên B.</w:t>
      </w:r>
    </w:p>
    <w:p w14:paraId="0757C73C">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6.6. Các khoản tiền Bên B đã thanh toán theo Hợp đồng này được sử dụng để bảo đảm việc thực hiện Hợp đồng, bù đắp chi phí giữ chỗ, giữ sảnh tiệc, chuẩn bị nhân sự, nguyên vật liệu, chi phí vận hành và các cơ hội kinh doanh bị mất của Bên A.</w:t>
      </w:r>
    </w:p>
    <w:p w14:paraId="4DFB8F2B">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Trong các trường hợp hủy tiệc, chuyển tiệc hoặc không sử dụng dịch vụ dẫn đến việc Bên A không thể khai thác kinh doanh theo kế hoạch, việc xử lý các khoản tiền Bên B đã thanh toán được thực hiện theo quy định tại Điều 6 này.</w:t>
      </w:r>
    </w:p>
    <w:p w14:paraId="3BD58BE6">
      <w:pPr>
        <w:pStyle w:val="18"/>
        <w:numPr>
          <w:ilvl w:val="12"/>
          <w:numId w:val="0"/>
        </w:numPr>
        <w:spacing w:before="120" w:after="120" w:line="360" w:lineRule="auto"/>
        <w:ind w:left="-220" w:leftChars="-100"/>
        <w:jc w:val="both"/>
        <w:rPr>
          <w:rFonts w:ascii="Times New Roman" w:hAnsi="Times New Roman"/>
          <w:b w:val="0"/>
          <w:sz w:val="26"/>
          <w:szCs w:val="26"/>
        </w:rPr>
      </w:pPr>
    </w:p>
    <w:p w14:paraId="2DDDD951">
      <w:pPr>
        <w:pStyle w:val="18"/>
        <w:spacing w:before="120" w:after="120" w:line="360" w:lineRule="auto"/>
        <w:ind w:left="-220" w:leftChars="-100"/>
        <w:jc w:val="both"/>
        <w:outlineLvl w:val="0"/>
        <w:rPr>
          <w:rFonts w:ascii="Times New Roman" w:hAnsi="Times New Roman"/>
          <w:bCs/>
          <w:sz w:val="26"/>
          <w:szCs w:val="26"/>
        </w:rPr>
      </w:pPr>
      <w:r>
        <w:rPr>
          <w:rFonts w:ascii="Times New Roman" w:hAnsi="Times New Roman"/>
          <w:bCs/>
          <w:sz w:val="26"/>
          <w:szCs w:val="26"/>
          <w:u w:val="single"/>
        </w:rPr>
        <w:t>ĐIỀU 7</w:t>
      </w:r>
      <w:r>
        <w:rPr>
          <w:rFonts w:ascii="Times New Roman" w:hAnsi="Times New Roman"/>
          <w:bCs/>
          <w:sz w:val="26"/>
          <w:szCs w:val="26"/>
        </w:rPr>
        <w:t>: TRÁCH NHIỆM VÀ NGHĨA VỤ CỦA CÁC BÊN</w:t>
      </w:r>
    </w:p>
    <w:p w14:paraId="32E6B68B">
      <w:pPr>
        <w:pStyle w:val="18"/>
        <w:spacing w:before="120" w:after="120" w:line="360" w:lineRule="auto"/>
        <w:ind w:left="-220" w:leftChars="-100"/>
        <w:jc w:val="both"/>
        <w:outlineLvl w:val="0"/>
        <w:rPr>
          <w:rFonts w:ascii="Times New Roman" w:hAnsi="Times New Roman"/>
          <w:bCs/>
          <w:sz w:val="26"/>
          <w:szCs w:val="26"/>
        </w:rPr>
      </w:pPr>
      <w:r>
        <w:rPr>
          <w:rFonts w:ascii="Times New Roman" w:hAnsi="Times New Roman"/>
          <w:b w:val="0"/>
          <w:sz w:val="26"/>
          <w:szCs w:val="26"/>
        </w:rPr>
        <w:t>7.1</w:t>
      </w:r>
      <w:r>
        <w:rPr>
          <w:rFonts w:ascii="Times New Roman" w:hAnsi="Times New Roman"/>
          <w:bCs/>
          <w:sz w:val="26"/>
          <w:szCs w:val="26"/>
        </w:rPr>
        <w:t xml:space="preserve"> TRÁCH NHIỆM VÀ NGHĨA VỤ CỦA BÊN B:</w:t>
      </w:r>
    </w:p>
    <w:p w14:paraId="6250DF9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đồng ý sử dụng dịch vụ tổ chức tiệc của Bên A theo các nội dung đã thỏa thuận tại Hợp đồng và các Phụ lục đính kèm.</w:t>
      </w:r>
    </w:p>
    <w:p w14:paraId="4B14F484">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Thực hiện đầy đủ nghĩa vụ thanh toán theo quy định tại Hợp đồng này.</w:t>
      </w:r>
    </w:p>
    <w:p w14:paraId="58DC04C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Tuân thủ các điều khoản của Hợp đồng, nội quy, quy trình tổ chức tiệc và các hướng dẫn hợp lý của Bên A trong quá trình chuẩn bị, tổ chức và kết thúc tiệc.</w:t>
      </w:r>
    </w:p>
    <w:p w14:paraId="024FA0A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Tuân thủ các quy định của Bên A liên quan đến việc treo, trưng bày biểu ngữ, phông sân khấu, vật phẩm quảng cáo, trang trí và các hạng mục liên quan khác.</w:t>
      </w:r>
    </w:p>
    <w:p w14:paraId="4A03EA38">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tự ý di dời, thay đổi hiện trạng, tháo dỡ hoặc sử dụng sai mục đích các trang thiết bị, dụng cụ, tài sản của Bên A; không được khoan, đóng đinh, bắt vít hoặc gắn bất kỳ vật dụng nào lên tường, sàn, trần nhà khi chưa được Bên A chấp thuận.</w:t>
      </w:r>
    </w:p>
    <w:p w14:paraId="456EA1E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và khách mời của Bên B phải tuân thủ các quy định về an ninh, an toàn, phòng cháy chữa cháy và các quy định khác của Bên A trong suốt quá trình tham dự tiệc.</w:t>
      </w:r>
    </w:p>
    <w:p w14:paraId="6EE7F1DC">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chịu trách nhiệm đối với mọi thiệt hại về cơ sở vật chất, trang thiết bị, tài sản của Bên A phát sinh do lỗi của Bên B, khách mời, nhà thầu hoặc các đơn vị do Bên B thuê thực hiện. Mức bồi thường được xác định theo giá trị thiệt hại thực tế.</w:t>
      </w:r>
    </w:p>
    <w:p w14:paraId="353D3D5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mang thức ăn, rượu, bia, nước uống hoặc các hàng hóa khác từ bên ngoài vào sử dụng tại địa điểm tổ chức tiệc nếu không được Bên A chấp thuận trước. Trường hợp được chấp thuận, Bên B phải thanh toán các khoản phí phục vụ theo quy định tại Hợp đồng.</w:t>
      </w:r>
    </w:p>
    <w:p w14:paraId="25A4E1F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mang hoa giả hoặc các vật phẩm trang trí không phù hợp với quy định của Bên A vào địa điểm tổ chức tiệc nếu chưa được Bên A chấp thuận.</w:t>
      </w:r>
    </w:p>
    <w:p w14:paraId="2D16574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Bên A chấp thuận cho Bên B sử dụng các đơn vị cung cấp dịch vụ bên ngoài (bao gồm nhưng không giới hạn: đơn vị trang trí, âm thanh, ánh sáng, màn hình LED, chụp ảnh, quay phim, biểu diễn nghệ thuật, wedding planner và các dịch vụ phụ trợ khác), Bên B có trách nhiệm thực hiện đầy đủ các quy định tại “Bản Cam Kết Thi Công” của Bên A.</w:t>
      </w:r>
    </w:p>
    <w:p w14:paraId="3767048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Chậm nhất 10 (mười) ngày trước ngày tổ chức tiệc, Bên B phải cung cấp cho Bên A đầy đủ thông tin của đơn vị thi công và dịch vụ bên ngoài, bao gồm nhưng không giới hạn:</w:t>
      </w:r>
    </w:p>
    <w:p w14:paraId="07625EE1">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Tên đơn vị thực hiện;</w:t>
      </w:r>
    </w:p>
    <w:p w14:paraId="0DFA398E">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Người đại diện và thông tin liên hệ;</w:t>
      </w:r>
    </w:p>
    <w:p w14:paraId="0B65ED1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Danh mục hạng mục thi công;</w:t>
      </w:r>
    </w:p>
    <w:p w14:paraId="60E392C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Bản thiết kế, hình ảnh phối cảnh, hình ảnh trang trí, bản vẽ kỹ thuật (nếu có);</w:t>
      </w:r>
    </w:p>
    <w:p w14:paraId="1271E3F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Danh mục thiết bị, vật tư, hàng hóa mang vào địa điểm tổ chức tiệc;</w:t>
      </w:r>
    </w:p>
    <w:p w14:paraId="4A9E83C1">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Thời gian thi công, lắp đặt và tháo dỡ.</w:t>
      </w:r>
    </w:p>
    <w:p w14:paraId="03736BE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có trách nhiệm đảm bảo các đơn vị thi công hoàn tất việc thi công, thu dọn và bàn giao mặt bằng cho Bên A chậm nhất 02 (hai) giờ trước thời gian bắt đầu đón khách, trừ trường hợp có thỏa thuận khác bằng văn bản.</w:t>
      </w:r>
    </w:p>
    <w:p w14:paraId="73182CF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chịu hoàn toàn trách nhiệm về chất lượng, độ an toàn, nguồn gốc, quyền sở hữu trí tuệ (nếu có), phòng cháy chữa cháy và các vấn đề pháp lý liên quan đến hàng hóa, thiết bị, vật tư, dịch vụ do Bên B hoặc các đơn vị do Bên B thuê cung cấp.</w:t>
      </w:r>
    </w:p>
    <w:p w14:paraId="57159213">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có trách nhiệm chỉ định ít nhất 01 (một) người đại diện để phối hợp với Bên A trong quá trình tổ chức tiệc và ký xác nhận các nội dung liên quan đến bàn phát sinh, đồ uống phát sinh, dịch vụ phát sinh, Biên bản giao nhận tiệc và các chứng từ liên quan. Các xác nhận của người đại diện này có giá trị ràng buộc đối với Bên B.</w:t>
      </w:r>
    </w:p>
    <w:p w14:paraId="49BD419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A.</w:t>
      </w:r>
    </w:p>
    <w:p w14:paraId="230F7075">
      <w:pPr>
        <w:pStyle w:val="18"/>
        <w:spacing w:before="120" w:after="120" w:line="360" w:lineRule="auto"/>
        <w:ind w:left="-220" w:leftChars="-100"/>
        <w:jc w:val="both"/>
        <w:outlineLvl w:val="0"/>
        <w:rPr>
          <w:rFonts w:ascii="Times New Roman" w:hAnsi="Times New Roman"/>
          <w:bCs/>
          <w:sz w:val="26"/>
          <w:szCs w:val="26"/>
          <w:lang w:val="de-DE"/>
        </w:rPr>
      </w:pPr>
      <w:r>
        <w:rPr>
          <w:rFonts w:ascii="Times New Roman" w:hAnsi="Times New Roman"/>
          <w:b w:val="0"/>
          <w:sz w:val="26"/>
          <w:szCs w:val="26"/>
        </w:rPr>
        <w:t>7.2</w:t>
      </w:r>
      <w:r>
        <w:rPr>
          <w:rFonts w:ascii="Times New Roman" w:hAnsi="Times New Roman"/>
          <w:bCs/>
          <w:sz w:val="26"/>
          <w:szCs w:val="26"/>
        </w:rPr>
        <w:t xml:space="preserve"> </w:t>
      </w:r>
      <w:r>
        <w:rPr>
          <w:rFonts w:ascii="Times New Roman" w:hAnsi="Times New Roman"/>
          <w:bCs/>
          <w:sz w:val="26"/>
          <w:szCs w:val="26"/>
          <w:lang w:val="de-DE"/>
        </w:rPr>
        <w:t>TRÁCH NHIỆM VÀ NGHĨA VỤ CỦA BÊN A:</w:t>
      </w:r>
    </w:p>
    <w:p w14:paraId="4B98C27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Thực hiện đúng các nội dung về thực đơn, giá cả, chương trình khuyến mãi, dịch vụ và các cam kết khác đã được hai bên thống nhất tại Hợp đồng và các Phụ lục đính kèm.</w:t>
      </w:r>
    </w:p>
    <w:p w14:paraId="38DB93CC">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Đảm bảo địa điểm tổ chức, cơ sở vật chất, trang thiết bị, nhân sự phục vụ và các điều kiện cần thiết để tổ chức tiệc theo đúng nội dung đã thỏa thuận.</w:t>
      </w:r>
    </w:p>
    <w:p w14:paraId="4F11211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tự ý thay đổi ngày tổ chức tiệc hoặc đơn phương hủy bỏ Hợp đồng nếu không có sự đồng ý của Bên B, trừ trường hợp bất khả kháng hoặc các trường hợp khác được quy định trong Hợp đồng.</w:t>
      </w:r>
    </w:p>
    <w:p w14:paraId="358F71A3">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Bên A đơn phương hủy bỏ Hợp đồng, tự ý thay đổi ngày tổ chức tiệc hoặc không thể cung cấp dịch vụ theo đúng nội dung đã cam kết mà không thuộc trường hợp bất khả kháng thì Bên A phải hoàn trả toàn bộ số tiền Bên B đã thanh toán và bồi thường cho Bên B một khoản tiền tương đương số tiền đặt cọc mà Bên B đã thanh toán.</w:t>
      </w:r>
    </w:p>
    <w:p w14:paraId="60F17D95">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Đảm bảo vệ sinh an toàn thực phẩm theo quy định của pháp luật.</w:t>
      </w:r>
    </w:p>
    <w:p w14:paraId="29C5672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cơ quan nhà nước có thẩm quyền xác định nguyên nhân gây mất an toàn thực phẩm xuất phát từ thực phẩm do Bên A cung cấp thì Bên A có trách nhiệm thanh toán các chi phí điều trị hợp lý và các chi phí liên quan theo quy định pháp luật.</w:t>
      </w:r>
    </w:p>
    <w:p w14:paraId="73A1A6E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có quyền từ chối cho thi công, lắp đặt hoặc yêu cầu tháo dỡ các hạng mục không đúng với hồ sơ đã đăng ký, không đảm bảo an toàn, vi phạm quy định của pháp luật hoặc ảnh hưởng đến hoạt động kinh doanh của Bên A.</w:t>
      </w:r>
    </w:p>
    <w:p w14:paraId="30EB707B">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không chịu trách nhiệm đối với thiệt hại về người hoặc tài sản phát sinh do lỗi của Bên B, khách mời của Bên B hoặc các đơn vị do Bên B thuê thực hiện.</w:t>
      </w:r>
    </w:p>
    <w:p w14:paraId="4FAC925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không có trách nhiệm bảo quản tiền, trang sức, giấy tờ có giá hoặc các tài sản cá nhân khác của Bên B và khách mời. Bên B và khách mời có trách nhiệm tự bảo quản tài sản của mình.</w:t>
      </w:r>
    </w:p>
    <w:p w14:paraId="3976ECFE">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Các vật dụng, thiết bị, hàng hóa của Bên B hoặc đơn vị do Bên B thuê phải được thu dọn ngay sau khi kết thúc tiệc. Trường hợp gửi lại tại địa điểm tổ chức tiệc thì Bên B phải nhận lại trong vòng 01 (một) ngày kể từ ngày tổ chức tiệc. Sau thời hạn này, Bên A có quyền xử lý mà không phải chịu bất kỳ trách nhiệm nào.</w:t>
      </w:r>
    </w:p>
    <w:p w14:paraId="07CD18A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B.</w:t>
      </w:r>
    </w:p>
    <w:p w14:paraId="7FCAE5A2">
      <w:pPr>
        <w:pStyle w:val="18"/>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u w:val="single"/>
        </w:rPr>
        <w:t>Đ</w:t>
      </w:r>
      <w:r>
        <w:rPr>
          <w:rFonts w:ascii="Times New Roman" w:hAnsi="Times New Roman"/>
          <w:bCs/>
          <w:sz w:val="26"/>
          <w:szCs w:val="26"/>
          <w:u w:val="single"/>
          <w:lang w:val="fr-FR"/>
        </w:rPr>
        <w:t>IỀU 8</w:t>
      </w:r>
      <w:r>
        <w:rPr>
          <w:rFonts w:ascii="Times New Roman" w:hAnsi="Times New Roman"/>
          <w:bCs/>
          <w:sz w:val="26"/>
          <w:szCs w:val="26"/>
          <w:u w:val="single"/>
        </w:rPr>
        <w:t xml:space="preserve">: </w:t>
      </w:r>
      <w:r>
        <w:rPr>
          <w:rFonts w:ascii="Times New Roman" w:hAnsi="Times New Roman"/>
          <w:bCs/>
          <w:sz w:val="26"/>
          <w:szCs w:val="26"/>
          <w:lang w:val="fr-FR"/>
        </w:rPr>
        <w:t>CÁC ĐIỀU KHOẢN CHUNG</w:t>
      </w:r>
      <w:r>
        <w:rPr>
          <w:rFonts w:ascii="Times New Roman" w:hAnsi="Times New Roman"/>
          <w:bCs/>
          <w:sz w:val="26"/>
          <w:szCs w:val="26"/>
        </w:rPr>
        <w:t xml:space="preserve"> </w:t>
      </w:r>
    </w:p>
    <w:p w14:paraId="72AA6ACA">
      <w:pPr>
        <w:pStyle w:val="18"/>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8.1. Bất khả kháng</w:t>
      </w:r>
    </w:p>
    <w:p w14:paraId="0ECFB096">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Các Bên được miễn trừ trách nhiệm đối với việc không thực hiện hoặc chậm thực hiện nghĩa vụ theo Hợp đồng nếu nguyên nhân xuất phát từ sự kiện bất khả kháng.</w:t>
      </w:r>
    </w:p>
    <w:p w14:paraId="50B61EDE">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Sự kiện bất khả kháng là những sự kiện xảy ra khách quan, không thể lường trước và không thể khắc phục mặc dù đã áp dụng mọi biện pháp cần thiết và khả năng cho phép, bao gồm nhưng không giới hạn ở: thiên tai, hỏa hoạn, dịch bệnh, chiến tranh, bạo loạn, đình công diện rộng, sự cố kỹ thuật nghiêm trọng, quyết định của cơ quan nhà nước có thẩm quyền hoặc các sự kiện tương tự khác nằm ngoài khả năng kiểm soát của các Bên.</w:t>
      </w:r>
    </w:p>
    <w:p w14:paraId="75CB0336">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Bên chịu ảnh hưởng của sự kiện bất khả kháng phải thông báo cho Bên còn lại bằng văn bản trong vòng 03 (ba) ngày làm việc kể từ khi xảy ra sự kiện bất khả kháng.</w:t>
      </w:r>
    </w:p>
    <w:p w14:paraId="08472349">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Các Bên sẽ thiện chí thương lượng để tiếp tục thực hiện Hợp đồng hoặc thỏa thuận chuyển ngày tổ chức tiệc.</w:t>
      </w:r>
    </w:p>
    <w:p w14:paraId="2C2153F4">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Trường hợp sự kiện bất khả kháng kéo dài hoặc gây ảnh hưởng nghiêm trọng dẫn đến việc không thể tiếp tục thực hiện Hợp đồng thì Hợp đồng đương nhiên chấm dứt và mỗi Bên tự chịu các tổn thất, chi phí của mình.</w:t>
      </w:r>
    </w:p>
    <w:p w14:paraId="545773BA">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8.2. Hiệu lực từng phần</w:t>
      </w:r>
    </w:p>
    <w:p w14:paraId="39FF8A3A">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bất kỳ điều khoản nào của Hợp đồng này bị cơ quan có thẩm quyền xác định là vô hiệu, không hợp pháp hoặc không thể thực hiện được thì điều đó không làm ảnh hưởng đến hiệu lực của các điều khoản còn lại của Hợp đồng.</w:t>
      </w:r>
    </w:p>
    <w:p w14:paraId="1B669CE1">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Các Bên sẽ thiện chí thương lượng để sửa đổi hoặc thay thế điều khoản bị vô hiệu bằng điều khoản hợp pháp và phù hợp nhất với mục đích ban đầu của Hợp đồng.</w:t>
      </w:r>
    </w:p>
    <w:p w14:paraId="47865E32">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8.3. Giải quyết tranh chấp</w:t>
      </w:r>
    </w:p>
    <w:p w14:paraId="08D88C1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Mọi tranh chấp phát sinh từ hoặc liên quan đến Hợp đồng này trước hết sẽ được các Bên ưu tiên giải quyết thông qua thương lượng và hòa giải trên tinh thần hợp tác.</w:t>
      </w:r>
    </w:p>
    <w:p w14:paraId="768325B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không thể giải quyết bằng thương lượng trong thời hạn 30 (ba mươi) ngày kể từ ngày phát sinh tranh chấp thì một trong các Bên có quyền khởi kiện tại Tòa án có thẩm quyền nơi Bên A đặt trụ sở để giải quyết theo quy định của pháp luật Việt Nam.</w:t>
      </w:r>
    </w:p>
    <w:p w14:paraId="52980AE2">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8.4. Luật áp dụng: </w:t>
      </w:r>
      <w:r>
        <w:rPr>
          <w:rFonts w:ascii="Times New Roman" w:hAnsi="Times New Roman"/>
          <w:b w:val="0"/>
          <w:bCs/>
          <w:sz w:val="26"/>
          <w:szCs w:val="26"/>
        </w:rPr>
        <w:t>Hợp đồng này được điều chỉnh và giải thích theo pháp luật Việt Nam.</w:t>
      </w:r>
    </w:p>
    <w:p w14:paraId="2DE650BA">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8.5. Chấm dứt Hợp đồng</w:t>
      </w:r>
    </w:p>
    <w:p w14:paraId="77B3B420">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này chấm dứt khi:</w:t>
      </w:r>
    </w:p>
    <w:p w14:paraId="4412378C">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Tiệc đã được tổ chức hoàn tất;</w:t>
      </w:r>
    </w:p>
    <w:p w14:paraId="09E9BC85">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Các Bên đã hoàn thành toàn bộ quyền và nghĩa vụ theo Hợp đồng;</w:t>
      </w:r>
    </w:p>
    <w:p w14:paraId="66F1F8CE">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Bên B đã hoàn thành mọi nghĩa vụ thanh toán đối với Bên A.</w:t>
      </w:r>
    </w:p>
    <w:p w14:paraId="6BE2E36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Việc chấm dứt Hợp đồng không làm ảnh hưởng đến các quyền yêu cầu bồi thường thiệt hại, giải quyết tranh chấp và các quyền, nghĩa vụ khác phát sinh trước thời điểm chấm dứt Hợp đồng.</w:t>
      </w:r>
    </w:p>
    <w:p w14:paraId="7A3AEE2F">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8.6. Hiệu lực Hợp đồng</w:t>
      </w:r>
    </w:p>
    <w:p w14:paraId="41D0865F">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có hiệu lực kể từ ngày được đại diện hợp pháp của hai Bên ký kết và Bên A nhận được khoản tiền đặt cọc theo quy định tại Điều 5 của Hợp đồng.</w:t>
      </w:r>
    </w:p>
    <w:p w14:paraId="77BFC9BE">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được lập thành 03 (ba) bản gốc có giá trị pháp lý như nhau, Bên A giữ 02 (hai) bản và Bên B giữ 01 (một) bản để thực hiện.</w:t>
      </w:r>
    </w:p>
    <w:p w14:paraId="7A31B0B8">
      <w:pPr>
        <w:spacing w:before="120" w:after="120" w:line="360" w:lineRule="auto"/>
        <w:ind w:left="-220" w:leftChars="-100"/>
        <w:rPr>
          <w:rFonts w:ascii="Times New Roman" w:hAnsi="Times New Roman"/>
          <w:sz w:val="26"/>
          <w:szCs w:val="26"/>
          <w:lang w:val="fr-FR"/>
        </w:rPr>
      </w:pPr>
      <w:r>
        <w:rPr>
          <w:rFonts w:ascii="Times New Roman" w:hAnsi="Times New Roman"/>
          <w:sz w:val="26"/>
          <w:szCs w:val="26"/>
          <w:lang w:val="fr-FR"/>
        </w:rPr>
        <w:t xml:space="preserve">                  </w:t>
      </w:r>
    </w:p>
    <w:p w14:paraId="5F557495">
      <w:pPr>
        <w:spacing w:before="120" w:after="120" w:line="360" w:lineRule="auto"/>
        <w:ind w:left="-220" w:leftChars="-100"/>
        <w:rPr>
          <w:rFonts w:ascii="Times New Roman" w:hAnsi="Times New Roman"/>
          <w:b/>
          <w:sz w:val="26"/>
          <w:szCs w:val="26"/>
          <w:lang w:val="fr-FR"/>
        </w:rPr>
      </w:pPr>
      <w:r>
        <w:rPr>
          <w:rFonts w:ascii="Times New Roman" w:hAnsi="Times New Roman"/>
          <w:b/>
          <w:sz w:val="26"/>
          <w:szCs w:val="26"/>
          <w:lang w:val="fr-FR"/>
        </w:rPr>
        <w:t xml:space="preserve">               ĐẠI DIỆN BÊN A</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ĐẠI DIỆN BÊN B</w:t>
      </w:r>
      <w:r>
        <w:rPr>
          <w:rFonts w:ascii="Times New Roman" w:hAnsi="Times New Roman"/>
          <w:b/>
          <w:sz w:val="26"/>
          <w:szCs w:val="26"/>
          <w:lang w:val="fr-FR"/>
        </w:rPr>
        <w:tab/>
      </w:r>
    </w:p>
    <w:p w14:paraId="6C666E23">
      <w:pPr>
        <w:spacing w:before="120" w:after="120" w:line="360" w:lineRule="auto"/>
        <w:rPr>
          <w:rFonts w:ascii="Times New Roman" w:hAnsi="Times New Roman"/>
          <w:b/>
          <w:sz w:val="26"/>
          <w:szCs w:val="26"/>
          <w:u w:val="single"/>
          <w:lang w:val="fr-FR"/>
        </w:rPr>
      </w:pPr>
    </w:p>
    <w:p w14:paraId="309C3824">
      <w:pPr>
        <w:spacing w:before="120" w:after="120" w:line="360" w:lineRule="auto"/>
        <w:rPr>
          <w:rFonts w:ascii="Times New Roman" w:hAnsi="Times New Roman"/>
          <w:b/>
          <w:sz w:val="26"/>
          <w:szCs w:val="26"/>
          <w:u w:val="single"/>
          <w:lang w:val="fr-FR"/>
        </w:rPr>
      </w:pPr>
    </w:p>
    <w:p w14:paraId="742287A1">
      <w:pPr>
        <w:spacing w:before="120" w:after="120" w:line="360" w:lineRule="auto"/>
        <w:ind w:left="-220" w:leftChars="-100"/>
        <w:rPr>
          <w:rFonts w:ascii="Times New Roman" w:hAnsi="Times New Roman"/>
          <w:b/>
          <w:sz w:val="26"/>
          <w:szCs w:val="26"/>
          <w:lang w:val="fr-FR"/>
        </w:rPr>
      </w:pPr>
      <w:r>
        <w:rPr>
          <w:rFonts w:ascii="Times New Roman" w:hAnsi="Times New Roman"/>
          <w:b/>
          <w:sz w:val="26"/>
          <w:szCs w:val="26"/>
          <w:lang w:val="fr-FR"/>
        </w:rPr>
        <w:t xml:space="preserve">                   </w:t>
      </w:r>
    </w:p>
    <w:p w14:paraId="6BBA216C">
      <w:pPr>
        <w:spacing w:before="120" w:after="120" w:line="360" w:lineRule="auto"/>
        <w:ind w:left="-220" w:leftChars="-100"/>
        <w:rPr>
          <w:rFonts w:ascii="Times New Roman" w:hAnsi="Times New Roman"/>
          <w:b/>
          <w:sz w:val="26"/>
          <w:szCs w:val="26"/>
          <w:u w:val="single"/>
          <w:lang w:val="fr-FR"/>
        </w:rPr>
      </w:pP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p>
    <w:p w14:paraId="5EA128D7">
      <w:pPr>
        <w:spacing w:before="120" w:after="120" w:line="360" w:lineRule="auto"/>
        <w:ind w:left="-220" w:leftChars="-100"/>
        <w:rPr>
          <w:rFonts w:ascii="Times New Roman" w:hAnsi="Times New Roman"/>
          <w:b/>
          <w:sz w:val="26"/>
          <w:szCs w:val="26"/>
          <w:lang w:val="fr-FR"/>
        </w:rPr>
      </w:pPr>
      <w:r>
        <w:rPr>
          <w:rFonts w:ascii="Times New Roman" w:hAnsi="Times New Roman"/>
          <w:b/>
          <w:sz w:val="26"/>
          <w:szCs w:val="26"/>
          <w:lang w:val="fr-FR"/>
        </w:rPr>
        <w:t xml:space="preserve">   Ông: {BenANguoiDaiDien}</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lang w:val="fr-FR"/>
        </w:rPr>
        <w:tab/>
      </w:r>
      <w:r>
        <w:rPr>
          <w:rFonts w:ascii="Times New Roman" w:hAnsi="Times New Roman"/>
          <w:b/>
          <w:sz w:val="26"/>
          <w:szCs w:val="26"/>
          <w:lang w:val="fr-FR"/>
        </w:rPr>
        <w:t xml:space="preserve">                             Ông/Bà: {BenBTenDaiDien} </w:t>
      </w:r>
    </w:p>
    <w:p w14:paraId="67A89CA4">
      <w:pPr>
        <w:spacing w:before="120" w:after="120" w:line="360" w:lineRule="auto"/>
        <w:ind w:left="-220" w:leftChars="-100"/>
        <w:rPr>
          <w:rFonts w:ascii="Times New Roman" w:hAnsi="Times New Roman"/>
          <w:sz w:val="26"/>
          <w:szCs w:val="26"/>
          <w:lang w:val="fr-FR"/>
        </w:rPr>
      </w:pPr>
      <w:r>
        <w:rPr>
          <w:rFonts w:ascii="Times New Roman" w:hAnsi="Times New Roman"/>
          <w:b/>
          <w:sz w:val="26"/>
          <w:szCs w:val="26"/>
          <w:lang w:val="fr-FR"/>
        </w:rPr>
        <w:t xml:space="preserve">   Chức Vụ: {BenA</w:t>
      </w:r>
      <w:bookmarkStart w:id="0" w:name="_GoBack"/>
      <w:bookmarkEnd w:id="0"/>
      <w:r>
        <w:rPr>
          <w:rFonts w:ascii="Times New Roman" w:hAnsi="Times New Roman"/>
          <w:b/>
          <w:sz w:val="26"/>
          <w:szCs w:val="26"/>
          <w:lang w:val="fr-FR"/>
        </w:rPr>
        <w:t xml:space="preserve">ChucVu}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p>
    <w:p w14:paraId="4A8E25EE">
      <w:pPr>
        <w:spacing w:before="120" w:after="120" w:line="360" w:lineRule="auto"/>
        <w:ind w:left="-220" w:leftChars="-100"/>
        <w:jc w:val="center"/>
        <w:rPr>
          <w:rFonts w:ascii="Times New Roman" w:hAnsi="Times New Roman"/>
          <w:b/>
          <w:sz w:val="26"/>
          <w:szCs w:val="26"/>
          <w:lang w:val="fr-FR"/>
        </w:rPr>
      </w:pPr>
      <w:r>
        <w:rPr>
          <w:rFonts w:ascii="Times New Roman" w:hAnsi="Times New Roman"/>
          <w:b/>
          <w:sz w:val="26"/>
          <w:szCs w:val="26"/>
          <w:u w:val="single"/>
          <w:lang w:val="fr-FR"/>
        </w:rPr>
        <w:br w:type="page"/>
      </w:r>
      <w:r>
        <w:rPr>
          <w:rFonts w:ascii="Times New Roman" w:hAnsi="Times New Roman"/>
          <w:b/>
          <w:sz w:val="26"/>
          <w:szCs w:val="26"/>
        </w:rPr>
        <w:t xml:space="preserve"> </w:t>
      </w:r>
      <w:r>
        <w:rPr>
          <w:rFonts w:ascii="Times New Roman" w:hAnsi="Times New Roman"/>
          <w:b/>
          <w:sz w:val="26"/>
          <w:szCs w:val="26"/>
          <w:lang w:val="fr-FR"/>
        </w:rPr>
        <w:t>DỊCH VỤ ĐƯỢC KHUYẾN MÃI VÀ CHƯƠNG TRÌNH ƯU ĐÃI ÁP DỤNG</w:t>
      </w:r>
      <w:r>
        <w:rPr>
          <w:rFonts w:ascii="Times New Roman" w:hAnsi="Times New Roman"/>
          <w:b/>
          <w:sz w:val="26"/>
          <w:szCs w:val="26"/>
          <w:lang w:val="fr-FR"/>
        </w:rPr>
        <w:br w:type="textWrapping"/>
      </w:r>
      <w:r>
        <w:rPr>
          <w:rFonts w:ascii="Times New Roman" w:hAnsi="Times New Roman"/>
          <w:b/>
          <w:sz w:val="26"/>
          <w:szCs w:val="26"/>
          <w:lang w:val="fr-FR"/>
        </w:rPr>
        <w:t>{DS_KhuyenMai}</w:t>
      </w:r>
    </w:p>
    <w:p w14:paraId="4A51F9F2">
      <w:pPr>
        <w:spacing w:line="276" w:lineRule="auto"/>
        <w:ind w:left="-220" w:leftChars="-100"/>
        <w:jc w:val="center"/>
        <w:rPr>
          <w:rFonts w:ascii="Times New Roman" w:hAnsi="Times New Roman"/>
          <w:sz w:val="26"/>
          <w:szCs w:val="26"/>
        </w:rPr>
      </w:pPr>
      <w:r>
        <w:rPr>
          <w:rFonts w:ascii="Times New Roman" w:hAnsi="Times New Roman"/>
          <w:sz w:val="26"/>
          <w:szCs w:val="26"/>
        </w:rPr>
        <w:t>(HĐ Số: …/…-HHKH20…)</w:t>
      </w:r>
    </w:p>
    <w:p w14:paraId="45EE94A0">
      <w:pPr>
        <w:numPr>
          <w:ilvl w:val="0"/>
          <w:numId w:val="8"/>
        </w:numPr>
        <w:spacing w:before="120" w:after="120" w:line="240" w:lineRule="auto"/>
        <w:ind w:left="-220" w:leftChars="-100" w:firstLine="0"/>
        <w:rPr>
          <w:rFonts w:ascii="Times New Roman" w:hAnsi="Times New Roman"/>
          <w:b/>
          <w:sz w:val="26"/>
          <w:szCs w:val="26"/>
          <w:lang w:val="fr-FR"/>
        </w:rPr>
      </w:pPr>
      <w:r>
        <w:rPr>
          <w:rFonts w:ascii="Times New Roman" w:hAnsi="Times New Roman"/>
          <w:b/>
          <w:sz w:val="26"/>
          <w:szCs w:val="26"/>
          <w:lang w:val="fr-FR"/>
        </w:rPr>
        <w:t xml:space="preserve">DỊCH VỤ KHUYẾN MÃI _KM 01.10.2025 ĐƯỢC ÁP DỤNG :                                                                                                                                                                                                                                                                                                                                                                                                 </w:t>
      </w:r>
    </w:p>
    <w:tbl>
      <w:tblPr>
        <w:tblStyle w:val="3"/>
        <w:tblW w:w="981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813"/>
      </w:tblGrid>
      <w:tr w14:paraId="2AA07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966" w:hRule="atLeast"/>
          <w:jc w:val="center"/>
        </w:trPr>
        <w:tc>
          <w:tcPr>
            <w:tcW w:w="9813" w:type="dxa"/>
            <w:vAlign w:val="center"/>
          </w:tcPr>
          <w:p w14:paraId="6CC8A48D">
            <w:pPr>
              <w:spacing w:before="60" w:after="60"/>
              <w:ind w:left="-220" w:leftChars="-100" w:firstLine="130" w:firstLineChars="50"/>
              <w:rPr>
                <w:rFonts w:ascii="Times New Roman" w:hAnsi="Times New Roman"/>
                <w:b/>
                <w:sz w:val="26"/>
                <w:szCs w:val="26"/>
                <w:lang w:val="fr-FR"/>
              </w:rPr>
            </w:pPr>
            <w:r>
              <w:rPr>
                <w:rFonts w:ascii="Times New Roman" w:hAnsi="Times New Roman"/>
                <w:b/>
                <w:sz w:val="26"/>
                <w:szCs w:val="26"/>
                <w:lang w:val="fr-FR"/>
              </w:rPr>
              <w:t>Các dịch vụ khuyến mãi được áp dụng :</w:t>
            </w:r>
          </w:p>
          <w:p w14:paraId="685D9AAC">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Sân khấu tiêu chuẩn (7.2m x 3.6m x 0.8m) </w:t>
            </w:r>
          </w:p>
          <w:p w14:paraId="6A03B696">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Catwalk theo kích thước tiêu chuẩn </w:t>
            </w:r>
          </w:p>
          <w:p w14:paraId="2B808D3B">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Hệ thống âm thanh - ánh sáng tiêu chuẩn </w:t>
            </w:r>
          </w:p>
          <w:p w14:paraId="7DB6EA1F">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Phông màn sân khấu tiêu chuẩn </w:t>
            </w:r>
          </w:p>
          <w:p w14:paraId="6D40915C">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Tên CD &amp; CR ( Chữ cái ) </w:t>
            </w:r>
          </w:p>
          <w:p w14:paraId="6115580D">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bàn lễ tân đón khách tiêu chuẩn </w:t>
            </w:r>
          </w:p>
          <w:p w14:paraId="0ADFDEA4">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Thùng đựng tiền mừng </w:t>
            </w:r>
          </w:p>
          <w:p w14:paraId="496CECFB">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Liễn ký tên lưu niệm, bút </w:t>
            </w:r>
          </w:p>
          <w:p w14:paraId="72CC23E2">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hoa tươi bàn tiệc tiêu chuẩn </w:t>
            </w:r>
          </w:p>
          <w:p w14:paraId="1C8998FA">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Phòng trang điểm CD-CR. </w:t>
            </w:r>
          </w:p>
          <w:p w14:paraId="65BE7CAB">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Lễ tân hướng dẫn khách</w:t>
            </w:r>
          </w:p>
          <w:p w14:paraId="57C1A1C2">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bục lối đi lên sân khấu (gồm: hoa thạch thảo trắng + đèn tuyết) </w:t>
            </w:r>
          </w:p>
          <w:p w14:paraId="3A67700F">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Nước ngọt, nước suối suốt tiệc 2.5h </w:t>
            </w:r>
          </w:p>
          <w:p w14:paraId="2D42CE76">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Pháo hoa kim tuyến 2 lần (1 lần/2 viên) </w:t>
            </w:r>
          </w:p>
          <w:p w14:paraId="76F744A1">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1 người dẫn chương trình nghi lễ ( Tiếng Việt ) </w:t>
            </w:r>
          </w:p>
          <w:p w14:paraId="0710C46F">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hoa tươi tháp bánh, tháp ly tiêu chuẩn </w:t>
            </w:r>
          </w:p>
          <w:p w14:paraId="294C9830">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Tháp ly và 2 chai champage, đá khói </w:t>
            </w:r>
          </w:p>
          <w:p w14:paraId="7A773650">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Bánh cưới 5 tầng giả và trang trí tiêu chuẩn</w:t>
            </w:r>
          </w:p>
          <w:p w14:paraId="4A6B82D6">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Bia Tiger chai nâu nhỏ (330ml) trong tiệc 2.5 giờ </w:t>
            </w:r>
          </w:p>
          <w:p w14:paraId="19873B9D">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Tặng voucher gói trang trí hoa tươi của Queen Plaza Kỳ Hòa trị giá 10.000.000VNĐ </w:t>
            </w:r>
          </w:p>
          <w:p w14:paraId="7406B0C7">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Ăn nhẹ trước tiệc cho Bố Mẹ, Cô Dâu – Chủ Rể (súp, cơm/mì): 10 người </w:t>
            </w:r>
          </w:p>
          <w:p w14:paraId="3FB8ABB8">
            <w:pPr>
              <w:pStyle w:val="20"/>
              <w:numPr>
                <w:ilvl w:val="0"/>
                <w:numId w:val="9"/>
              </w:numPr>
              <w:suppressAutoHyphens/>
              <w:autoSpaceDE w:val="0"/>
              <w:autoSpaceDN w:val="0"/>
              <w:adjustRightInd w:val="0"/>
              <w:spacing w:before="57" w:after="0" w:line="288" w:lineRule="auto"/>
              <w:ind w:left="-220" w:leftChars="-100" w:right="-96" w:firstLine="0"/>
              <w:textAlignment w:val="center"/>
              <w:rPr>
                <w:rFonts w:ascii="Times New Roman" w:hAnsi="Times New Roman"/>
                <w:spacing w:val="-1"/>
                <w:sz w:val="26"/>
                <w:szCs w:val="26"/>
              </w:rPr>
            </w:pPr>
            <w:r>
              <w:rPr>
                <w:rFonts w:ascii="Times New Roman" w:hAnsi="Times New Roman"/>
                <w:spacing w:val="-1"/>
                <w:sz w:val="26"/>
                <w:szCs w:val="26"/>
              </w:rPr>
              <w:t>20 bàn tặng thêm 2 bàn tiệc chính thức (CTKM thêm áp dụng 01/09/2025 – 30/03/2026)</w:t>
            </w:r>
          </w:p>
        </w:tc>
      </w:tr>
    </w:tbl>
    <w:p w14:paraId="69A326B2">
      <w:pPr>
        <w:tabs>
          <w:tab w:val="left" w:pos="540"/>
        </w:tabs>
        <w:spacing w:before="120" w:after="120" w:line="240" w:lineRule="auto"/>
        <w:rPr>
          <w:rFonts w:ascii="Times New Roman" w:hAnsi="Times New Roman"/>
          <w:b/>
          <w:sz w:val="26"/>
          <w:szCs w:val="26"/>
        </w:rPr>
      </w:pPr>
    </w:p>
    <w:p w14:paraId="33106C55">
      <w:pPr>
        <w:numPr>
          <w:ilvl w:val="0"/>
          <w:numId w:val="8"/>
        </w:numPr>
        <w:tabs>
          <w:tab w:val="left" w:pos="540"/>
        </w:tabs>
        <w:spacing w:before="120" w:after="120" w:line="360" w:lineRule="auto"/>
        <w:ind w:left="-220" w:leftChars="-100" w:firstLine="0"/>
        <w:rPr>
          <w:rFonts w:ascii="Times New Roman" w:hAnsi="Times New Roman"/>
          <w:b/>
          <w:sz w:val="26"/>
          <w:szCs w:val="26"/>
        </w:rPr>
      </w:pPr>
      <w:r>
        <w:rPr>
          <w:rFonts w:ascii="Times New Roman" w:hAnsi="Times New Roman"/>
          <w:b/>
          <w:sz w:val="26"/>
          <w:szCs w:val="26"/>
        </w:rPr>
        <w:t>CÁC ĐIỀU KHOẢN BỔ SUNG KHÁC (NẾU CÓ)</w:t>
      </w:r>
      <w:r>
        <w:rPr>
          <w:rFonts w:ascii="Times New Roman" w:hAnsi="Times New Roman"/>
          <w:b/>
          <w:sz w:val="26"/>
          <w:szCs w:val="26"/>
        </w:rPr>
        <w:br w:type="textWrapping"/>
      </w:r>
      <w:r>
        <w:rPr>
          <w:rFonts w:ascii="Times New Roman" w:hAnsi="Times New Roman"/>
          <w:b/>
          <w:sz w:val="26"/>
          <w:szCs w:val="26"/>
        </w:rPr>
        <w:t>{DieuKhoanBoSung}</w:t>
      </w:r>
      <w:r>
        <w:rPr>
          <w:rFonts w:ascii="Times New Roman" w:hAnsi="Times New Roman"/>
          <w:b/>
          <w:sz w:val="26"/>
          <w:szCs w:val="26"/>
        </w:rPr>
        <w:tab/>
      </w:r>
    </w:p>
    <w:p w14:paraId="1818C16A">
      <w:pPr>
        <w:pStyle w:val="20"/>
        <w:numPr>
          <w:ilvl w:val="0"/>
          <w:numId w:val="2"/>
        </w:numPr>
        <w:tabs>
          <w:tab w:val="left" w:pos="0"/>
        </w:tabs>
        <w:spacing w:before="120" w:after="120" w:line="360" w:lineRule="auto"/>
        <w:ind w:left="-220" w:leftChars="-100" w:firstLine="0"/>
        <w:rPr>
          <w:rFonts w:ascii="Times New Roman" w:hAnsi="Times New Roman"/>
          <w:sz w:val="26"/>
          <w:szCs w:val="26"/>
        </w:rPr>
      </w:pPr>
      <w:r>
        <w:rPr>
          <w:rFonts w:ascii="Times New Roman" w:hAnsi="Times New Roman"/>
          <w:sz w:val="26"/>
          <w:szCs w:val="26"/>
        </w:rPr>
        <w:t>Áp dụng thực đơn tự chọn theo bảng giá lẻ (chưa bao gồm phí phục vụ).</w:t>
      </w:r>
    </w:p>
    <w:p w14:paraId="08C0AC65">
      <w:pPr>
        <w:pStyle w:val="20"/>
        <w:numPr>
          <w:ilvl w:val="0"/>
          <w:numId w:val="2"/>
        </w:numPr>
        <w:tabs>
          <w:tab w:val="left" w:pos="0"/>
        </w:tabs>
        <w:spacing w:before="120" w:after="120" w:line="360" w:lineRule="auto"/>
        <w:ind w:left="-220" w:leftChars="-100" w:firstLine="0"/>
        <w:rPr>
          <w:rFonts w:ascii="Times New Roman" w:hAnsi="Times New Roman"/>
          <w:sz w:val="26"/>
          <w:szCs w:val="26"/>
        </w:rPr>
      </w:pPr>
      <w:r>
        <w:rPr>
          <w:rFonts w:ascii="Times New Roman" w:hAnsi="Times New Roman"/>
          <w:sz w:val="26"/>
          <w:szCs w:val="26"/>
        </w:rPr>
        <w:t>Áp dụng chương trình đặt 10 bàn tặng 01 bàn (từ 20 bàn trở lên)</w:t>
      </w:r>
    </w:p>
    <w:p w14:paraId="62A24A99">
      <w:pPr>
        <w:pStyle w:val="18"/>
        <w:spacing w:before="120" w:after="120"/>
        <w:ind w:left="-220" w:leftChars="-100"/>
        <w:outlineLvl w:val="0"/>
        <w:rPr>
          <w:rFonts w:ascii="Times New Roman" w:hAnsi="Times New Roman"/>
          <w:bCs/>
          <w:i/>
          <w:sz w:val="26"/>
          <w:szCs w:val="26"/>
        </w:rPr>
      </w:pPr>
      <w:r>
        <w:rPr>
          <w:rFonts w:ascii="Times New Roman" w:hAnsi="Times New Roman"/>
          <w:bCs/>
          <w:i/>
          <w:sz w:val="26"/>
          <w:szCs w:val="26"/>
        </w:rPr>
        <w:t>Tất cả các chương trình khuyến mãi và ưu đãi trên không quy đổi thành tiền mặt và không thay thế bằng dịch vụ khác nếu quý khách không sử dụng.</w:t>
      </w:r>
    </w:p>
    <w:p w14:paraId="0714BA5C">
      <w:pPr>
        <w:pStyle w:val="18"/>
        <w:spacing w:before="120" w:after="120"/>
        <w:ind w:left="-220" w:leftChars="-100"/>
        <w:outlineLvl w:val="0"/>
        <w:rPr>
          <w:rFonts w:ascii="Times New Roman" w:hAnsi="Times New Roman"/>
          <w:bCs/>
          <w:i/>
          <w:sz w:val="26"/>
          <w:szCs w:val="26"/>
        </w:rPr>
      </w:pPr>
    </w:p>
    <w:p w14:paraId="413E08AE">
      <w:pPr>
        <w:tabs>
          <w:tab w:val="left" w:pos="0"/>
        </w:tabs>
        <w:spacing w:before="120" w:after="120"/>
        <w:ind w:left="-220" w:leftChars="-100"/>
        <w:rPr>
          <w:rFonts w:ascii="Times New Roman" w:hAnsi="Times New Roman"/>
          <w:b/>
          <w:sz w:val="26"/>
          <w:szCs w:val="26"/>
        </w:rPr>
      </w:pPr>
      <w:r>
        <w:rPr>
          <w:rFonts w:ascii="Times New Roman" w:hAnsi="Times New Roman"/>
          <w:b/>
          <w:sz w:val="26"/>
          <w:szCs w:val="26"/>
        </w:rPr>
        <w:t>XÁC NHẬN CỦA ĐẠI DIỆN CÁC BÊN</w:t>
      </w:r>
    </w:p>
    <w:p w14:paraId="03DFC9F7">
      <w:pPr>
        <w:spacing w:before="120" w:after="120"/>
        <w:ind w:left="-220" w:leftChars="-100"/>
        <w:rPr>
          <w:rFonts w:ascii="Times New Roman" w:hAnsi="Times New Roman"/>
          <w:b/>
          <w:sz w:val="26"/>
          <w:szCs w:val="26"/>
          <w:lang w:val="fr-FR"/>
        </w:rPr>
      </w:pPr>
      <w:r>
        <w:rPr>
          <w:rFonts w:ascii="Times New Roman" w:hAnsi="Times New Roman"/>
          <w:b/>
          <w:sz w:val="26"/>
          <w:szCs w:val="26"/>
          <w:lang w:val="fr-FR"/>
        </w:rPr>
        <w:t xml:space="preserve">               ĐẠI DIỆN BÊN A</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ĐẠI DIỆN BÊN B</w:t>
      </w:r>
      <w:r>
        <w:rPr>
          <w:rFonts w:ascii="Times New Roman" w:hAnsi="Times New Roman"/>
          <w:b/>
          <w:sz w:val="26"/>
          <w:szCs w:val="26"/>
          <w:lang w:val="fr-FR"/>
        </w:rPr>
        <w:tab/>
      </w:r>
    </w:p>
    <w:p w14:paraId="3B53B889">
      <w:pPr>
        <w:tabs>
          <w:tab w:val="left" w:pos="6015"/>
        </w:tabs>
        <w:spacing w:before="120" w:after="120"/>
        <w:ind w:left="-220" w:leftChars="-100"/>
        <w:rPr>
          <w:rFonts w:ascii="Times New Roman" w:hAnsi="Times New Roman"/>
          <w:b/>
          <w:sz w:val="26"/>
          <w:szCs w:val="26"/>
          <w:lang w:val="fr-FR"/>
        </w:rPr>
      </w:pPr>
      <w:r>
        <w:rPr>
          <w:rFonts w:ascii="Times New Roman" w:hAnsi="Times New Roman"/>
          <w:b/>
          <w:sz w:val="26"/>
          <w:szCs w:val="26"/>
          <w:lang w:val="fr-FR"/>
        </w:rPr>
        <w:t xml:space="preserve">                   </w:t>
      </w:r>
    </w:p>
    <w:p w14:paraId="15DB3544">
      <w:pPr>
        <w:tabs>
          <w:tab w:val="left" w:pos="6015"/>
        </w:tabs>
        <w:spacing w:before="120" w:after="120"/>
        <w:ind w:left="-220" w:leftChars="-100"/>
        <w:rPr>
          <w:rFonts w:ascii="Times New Roman" w:hAnsi="Times New Roman"/>
          <w:b/>
          <w:sz w:val="26"/>
          <w:szCs w:val="26"/>
          <w:lang w:val="fr-FR"/>
        </w:rPr>
      </w:pPr>
    </w:p>
    <w:p w14:paraId="15972ED9">
      <w:pPr>
        <w:tabs>
          <w:tab w:val="left" w:pos="6015"/>
        </w:tabs>
        <w:spacing w:before="120" w:after="120"/>
        <w:ind w:left="-220" w:leftChars="-100"/>
        <w:rPr>
          <w:rFonts w:ascii="Times New Roman" w:hAnsi="Times New Roman"/>
          <w:b/>
          <w:sz w:val="26"/>
          <w:szCs w:val="26"/>
          <w:lang w:val="fr-FR"/>
        </w:rPr>
      </w:pPr>
    </w:p>
    <w:p w14:paraId="63ECF6B3">
      <w:pPr>
        <w:tabs>
          <w:tab w:val="left" w:pos="6015"/>
        </w:tabs>
        <w:spacing w:before="120" w:after="120"/>
        <w:ind w:left="-220" w:leftChars="-100"/>
        <w:rPr>
          <w:rFonts w:ascii="Times New Roman" w:hAnsi="Times New Roman"/>
          <w:sz w:val="26"/>
          <w:szCs w:val="26"/>
          <w:lang w:val="fr-FR"/>
        </w:rPr>
      </w:pPr>
    </w:p>
    <w:p w14:paraId="14C10FE4">
      <w:pPr>
        <w:spacing w:before="120" w:after="120"/>
        <w:ind w:left="-220" w:leftChars="-100"/>
        <w:rPr>
          <w:rFonts w:ascii="Times New Roman" w:hAnsi="Times New Roman"/>
          <w:b/>
          <w:sz w:val="26"/>
          <w:szCs w:val="26"/>
          <w:u w:val="single"/>
          <w:lang w:val="fr-FR"/>
        </w:rPr>
      </w:pP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p>
    <w:p w14:paraId="4D8B4FA8">
      <w:pPr>
        <w:tabs>
          <w:tab w:val="left" w:pos="360"/>
        </w:tabs>
        <w:spacing w:before="120" w:after="120"/>
        <w:ind w:left="-220" w:leftChars="-100"/>
        <w:rPr>
          <w:rFonts w:ascii="Times New Roman" w:hAnsi="Times New Roman"/>
          <w:b/>
          <w:sz w:val="26"/>
          <w:szCs w:val="26"/>
          <w:lang w:val="fr-FR"/>
        </w:rPr>
      </w:pPr>
      <w:r>
        <w:rPr>
          <w:rFonts w:ascii="Times New Roman" w:hAnsi="Times New Roman"/>
          <w:b/>
          <w:sz w:val="26"/>
          <w:szCs w:val="26"/>
          <w:lang w:val="fr-FR"/>
        </w:rPr>
        <w:t>Ôn</w:t>
      </w:r>
      <w:r>
        <w:rPr>
          <w:rFonts w:ascii="Times New Roman" w:hAnsi="Times New Roman"/>
          <w:b/>
          <w:sz w:val="26"/>
          <w:szCs w:val="26"/>
        </w:rPr>
        <w:t>g</w:t>
      </w:r>
      <w:r>
        <w:rPr>
          <w:rFonts w:ascii="Times New Roman" w:hAnsi="Times New Roman"/>
          <w:b/>
          <w:sz w:val="26"/>
          <w:szCs w:val="26"/>
          <w:lang w:val="fr-FR"/>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 xml:space="preserve">    </w:t>
      </w:r>
      <w:r>
        <w:rPr>
          <w:rFonts w:ascii="Times New Roman" w:hAnsi="Times New Roman"/>
          <w:b/>
          <w:sz w:val="26"/>
          <w:szCs w:val="26"/>
          <w:lang w:val="fr-FR"/>
        </w:rPr>
        <w:t xml:space="preserve"> Ông/Bà : </w:t>
      </w:r>
    </w:p>
    <w:p w14:paraId="747BB1DA">
      <w:pPr>
        <w:spacing w:before="120" w:after="120"/>
        <w:ind w:left="-220" w:leftChars="-100"/>
        <w:rPr>
          <w:rFonts w:ascii="Times New Roman" w:hAnsi="Times New Roman"/>
          <w:sz w:val="26"/>
          <w:szCs w:val="26"/>
          <w:lang w:val="fr-FR"/>
        </w:rPr>
      </w:pPr>
      <w:r>
        <w:rPr>
          <w:rFonts w:ascii="Times New Roman" w:hAnsi="Times New Roman"/>
          <w:b/>
          <w:sz w:val="26"/>
          <w:szCs w:val="26"/>
          <w:lang w:val="fr-FR"/>
        </w:rPr>
        <w:t xml:space="preserve">Chức vụ: {BenB_ChucVu}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b/>
          <w:sz w:val="26"/>
          <w:szCs w:val="26"/>
        </w:rPr>
        <w:t xml:space="preserve"> </w:t>
      </w:r>
    </w:p>
    <w:sectPr>
      <w:headerReference r:id="rId5" w:type="default"/>
      <w:footerReference r:id="rId6" w:type="default"/>
      <w:pgSz w:w="12240" w:h="15840"/>
      <w:pgMar w:top="1050" w:right="90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AC1DC4">
    <w:pPr>
      <w:spacing w:after="0" w:line="60" w:lineRule="atLeast"/>
      <w:ind w:left="720" w:right="420" w:firstLine="720"/>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TRUNG TÂM HỘI NGHỊ - TIỆC CƯỚI QUEEN PLAZA</w:t>
    </w:r>
  </w:p>
  <w:p w14:paraId="14FEE81C">
    <w:pPr>
      <w:spacing w:after="0" w:line="60" w:lineRule="atLeast"/>
      <w:ind w:firstLine="720"/>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16A Lê Hồng Phong (nối dài), Phường Hoà Hưng, Thành Phố Hồ Chí Minh</w:t>
    </w:r>
  </w:p>
  <w:p w14:paraId="121B300C">
    <w:pPr>
      <w:spacing w:after="0" w:line="60" w:lineRule="atLeast"/>
      <w:ind w:left="1440" w:firstLine="720"/>
      <w:jc w:val="both"/>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ĐT: (+8428) 38 62 88 99 – Hotline: 09 69 66 99 33</w:t>
    </w:r>
  </w:p>
  <w:p w14:paraId="380F06D7">
    <w:pPr>
      <w:pStyle w:val="9"/>
      <w:tabs>
        <w:tab w:val="right" w:pos="8931"/>
        <w:tab w:val="clear" w:pos="9360"/>
      </w:tabs>
      <w:ind w:right="-705"/>
      <w:jc w:val="center"/>
      <w:rPr>
        <w:b/>
        <w:color w:val="000000" w:themeColor="text1"/>
        <w14:textFill>
          <w14:solidFill>
            <w14:schemeClr w14:val="tx1"/>
          </w14:solidFill>
        </w14:textFill>
      </w:rPr>
    </w:pPr>
    <w:r>
      <w:rPr>
        <w:b/>
        <w:color w:val="000000" w:themeColor="text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676266">
                          <w:pPr>
                            <w:pStyle w:val="9"/>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hVqi9HAIAAFQEAAAO&#10;AAAAAAAAAAEAIAAAAB8BAABkcnMvZTJvRG9jLnhtbFBLBQYAAAAABgAGAFkBAACtBQAAAAA=&#10;">
              <v:fill on="f" focussize="0,0"/>
              <v:stroke on="f" weight="0.5pt"/>
              <v:imagedata o:title=""/>
              <o:lock v:ext="edit" aspectratio="f"/>
              <v:textbox inset="0mm,0mm,0mm,0mm" style="mso-fit-shape-to-text:t;">
                <w:txbxContent>
                  <w:p w14:paraId="67676266">
                    <w:pPr>
                      <w:pStyle w:val="9"/>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ACBA39">
    <w:pPr>
      <w:pStyle w:val="10"/>
      <w:tabs>
        <w:tab w:val="left" w:pos="810"/>
      </w:tabs>
    </w:pPr>
  </w:p>
  <w:p w14:paraId="397108FB">
    <w:pPr>
      <w:pStyle w:val="10"/>
      <w:tabs>
        <w:tab w:val="left" w:pos="81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966739"/>
    <w:multiLevelType w:val="singleLevel"/>
    <w:tmpl w:val="81966739"/>
    <w:lvl w:ilvl="0" w:tentative="0">
      <w:start w:val="1"/>
      <w:numFmt w:val="bullet"/>
      <w:lvlText w:val=""/>
      <w:lvlJc w:val="left"/>
      <w:pPr>
        <w:tabs>
          <w:tab w:val="left" w:pos="420"/>
        </w:tabs>
        <w:ind w:left="420" w:hanging="420"/>
      </w:pPr>
      <w:rPr>
        <w:rFonts w:hint="default" w:ascii="Wingdings" w:hAnsi="Wingdings"/>
      </w:rPr>
    </w:lvl>
  </w:abstractNum>
  <w:abstractNum w:abstractNumId="1">
    <w:nsid w:val="28730915"/>
    <w:multiLevelType w:val="multilevel"/>
    <w:tmpl w:val="287309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F1F6E50"/>
    <w:multiLevelType w:val="multilevel"/>
    <w:tmpl w:val="2F1F6E5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C52181D"/>
    <w:multiLevelType w:val="multilevel"/>
    <w:tmpl w:val="4C52181D"/>
    <w:lvl w:ilvl="0" w:tentative="0">
      <w:start w:val="1"/>
      <w:numFmt w:val="upperRoman"/>
      <w:lvlText w:val="%1."/>
      <w:lvlJc w:val="left"/>
      <w:pPr>
        <w:ind w:left="72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2F4224B"/>
    <w:multiLevelType w:val="multilevel"/>
    <w:tmpl w:val="52F4224B"/>
    <w:lvl w:ilvl="0" w:tentative="0">
      <w:start w:val="1"/>
      <w:numFmt w:val="bullet"/>
      <w:lvlText w:val=""/>
      <w:lvlJc w:val="left"/>
      <w:pPr>
        <w:ind w:left="500" w:hanging="360"/>
      </w:pPr>
      <w:rPr>
        <w:rFonts w:hint="default" w:ascii="Symbol" w:hAnsi="Symbol"/>
      </w:rPr>
    </w:lvl>
    <w:lvl w:ilvl="1" w:tentative="0">
      <w:start w:val="1"/>
      <w:numFmt w:val="bullet"/>
      <w:lvlText w:val="o"/>
      <w:lvlJc w:val="left"/>
      <w:pPr>
        <w:ind w:left="1220" w:hanging="360"/>
      </w:pPr>
      <w:rPr>
        <w:rFonts w:hint="default" w:ascii="Courier New" w:hAnsi="Courier New" w:cs="Courier New"/>
      </w:rPr>
    </w:lvl>
    <w:lvl w:ilvl="2" w:tentative="0">
      <w:start w:val="1"/>
      <w:numFmt w:val="bullet"/>
      <w:lvlText w:val=""/>
      <w:lvlJc w:val="left"/>
      <w:pPr>
        <w:ind w:left="1940" w:hanging="360"/>
      </w:pPr>
      <w:rPr>
        <w:rFonts w:hint="default" w:ascii="Wingdings" w:hAnsi="Wingdings"/>
      </w:rPr>
    </w:lvl>
    <w:lvl w:ilvl="3" w:tentative="0">
      <w:start w:val="1"/>
      <w:numFmt w:val="bullet"/>
      <w:lvlText w:val=""/>
      <w:lvlJc w:val="left"/>
      <w:pPr>
        <w:ind w:left="2660" w:hanging="360"/>
      </w:pPr>
      <w:rPr>
        <w:rFonts w:hint="default" w:ascii="Symbol" w:hAnsi="Symbol"/>
      </w:rPr>
    </w:lvl>
    <w:lvl w:ilvl="4" w:tentative="0">
      <w:start w:val="1"/>
      <w:numFmt w:val="bullet"/>
      <w:lvlText w:val="o"/>
      <w:lvlJc w:val="left"/>
      <w:pPr>
        <w:ind w:left="3380" w:hanging="360"/>
      </w:pPr>
      <w:rPr>
        <w:rFonts w:hint="default" w:ascii="Courier New" w:hAnsi="Courier New" w:cs="Courier New"/>
      </w:rPr>
    </w:lvl>
    <w:lvl w:ilvl="5" w:tentative="0">
      <w:start w:val="1"/>
      <w:numFmt w:val="bullet"/>
      <w:lvlText w:val=""/>
      <w:lvlJc w:val="left"/>
      <w:pPr>
        <w:ind w:left="4100" w:hanging="360"/>
      </w:pPr>
      <w:rPr>
        <w:rFonts w:hint="default" w:ascii="Wingdings" w:hAnsi="Wingdings"/>
      </w:rPr>
    </w:lvl>
    <w:lvl w:ilvl="6" w:tentative="0">
      <w:start w:val="1"/>
      <w:numFmt w:val="bullet"/>
      <w:lvlText w:val=""/>
      <w:lvlJc w:val="left"/>
      <w:pPr>
        <w:ind w:left="4820" w:hanging="360"/>
      </w:pPr>
      <w:rPr>
        <w:rFonts w:hint="default" w:ascii="Symbol" w:hAnsi="Symbol"/>
      </w:rPr>
    </w:lvl>
    <w:lvl w:ilvl="7" w:tentative="0">
      <w:start w:val="1"/>
      <w:numFmt w:val="bullet"/>
      <w:lvlText w:val="o"/>
      <w:lvlJc w:val="left"/>
      <w:pPr>
        <w:ind w:left="5540" w:hanging="360"/>
      </w:pPr>
      <w:rPr>
        <w:rFonts w:hint="default" w:ascii="Courier New" w:hAnsi="Courier New" w:cs="Courier New"/>
      </w:rPr>
    </w:lvl>
    <w:lvl w:ilvl="8" w:tentative="0">
      <w:start w:val="1"/>
      <w:numFmt w:val="bullet"/>
      <w:lvlText w:val=""/>
      <w:lvlJc w:val="left"/>
      <w:pPr>
        <w:ind w:left="6260" w:hanging="360"/>
      </w:pPr>
      <w:rPr>
        <w:rFonts w:hint="default" w:ascii="Wingdings" w:hAnsi="Wingdings"/>
      </w:rPr>
    </w:lvl>
  </w:abstractNum>
  <w:abstractNum w:abstractNumId="6">
    <w:nsid w:val="52F66CF3"/>
    <w:multiLevelType w:val="multilevel"/>
    <w:tmpl w:val="52F66CF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778625DB"/>
    <w:multiLevelType w:val="multilevel"/>
    <w:tmpl w:val="778625D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7"/>
  </w:num>
  <w:num w:numId="3">
    <w:abstractNumId w:val="0"/>
  </w:num>
  <w:num w:numId="4">
    <w:abstractNumId w:val="8"/>
  </w:num>
  <w:num w:numId="5">
    <w:abstractNumId w:val="2"/>
  </w:num>
  <w:num w:numId="6">
    <w:abstractNumId w:val="5"/>
  </w:num>
  <w:num w:numId="7">
    <w:abstractNumId w:val="1"/>
  </w:num>
  <w:num w:numId="8">
    <w:abstractNumId w:val="4"/>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6466"/>
    <w:rsid w:val="00023A86"/>
    <w:rsid w:val="00023ABC"/>
    <w:rsid w:val="00030BC0"/>
    <w:rsid w:val="00034885"/>
    <w:rsid w:val="00041684"/>
    <w:rsid w:val="00041E67"/>
    <w:rsid w:val="00042187"/>
    <w:rsid w:val="00042482"/>
    <w:rsid w:val="00050860"/>
    <w:rsid w:val="00054527"/>
    <w:rsid w:val="00062B01"/>
    <w:rsid w:val="00066992"/>
    <w:rsid w:val="00066D52"/>
    <w:rsid w:val="00073176"/>
    <w:rsid w:val="00076300"/>
    <w:rsid w:val="0008135B"/>
    <w:rsid w:val="00084A93"/>
    <w:rsid w:val="00094294"/>
    <w:rsid w:val="000A0AEA"/>
    <w:rsid w:val="000A310B"/>
    <w:rsid w:val="000A3461"/>
    <w:rsid w:val="000B701B"/>
    <w:rsid w:val="000C0E23"/>
    <w:rsid w:val="000C1DFF"/>
    <w:rsid w:val="000C7A23"/>
    <w:rsid w:val="000D3EA7"/>
    <w:rsid w:val="000E001A"/>
    <w:rsid w:val="000E2D8A"/>
    <w:rsid w:val="000E60F8"/>
    <w:rsid w:val="00100722"/>
    <w:rsid w:val="0010485E"/>
    <w:rsid w:val="0010749D"/>
    <w:rsid w:val="00111406"/>
    <w:rsid w:val="00114302"/>
    <w:rsid w:val="001158F3"/>
    <w:rsid w:val="00126046"/>
    <w:rsid w:val="00132299"/>
    <w:rsid w:val="00147088"/>
    <w:rsid w:val="00153933"/>
    <w:rsid w:val="001575A9"/>
    <w:rsid w:val="00164B06"/>
    <w:rsid w:val="0016582C"/>
    <w:rsid w:val="00167BFB"/>
    <w:rsid w:val="00172402"/>
    <w:rsid w:val="001731E1"/>
    <w:rsid w:val="001741C4"/>
    <w:rsid w:val="00185BA9"/>
    <w:rsid w:val="00186835"/>
    <w:rsid w:val="0019209D"/>
    <w:rsid w:val="00197C26"/>
    <w:rsid w:val="001A40FF"/>
    <w:rsid w:val="001A5F85"/>
    <w:rsid w:val="001A618F"/>
    <w:rsid w:val="001B2723"/>
    <w:rsid w:val="001B36A0"/>
    <w:rsid w:val="001B5971"/>
    <w:rsid w:val="001B5F97"/>
    <w:rsid w:val="001B6F89"/>
    <w:rsid w:val="001D11A0"/>
    <w:rsid w:val="001D2FDD"/>
    <w:rsid w:val="001D6F6A"/>
    <w:rsid w:val="001F616F"/>
    <w:rsid w:val="0020034E"/>
    <w:rsid w:val="00203E3B"/>
    <w:rsid w:val="0022432A"/>
    <w:rsid w:val="00224598"/>
    <w:rsid w:val="00225066"/>
    <w:rsid w:val="0023504B"/>
    <w:rsid w:val="00237374"/>
    <w:rsid w:val="002448C0"/>
    <w:rsid w:val="0024492E"/>
    <w:rsid w:val="00263509"/>
    <w:rsid w:val="002654C0"/>
    <w:rsid w:val="0027627A"/>
    <w:rsid w:val="00277CE1"/>
    <w:rsid w:val="00283D28"/>
    <w:rsid w:val="00293861"/>
    <w:rsid w:val="00294321"/>
    <w:rsid w:val="002A17A2"/>
    <w:rsid w:val="002A3F50"/>
    <w:rsid w:val="002A679F"/>
    <w:rsid w:val="002A7D4F"/>
    <w:rsid w:val="002B0762"/>
    <w:rsid w:val="002B26F2"/>
    <w:rsid w:val="002B3C5D"/>
    <w:rsid w:val="002B4808"/>
    <w:rsid w:val="002B7190"/>
    <w:rsid w:val="002C3A22"/>
    <w:rsid w:val="002C6A4C"/>
    <w:rsid w:val="002D2C4E"/>
    <w:rsid w:val="002D3155"/>
    <w:rsid w:val="002D5294"/>
    <w:rsid w:val="002D6E53"/>
    <w:rsid w:val="002E128C"/>
    <w:rsid w:val="002E1827"/>
    <w:rsid w:val="00304944"/>
    <w:rsid w:val="00311334"/>
    <w:rsid w:val="00311E1B"/>
    <w:rsid w:val="00312BDE"/>
    <w:rsid w:val="003138DA"/>
    <w:rsid w:val="003147AB"/>
    <w:rsid w:val="003170F9"/>
    <w:rsid w:val="003417FC"/>
    <w:rsid w:val="0034258C"/>
    <w:rsid w:val="0034525D"/>
    <w:rsid w:val="003455EA"/>
    <w:rsid w:val="0034568A"/>
    <w:rsid w:val="00346BE1"/>
    <w:rsid w:val="00354993"/>
    <w:rsid w:val="00356662"/>
    <w:rsid w:val="00356A0D"/>
    <w:rsid w:val="00364495"/>
    <w:rsid w:val="00375467"/>
    <w:rsid w:val="003A095C"/>
    <w:rsid w:val="003A30B7"/>
    <w:rsid w:val="003A5B94"/>
    <w:rsid w:val="003A5DD3"/>
    <w:rsid w:val="003A5FD7"/>
    <w:rsid w:val="003B28FA"/>
    <w:rsid w:val="003B31C8"/>
    <w:rsid w:val="003B6B39"/>
    <w:rsid w:val="003B6DB3"/>
    <w:rsid w:val="003C0E7C"/>
    <w:rsid w:val="003C662C"/>
    <w:rsid w:val="003D459D"/>
    <w:rsid w:val="003D460A"/>
    <w:rsid w:val="003F452D"/>
    <w:rsid w:val="003F51D2"/>
    <w:rsid w:val="003F5B18"/>
    <w:rsid w:val="00401763"/>
    <w:rsid w:val="004057B7"/>
    <w:rsid w:val="00405863"/>
    <w:rsid w:val="0041047F"/>
    <w:rsid w:val="00412718"/>
    <w:rsid w:val="00413A60"/>
    <w:rsid w:val="004148F2"/>
    <w:rsid w:val="004219BE"/>
    <w:rsid w:val="0042203A"/>
    <w:rsid w:val="00422155"/>
    <w:rsid w:val="004241DC"/>
    <w:rsid w:val="004255E1"/>
    <w:rsid w:val="00426EF5"/>
    <w:rsid w:val="004301F2"/>
    <w:rsid w:val="00430897"/>
    <w:rsid w:val="0043574A"/>
    <w:rsid w:val="004360AF"/>
    <w:rsid w:val="00436B8C"/>
    <w:rsid w:val="00436E13"/>
    <w:rsid w:val="00437457"/>
    <w:rsid w:val="00446466"/>
    <w:rsid w:val="00451FD4"/>
    <w:rsid w:val="004555ED"/>
    <w:rsid w:val="004607FE"/>
    <w:rsid w:val="00460ACC"/>
    <w:rsid w:val="00462583"/>
    <w:rsid w:val="00466767"/>
    <w:rsid w:val="0047018D"/>
    <w:rsid w:val="00485C5D"/>
    <w:rsid w:val="00493958"/>
    <w:rsid w:val="004969BD"/>
    <w:rsid w:val="004977A0"/>
    <w:rsid w:val="004B1896"/>
    <w:rsid w:val="004B3B74"/>
    <w:rsid w:val="004C427E"/>
    <w:rsid w:val="004C6D61"/>
    <w:rsid w:val="004D27C5"/>
    <w:rsid w:val="004E1CB4"/>
    <w:rsid w:val="004E39BE"/>
    <w:rsid w:val="004E559F"/>
    <w:rsid w:val="004E56B1"/>
    <w:rsid w:val="004F38C6"/>
    <w:rsid w:val="004F3EB1"/>
    <w:rsid w:val="00500C4C"/>
    <w:rsid w:val="00507167"/>
    <w:rsid w:val="00511AEA"/>
    <w:rsid w:val="00513F3C"/>
    <w:rsid w:val="005324DD"/>
    <w:rsid w:val="00535A06"/>
    <w:rsid w:val="005428C9"/>
    <w:rsid w:val="00553937"/>
    <w:rsid w:val="00560AF0"/>
    <w:rsid w:val="005653DE"/>
    <w:rsid w:val="00573D59"/>
    <w:rsid w:val="0058364B"/>
    <w:rsid w:val="00583E1B"/>
    <w:rsid w:val="005866D5"/>
    <w:rsid w:val="005879E1"/>
    <w:rsid w:val="00587A5A"/>
    <w:rsid w:val="0059201E"/>
    <w:rsid w:val="00594BD6"/>
    <w:rsid w:val="00594C1C"/>
    <w:rsid w:val="005A797F"/>
    <w:rsid w:val="005B32AF"/>
    <w:rsid w:val="005C0B80"/>
    <w:rsid w:val="005D06EA"/>
    <w:rsid w:val="005D2BE7"/>
    <w:rsid w:val="005D3708"/>
    <w:rsid w:val="005E7207"/>
    <w:rsid w:val="005F40AC"/>
    <w:rsid w:val="005F59B4"/>
    <w:rsid w:val="005F6499"/>
    <w:rsid w:val="005F66ED"/>
    <w:rsid w:val="00614659"/>
    <w:rsid w:val="00620FF3"/>
    <w:rsid w:val="0062110E"/>
    <w:rsid w:val="0063338A"/>
    <w:rsid w:val="00637F57"/>
    <w:rsid w:val="00642680"/>
    <w:rsid w:val="00647169"/>
    <w:rsid w:val="0065669F"/>
    <w:rsid w:val="006623FF"/>
    <w:rsid w:val="00663076"/>
    <w:rsid w:val="006634EA"/>
    <w:rsid w:val="00664D18"/>
    <w:rsid w:val="006708F6"/>
    <w:rsid w:val="0067344F"/>
    <w:rsid w:val="00681C20"/>
    <w:rsid w:val="00687760"/>
    <w:rsid w:val="0069101B"/>
    <w:rsid w:val="006A6792"/>
    <w:rsid w:val="006B3687"/>
    <w:rsid w:val="006D1F9D"/>
    <w:rsid w:val="006D3B7E"/>
    <w:rsid w:val="006D49C6"/>
    <w:rsid w:val="006E6B98"/>
    <w:rsid w:val="006F2C9F"/>
    <w:rsid w:val="0070517D"/>
    <w:rsid w:val="00705D2B"/>
    <w:rsid w:val="0071167C"/>
    <w:rsid w:val="00711CED"/>
    <w:rsid w:val="007133F7"/>
    <w:rsid w:val="00717F37"/>
    <w:rsid w:val="00721604"/>
    <w:rsid w:val="00725EEE"/>
    <w:rsid w:val="00733DF1"/>
    <w:rsid w:val="0073519F"/>
    <w:rsid w:val="007464DA"/>
    <w:rsid w:val="00746844"/>
    <w:rsid w:val="00747346"/>
    <w:rsid w:val="00747490"/>
    <w:rsid w:val="00747C8A"/>
    <w:rsid w:val="00753C2A"/>
    <w:rsid w:val="00753EF1"/>
    <w:rsid w:val="00755CDA"/>
    <w:rsid w:val="00756F8F"/>
    <w:rsid w:val="00760F29"/>
    <w:rsid w:val="00763FC2"/>
    <w:rsid w:val="007759BD"/>
    <w:rsid w:val="00775D9C"/>
    <w:rsid w:val="00775FE7"/>
    <w:rsid w:val="00776DF0"/>
    <w:rsid w:val="0078087E"/>
    <w:rsid w:val="00781441"/>
    <w:rsid w:val="007875B0"/>
    <w:rsid w:val="0079195B"/>
    <w:rsid w:val="00794575"/>
    <w:rsid w:val="0079469A"/>
    <w:rsid w:val="007948B2"/>
    <w:rsid w:val="007A67F6"/>
    <w:rsid w:val="007B38C4"/>
    <w:rsid w:val="007B6EE6"/>
    <w:rsid w:val="007D0D66"/>
    <w:rsid w:val="007D2206"/>
    <w:rsid w:val="007D4ABE"/>
    <w:rsid w:val="007D5D72"/>
    <w:rsid w:val="007E0E22"/>
    <w:rsid w:val="007E294B"/>
    <w:rsid w:val="007F05A1"/>
    <w:rsid w:val="007F1A49"/>
    <w:rsid w:val="007F6A81"/>
    <w:rsid w:val="007F6C46"/>
    <w:rsid w:val="007F7B7D"/>
    <w:rsid w:val="00800171"/>
    <w:rsid w:val="008130D8"/>
    <w:rsid w:val="00815BD7"/>
    <w:rsid w:val="0081639E"/>
    <w:rsid w:val="00822EE4"/>
    <w:rsid w:val="008257DD"/>
    <w:rsid w:val="008348E4"/>
    <w:rsid w:val="00834B0B"/>
    <w:rsid w:val="00843C13"/>
    <w:rsid w:val="008457E8"/>
    <w:rsid w:val="008523C3"/>
    <w:rsid w:val="00853F74"/>
    <w:rsid w:val="00857D99"/>
    <w:rsid w:val="00866F25"/>
    <w:rsid w:val="008703B4"/>
    <w:rsid w:val="00871B76"/>
    <w:rsid w:val="008821CF"/>
    <w:rsid w:val="0088349D"/>
    <w:rsid w:val="008940C3"/>
    <w:rsid w:val="008A2759"/>
    <w:rsid w:val="008A468E"/>
    <w:rsid w:val="008A7229"/>
    <w:rsid w:val="008D1F12"/>
    <w:rsid w:val="008D3ECF"/>
    <w:rsid w:val="008D5B21"/>
    <w:rsid w:val="008E2A7A"/>
    <w:rsid w:val="008E2DEE"/>
    <w:rsid w:val="008F1B34"/>
    <w:rsid w:val="008F633D"/>
    <w:rsid w:val="008F7B0A"/>
    <w:rsid w:val="00904325"/>
    <w:rsid w:val="00911DED"/>
    <w:rsid w:val="00923924"/>
    <w:rsid w:val="009243AF"/>
    <w:rsid w:val="00934BA2"/>
    <w:rsid w:val="00935C90"/>
    <w:rsid w:val="00942C1F"/>
    <w:rsid w:val="00943068"/>
    <w:rsid w:val="00943D53"/>
    <w:rsid w:val="00947892"/>
    <w:rsid w:val="00952AEA"/>
    <w:rsid w:val="009550EA"/>
    <w:rsid w:val="00956358"/>
    <w:rsid w:val="009661F6"/>
    <w:rsid w:val="0097549E"/>
    <w:rsid w:val="00986E6E"/>
    <w:rsid w:val="00991EA5"/>
    <w:rsid w:val="009A7B8F"/>
    <w:rsid w:val="009B206D"/>
    <w:rsid w:val="009B3DAE"/>
    <w:rsid w:val="009C23CC"/>
    <w:rsid w:val="009C4403"/>
    <w:rsid w:val="009C4D99"/>
    <w:rsid w:val="009C7804"/>
    <w:rsid w:val="009D05FC"/>
    <w:rsid w:val="009E1BF7"/>
    <w:rsid w:val="009E1EEE"/>
    <w:rsid w:val="009F0198"/>
    <w:rsid w:val="009F3CD3"/>
    <w:rsid w:val="00A04D5D"/>
    <w:rsid w:val="00A12343"/>
    <w:rsid w:val="00A13085"/>
    <w:rsid w:val="00A140F4"/>
    <w:rsid w:val="00A21100"/>
    <w:rsid w:val="00A21A82"/>
    <w:rsid w:val="00A34935"/>
    <w:rsid w:val="00A3615F"/>
    <w:rsid w:val="00A42917"/>
    <w:rsid w:val="00A4545C"/>
    <w:rsid w:val="00A50808"/>
    <w:rsid w:val="00A51DE8"/>
    <w:rsid w:val="00A612BD"/>
    <w:rsid w:val="00A6178C"/>
    <w:rsid w:val="00A70AFA"/>
    <w:rsid w:val="00A70CAE"/>
    <w:rsid w:val="00A718E3"/>
    <w:rsid w:val="00A74358"/>
    <w:rsid w:val="00A749C7"/>
    <w:rsid w:val="00A95A54"/>
    <w:rsid w:val="00A974AC"/>
    <w:rsid w:val="00A97DCA"/>
    <w:rsid w:val="00AA3685"/>
    <w:rsid w:val="00AB6B7B"/>
    <w:rsid w:val="00AC3D65"/>
    <w:rsid w:val="00AC6C9F"/>
    <w:rsid w:val="00AC7047"/>
    <w:rsid w:val="00AD3FA0"/>
    <w:rsid w:val="00AD5BF6"/>
    <w:rsid w:val="00AF7056"/>
    <w:rsid w:val="00AF74A4"/>
    <w:rsid w:val="00B006DD"/>
    <w:rsid w:val="00B07A46"/>
    <w:rsid w:val="00B2200A"/>
    <w:rsid w:val="00B23652"/>
    <w:rsid w:val="00B23BAC"/>
    <w:rsid w:val="00B26002"/>
    <w:rsid w:val="00B33696"/>
    <w:rsid w:val="00B36DC3"/>
    <w:rsid w:val="00B42CB0"/>
    <w:rsid w:val="00B60EFA"/>
    <w:rsid w:val="00B60F20"/>
    <w:rsid w:val="00B63EB0"/>
    <w:rsid w:val="00B92666"/>
    <w:rsid w:val="00B9517E"/>
    <w:rsid w:val="00BA09E4"/>
    <w:rsid w:val="00BA4259"/>
    <w:rsid w:val="00BA5B10"/>
    <w:rsid w:val="00BA630B"/>
    <w:rsid w:val="00BA7BD9"/>
    <w:rsid w:val="00BB42C5"/>
    <w:rsid w:val="00BB51B0"/>
    <w:rsid w:val="00BC2E04"/>
    <w:rsid w:val="00BC36CF"/>
    <w:rsid w:val="00BC5CE0"/>
    <w:rsid w:val="00BC6A69"/>
    <w:rsid w:val="00BE5D09"/>
    <w:rsid w:val="00BE6928"/>
    <w:rsid w:val="00BF2828"/>
    <w:rsid w:val="00BF3BB5"/>
    <w:rsid w:val="00C00090"/>
    <w:rsid w:val="00C01188"/>
    <w:rsid w:val="00C066D7"/>
    <w:rsid w:val="00C07BE8"/>
    <w:rsid w:val="00C1076C"/>
    <w:rsid w:val="00C10A56"/>
    <w:rsid w:val="00C14AFB"/>
    <w:rsid w:val="00C15E15"/>
    <w:rsid w:val="00C2563C"/>
    <w:rsid w:val="00C27E7B"/>
    <w:rsid w:val="00C31648"/>
    <w:rsid w:val="00C33A17"/>
    <w:rsid w:val="00C40C06"/>
    <w:rsid w:val="00C41AE7"/>
    <w:rsid w:val="00C43258"/>
    <w:rsid w:val="00C47526"/>
    <w:rsid w:val="00C47E5E"/>
    <w:rsid w:val="00C5080C"/>
    <w:rsid w:val="00C65026"/>
    <w:rsid w:val="00C76E57"/>
    <w:rsid w:val="00C823CD"/>
    <w:rsid w:val="00C91677"/>
    <w:rsid w:val="00C91840"/>
    <w:rsid w:val="00C92F6E"/>
    <w:rsid w:val="00C97EB3"/>
    <w:rsid w:val="00CB6C08"/>
    <w:rsid w:val="00CC702B"/>
    <w:rsid w:val="00CD2823"/>
    <w:rsid w:val="00CD3E6D"/>
    <w:rsid w:val="00CE0A98"/>
    <w:rsid w:val="00CE0DFC"/>
    <w:rsid w:val="00CE569B"/>
    <w:rsid w:val="00CE6D84"/>
    <w:rsid w:val="00CF3238"/>
    <w:rsid w:val="00CF53CE"/>
    <w:rsid w:val="00CF635A"/>
    <w:rsid w:val="00D002FA"/>
    <w:rsid w:val="00D116B4"/>
    <w:rsid w:val="00D12E6F"/>
    <w:rsid w:val="00D22A7F"/>
    <w:rsid w:val="00D25E3F"/>
    <w:rsid w:val="00D61311"/>
    <w:rsid w:val="00D711CD"/>
    <w:rsid w:val="00D750CC"/>
    <w:rsid w:val="00D76333"/>
    <w:rsid w:val="00D813B5"/>
    <w:rsid w:val="00D818B1"/>
    <w:rsid w:val="00D82A56"/>
    <w:rsid w:val="00D91511"/>
    <w:rsid w:val="00D91BAF"/>
    <w:rsid w:val="00D957B0"/>
    <w:rsid w:val="00D9587A"/>
    <w:rsid w:val="00DA0FA6"/>
    <w:rsid w:val="00DA7B26"/>
    <w:rsid w:val="00DB0308"/>
    <w:rsid w:val="00DC3BDA"/>
    <w:rsid w:val="00DC451B"/>
    <w:rsid w:val="00DD0171"/>
    <w:rsid w:val="00DD2504"/>
    <w:rsid w:val="00DE510F"/>
    <w:rsid w:val="00DE66F7"/>
    <w:rsid w:val="00DF3635"/>
    <w:rsid w:val="00DF482E"/>
    <w:rsid w:val="00DF5071"/>
    <w:rsid w:val="00E02C64"/>
    <w:rsid w:val="00E030E5"/>
    <w:rsid w:val="00E13E0F"/>
    <w:rsid w:val="00E14A8B"/>
    <w:rsid w:val="00E202FB"/>
    <w:rsid w:val="00E209D8"/>
    <w:rsid w:val="00E22822"/>
    <w:rsid w:val="00E26888"/>
    <w:rsid w:val="00E310BE"/>
    <w:rsid w:val="00E31348"/>
    <w:rsid w:val="00E40A7D"/>
    <w:rsid w:val="00E41B58"/>
    <w:rsid w:val="00E43009"/>
    <w:rsid w:val="00E453E3"/>
    <w:rsid w:val="00E6111F"/>
    <w:rsid w:val="00E653BF"/>
    <w:rsid w:val="00E6642D"/>
    <w:rsid w:val="00E702DE"/>
    <w:rsid w:val="00E710A5"/>
    <w:rsid w:val="00E71858"/>
    <w:rsid w:val="00E724B3"/>
    <w:rsid w:val="00E74117"/>
    <w:rsid w:val="00E741E7"/>
    <w:rsid w:val="00E75E69"/>
    <w:rsid w:val="00E839DB"/>
    <w:rsid w:val="00E8468C"/>
    <w:rsid w:val="00E8621C"/>
    <w:rsid w:val="00E86264"/>
    <w:rsid w:val="00E86B2C"/>
    <w:rsid w:val="00E90EED"/>
    <w:rsid w:val="00E92F3D"/>
    <w:rsid w:val="00E94617"/>
    <w:rsid w:val="00E94BE8"/>
    <w:rsid w:val="00EA0A65"/>
    <w:rsid w:val="00EB13CD"/>
    <w:rsid w:val="00EB6DC5"/>
    <w:rsid w:val="00EC0C62"/>
    <w:rsid w:val="00EC4722"/>
    <w:rsid w:val="00EC4C74"/>
    <w:rsid w:val="00EC741D"/>
    <w:rsid w:val="00EC7D0F"/>
    <w:rsid w:val="00ED4C8B"/>
    <w:rsid w:val="00ED615F"/>
    <w:rsid w:val="00EE0FCD"/>
    <w:rsid w:val="00EE2C88"/>
    <w:rsid w:val="00EE5E82"/>
    <w:rsid w:val="00EF1291"/>
    <w:rsid w:val="00EF705D"/>
    <w:rsid w:val="00F00AE4"/>
    <w:rsid w:val="00F02B6B"/>
    <w:rsid w:val="00F06406"/>
    <w:rsid w:val="00F120CA"/>
    <w:rsid w:val="00F1784C"/>
    <w:rsid w:val="00F2534C"/>
    <w:rsid w:val="00F26712"/>
    <w:rsid w:val="00F35512"/>
    <w:rsid w:val="00F37F5D"/>
    <w:rsid w:val="00F40912"/>
    <w:rsid w:val="00F40BF6"/>
    <w:rsid w:val="00F412C5"/>
    <w:rsid w:val="00F43CA4"/>
    <w:rsid w:val="00F47B30"/>
    <w:rsid w:val="00F50E09"/>
    <w:rsid w:val="00F520ED"/>
    <w:rsid w:val="00F5339A"/>
    <w:rsid w:val="00F54B4F"/>
    <w:rsid w:val="00F6195F"/>
    <w:rsid w:val="00F619D5"/>
    <w:rsid w:val="00F637D1"/>
    <w:rsid w:val="00F6612F"/>
    <w:rsid w:val="00F67BA8"/>
    <w:rsid w:val="00F74466"/>
    <w:rsid w:val="00F84814"/>
    <w:rsid w:val="00FA1FDD"/>
    <w:rsid w:val="00FA2DF7"/>
    <w:rsid w:val="00FA68E8"/>
    <w:rsid w:val="00FC2F40"/>
    <w:rsid w:val="00FC3403"/>
    <w:rsid w:val="00FD393F"/>
    <w:rsid w:val="00FE0C78"/>
    <w:rsid w:val="00FE1A22"/>
    <w:rsid w:val="00FE6C46"/>
    <w:rsid w:val="00FF0E14"/>
    <w:rsid w:val="00FF13A4"/>
    <w:rsid w:val="00FF7575"/>
    <w:rsid w:val="01BE3BEC"/>
    <w:rsid w:val="01F1449F"/>
    <w:rsid w:val="02B86002"/>
    <w:rsid w:val="03986975"/>
    <w:rsid w:val="04240BBE"/>
    <w:rsid w:val="04762AE0"/>
    <w:rsid w:val="069C2465"/>
    <w:rsid w:val="075A73A0"/>
    <w:rsid w:val="08AD0F4B"/>
    <w:rsid w:val="08FA104A"/>
    <w:rsid w:val="09755111"/>
    <w:rsid w:val="097A4E1C"/>
    <w:rsid w:val="09FE75F3"/>
    <w:rsid w:val="0B163B8B"/>
    <w:rsid w:val="0BE3650F"/>
    <w:rsid w:val="0DA306EE"/>
    <w:rsid w:val="0E3029F9"/>
    <w:rsid w:val="0E511B0C"/>
    <w:rsid w:val="0E8100DC"/>
    <w:rsid w:val="0EC01DBF"/>
    <w:rsid w:val="0FD26785"/>
    <w:rsid w:val="118A6E25"/>
    <w:rsid w:val="12E96D17"/>
    <w:rsid w:val="13D30E93"/>
    <w:rsid w:val="14BB338F"/>
    <w:rsid w:val="16504AAA"/>
    <w:rsid w:val="165F00C7"/>
    <w:rsid w:val="16F83FBE"/>
    <w:rsid w:val="19D3216D"/>
    <w:rsid w:val="19EA650F"/>
    <w:rsid w:val="19FC5530"/>
    <w:rsid w:val="1A0E0421"/>
    <w:rsid w:val="1A8E4C56"/>
    <w:rsid w:val="1C442E6B"/>
    <w:rsid w:val="1C540E10"/>
    <w:rsid w:val="1DA83DB7"/>
    <w:rsid w:val="1DDD0A0E"/>
    <w:rsid w:val="1E834A1F"/>
    <w:rsid w:val="1EBC725E"/>
    <w:rsid w:val="1F826B41"/>
    <w:rsid w:val="2043117D"/>
    <w:rsid w:val="213D1395"/>
    <w:rsid w:val="21533539"/>
    <w:rsid w:val="217527F4"/>
    <w:rsid w:val="22C02E1F"/>
    <w:rsid w:val="22D749B9"/>
    <w:rsid w:val="247F43CB"/>
    <w:rsid w:val="250A7C3A"/>
    <w:rsid w:val="254E1FEF"/>
    <w:rsid w:val="25CA498C"/>
    <w:rsid w:val="25DB4A87"/>
    <w:rsid w:val="27172430"/>
    <w:rsid w:val="283C2212"/>
    <w:rsid w:val="296D4B02"/>
    <w:rsid w:val="2B265158"/>
    <w:rsid w:val="2B8354F2"/>
    <w:rsid w:val="2CB510E7"/>
    <w:rsid w:val="2F7A50F2"/>
    <w:rsid w:val="2FCD12F9"/>
    <w:rsid w:val="306A0BD0"/>
    <w:rsid w:val="30DB1837"/>
    <w:rsid w:val="31013C75"/>
    <w:rsid w:val="310E5509"/>
    <w:rsid w:val="31AA64B0"/>
    <w:rsid w:val="32043DB2"/>
    <w:rsid w:val="32855EB3"/>
    <w:rsid w:val="331C5269"/>
    <w:rsid w:val="35424BEE"/>
    <w:rsid w:val="35B23FA8"/>
    <w:rsid w:val="36184EE9"/>
    <w:rsid w:val="38432FDD"/>
    <w:rsid w:val="3949030C"/>
    <w:rsid w:val="39542E1A"/>
    <w:rsid w:val="3A397C14"/>
    <w:rsid w:val="3A717D6E"/>
    <w:rsid w:val="3AA20A1B"/>
    <w:rsid w:val="3B2A43DF"/>
    <w:rsid w:val="3BEC356F"/>
    <w:rsid w:val="3D0275B8"/>
    <w:rsid w:val="3E0B5057"/>
    <w:rsid w:val="3EB83A06"/>
    <w:rsid w:val="3EF37553"/>
    <w:rsid w:val="40DD0378"/>
    <w:rsid w:val="42325426"/>
    <w:rsid w:val="429A0DCF"/>
    <w:rsid w:val="43973DF4"/>
    <w:rsid w:val="43A33591"/>
    <w:rsid w:val="43AF1092"/>
    <w:rsid w:val="45A75D52"/>
    <w:rsid w:val="45EF524D"/>
    <w:rsid w:val="46957BD9"/>
    <w:rsid w:val="487600EF"/>
    <w:rsid w:val="48E07B1E"/>
    <w:rsid w:val="48F906C8"/>
    <w:rsid w:val="4AE536EB"/>
    <w:rsid w:val="4DF272ED"/>
    <w:rsid w:val="4DF420F5"/>
    <w:rsid w:val="4EF06ABF"/>
    <w:rsid w:val="50711D5B"/>
    <w:rsid w:val="508E3FB7"/>
    <w:rsid w:val="51023F76"/>
    <w:rsid w:val="521F0ECA"/>
    <w:rsid w:val="52B70144"/>
    <w:rsid w:val="54EB59F4"/>
    <w:rsid w:val="54F1676A"/>
    <w:rsid w:val="55933D75"/>
    <w:rsid w:val="559E4304"/>
    <w:rsid w:val="55C32076"/>
    <w:rsid w:val="56D668D1"/>
    <w:rsid w:val="57307805"/>
    <w:rsid w:val="57905DB9"/>
    <w:rsid w:val="57C6432D"/>
    <w:rsid w:val="58021604"/>
    <w:rsid w:val="58036FF1"/>
    <w:rsid w:val="599A5E0E"/>
    <w:rsid w:val="5AEB22B8"/>
    <w:rsid w:val="5BB76C47"/>
    <w:rsid w:val="5CA85A91"/>
    <w:rsid w:val="5CBB535B"/>
    <w:rsid w:val="5E6C3675"/>
    <w:rsid w:val="5E6D2FCA"/>
    <w:rsid w:val="62184EFE"/>
    <w:rsid w:val="634520EC"/>
    <w:rsid w:val="64A90C31"/>
    <w:rsid w:val="64CA7CEA"/>
    <w:rsid w:val="66EB0A29"/>
    <w:rsid w:val="675A129D"/>
    <w:rsid w:val="67E027FB"/>
    <w:rsid w:val="690A7914"/>
    <w:rsid w:val="69F40BE1"/>
    <w:rsid w:val="6A066E11"/>
    <w:rsid w:val="6A120A62"/>
    <w:rsid w:val="6B4D7F19"/>
    <w:rsid w:val="6B5C6196"/>
    <w:rsid w:val="6B7845E0"/>
    <w:rsid w:val="6BD510F7"/>
    <w:rsid w:val="6D3B3EC1"/>
    <w:rsid w:val="6D8433BC"/>
    <w:rsid w:val="6DF645F4"/>
    <w:rsid w:val="6E5D7273"/>
    <w:rsid w:val="6E997680"/>
    <w:rsid w:val="6F62294C"/>
    <w:rsid w:val="6F9A4CA5"/>
    <w:rsid w:val="705D3DC7"/>
    <w:rsid w:val="714814E8"/>
    <w:rsid w:val="72391751"/>
    <w:rsid w:val="75091F13"/>
    <w:rsid w:val="75BF4230"/>
    <w:rsid w:val="75F00F0C"/>
    <w:rsid w:val="765A28B7"/>
    <w:rsid w:val="76E95CBD"/>
    <w:rsid w:val="777C3F16"/>
    <w:rsid w:val="77EA6748"/>
    <w:rsid w:val="7813790D"/>
    <w:rsid w:val="7AF81C4F"/>
    <w:rsid w:val="7B1F5A25"/>
    <w:rsid w:val="7D2C328A"/>
    <w:rsid w:val="7D4B68BC"/>
    <w:rsid w:val="7D9367FE"/>
    <w:rsid w:val="7DE91FA1"/>
    <w:rsid w:val="7E086FD3"/>
    <w:rsid w:val="7F075F38"/>
    <w:rsid w:val="7F1A4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Times New Roman"/>
      <w:sz w:val="22"/>
      <w:szCs w:val="22"/>
      <w:lang w:val="en-US" w:eastAsia="en-US"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4"/>
    <w:semiHidden/>
    <w:unhideWhenUsed/>
    <w:qFormat/>
    <w:uiPriority w:val="99"/>
    <w:pPr>
      <w:spacing w:after="0" w:line="240" w:lineRule="auto"/>
    </w:pPr>
    <w:rPr>
      <w:rFonts w:ascii="Tahoma" w:hAnsi="Tahoma" w:cs="Tahoma"/>
      <w:sz w:val="16"/>
      <w:szCs w:val="16"/>
    </w:rPr>
  </w:style>
  <w:style w:type="paragraph" w:styleId="5">
    <w:name w:val="Body Text"/>
    <w:basedOn w:val="1"/>
    <w:link w:val="17"/>
    <w:semiHidden/>
    <w:unhideWhenUsed/>
    <w:qFormat/>
    <w:uiPriority w:val="99"/>
    <w:pPr>
      <w:spacing w:after="120" w:line="240" w:lineRule="auto"/>
    </w:pPr>
    <w:rPr>
      <w:rFonts w:ascii="Times New Roman" w:hAnsi="Times New Roman" w:eastAsia="Times New Roman"/>
      <w:sz w:val="20"/>
      <w:szCs w:val="20"/>
      <w:lang w:val="zh-CN" w:eastAsia="zh-CN"/>
    </w:rPr>
  </w:style>
  <w:style w:type="character" w:styleId="6">
    <w:name w:val="annotation reference"/>
    <w:basedOn w:val="2"/>
    <w:semiHidden/>
    <w:unhideWhenUsed/>
    <w:qFormat/>
    <w:uiPriority w:val="99"/>
    <w:rPr>
      <w:sz w:val="16"/>
      <w:szCs w:val="16"/>
    </w:rPr>
  </w:style>
  <w:style w:type="paragraph" w:styleId="7">
    <w:name w:val="annotation text"/>
    <w:basedOn w:val="1"/>
    <w:link w:val="22"/>
    <w:semiHidden/>
    <w:unhideWhenUsed/>
    <w:qFormat/>
    <w:uiPriority w:val="99"/>
    <w:pPr>
      <w:spacing w:line="240" w:lineRule="auto"/>
    </w:pPr>
    <w:rPr>
      <w:sz w:val="20"/>
      <w:szCs w:val="20"/>
    </w:rPr>
  </w:style>
  <w:style w:type="paragraph" w:styleId="8">
    <w:name w:val="annotation subject"/>
    <w:basedOn w:val="7"/>
    <w:next w:val="7"/>
    <w:link w:val="23"/>
    <w:semiHidden/>
    <w:unhideWhenUsed/>
    <w:qFormat/>
    <w:uiPriority w:val="99"/>
    <w:rPr>
      <w:b/>
      <w:bCs/>
    </w:rPr>
  </w:style>
  <w:style w:type="paragraph" w:styleId="9">
    <w:name w:val="footer"/>
    <w:basedOn w:val="1"/>
    <w:link w:val="13"/>
    <w:unhideWhenUsed/>
    <w:qFormat/>
    <w:uiPriority w:val="99"/>
    <w:pPr>
      <w:tabs>
        <w:tab w:val="center" w:pos="4680"/>
        <w:tab w:val="right" w:pos="9360"/>
      </w:tabs>
      <w:spacing w:after="0" w:line="240" w:lineRule="auto"/>
    </w:pPr>
  </w:style>
  <w:style w:type="paragraph" w:styleId="10">
    <w:name w:val="header"/>
    <w:basedOn w:val="1"/>
    <w:link w:val="12"/>
    <w:unhideWhenUsed/>
    <w:qFormat/>
    <w:uiPriority w:val="0"/>
    <w:pPr>
      <w:tabs>
        <w:tab w:val="center" w:pos="4680"/>
        <w:tab w:val="right" w:pos="9360"/>
      </w:tabs>
      <w:spacing w:after="0" w:line="240" w:lineRule="auto"/>
    </w:pPr>
  </w:style>
  <w:style w:type="paragraph" w:styleId="11">
    <w:name w:val="Plain Text"/>
    <w:basedOn w:val="1"/>
    <w:link w:val="16"/>
    <w:unhideWhenUsed/>
    <w:qFormat/>
    <w:uiPriority w:val="99"/>
    <w:pPr>
      <w:spacing w:after="0" w:line="240" w:lineRule="auto"/>
    </w:pPr>
    <w:rPr>
      <w:rFonts w:ascii="Arial" w:hAnsi="Arial" w:eastAsia="Times New Roman"/>
      <w:color w:val="17365D"/>
      <w:sz w:val="20"/>
      <w:szCs w:val="21"/>
    </w:rPr>
  </w:style>
  <w:style w:type="character" w:customStyle="1" w:styleId="12">
    <w:name w:val="Header Char"/>
    <w:basedOn w:val="2"/>
    <w:link w:val="10"/>
    <w:qFormat/>
    <w:uiPriority w:val="99"/>
  </w:style>
  <w:style w:type="character" w:customStyle="1" w:styleId="13">
    <w:name w:val="Footer Char"/>
    <w:basedOn w:val="2"/>
    <w:link w:val="9"/>
    <w:qFormat/>
    <w:uiPriority w:val="99"/>
  </w:style>
  <w:style w:type="character" w:customStyle="1" w:styleId="14">
    <w:name w:val="Balloon Text Char"/>
    <w:basedOn w:val="2"/>
    <w:link w:val="4"/>
    <w:semiHidden/>
    <w:qFormat/>
    <w:uiPriority w:val="99"/>
    <w:rPr>
      <w:rFonts w:ascii="Tahoma" w:hAnsi="Tahoma" w:cs="Tahoma"/>
      <w:sz w:val="16"/>
      <w:szCs w:val="16"/>
    </w:rPr>
  </w:style>
  <w:style w:type="paragraph" w:customStyle="1" w:styleId="15">
    <w:name w:val="pbody"/>
    <w:basedOn w:val="1"/>
    <w:qFormat/>
    <w:uiPriority w:val="0"/>
    <w:pPr>
      <w:spacing w:before="100" w:beforeAutospacing="1" w:after="100" w:afterAutospacing="1" w:line="240" w:lineRule="auto"/>
    </w:pPr>
    <w:rPr>
      <w:rFonts w:ascii="Times New Roman" w:hAnsi="Times New Roman" w:eastAsia="Times New Roman"/>
      <w:sz w:val="24"/>
      <w:szCs w:val="24"/>
    </w:rPr>
  </w:style>
  <w:style w:type="character" w:customStyle="1" w:styleId="16">
    <w:name w:val="Plain Text Char"/>
    <w:basedOn w:val="2"/>
    <w:link w:val="11"/>
    <w:qFormat/>
    <w:uiPriority w:val="99"/>
    <w:rPr>
      <w:rFonts w:ascii="Arial" w:hAnsi="Arial" w:eastAsia="Times New Roman" w:cs="Times New Roman"/>
      <w:color w:val="17365D"/>
      <w:sz w:val="20"/>
      <w:szCs w:val="21"/>
    </w:rPr>
  </w:style>
  <w:style w:type="character" w:customStyle="1" w:styleId="17">
    <w:name w:val="Body Text Char"/>
    <w:basedOn w:val="2"/>
    <w:link w:val="5"/>
    <w:semiHidden/>
    <w:qFormat/>
    <w:uiPriority w:val="99"/>
    <w:rPr>
      <w:rFonts w:ascii="Times New Roman" w:hAnsi="Times New Roman" w:eastAsia="Times New Roman" w:cs="Times New Roman"/>
      <w:sz w:val="20"/>
      <w:szCs w:val="20"/>
      <w:lang w:val="zh-CN" w:eastAsia="zh-CN"/>
    </w:rPr>
  </w:style>
  <w:style w:type="paragraph" w:customStyle="1" w:styleId="18">
    <w:name w:val="a"/>
    <w:basedOn w:val="1"/>
    <w:qFormat/>
    <w:uiPriority w:val="0"/>
    <w:pPr>
      <w:spacing w:after="0" w:line="240" w:lineRule="auto"/>
    </w:pPr>
    <w:rPr>
      <w:rFonts w:ascii="VNI-Times" w:hAnsi="VNI-Times" w:eastAsia="Times New Roman"/>
      <w:b/>
      <w:sz w:val="28"/>
      <w:szCs w:val="20"/>
    </w:rPr>
  </w:style>
  <w:style w:type="paragraph" w:customStyle="1" w:styleId="19">
    <w:name w:val="c"/>
    <w:basedOn w:val="1"/>
    <w:qFormat/>
    <w:uiPriority w:val="0"/>
    <w:pPr>
      <w:spacing w:after="0" w:line="240" w:lineRule="auto"/>
      <w:ind w:left="360" w:hanging="360"/>
      <w:jc w:val="both"/>
    </w:pPr>
    <w:rPr>
      <w:rFonts w:ascii="VNI-Times" w:hAnsi="VNI-Times" w:eastAsia="Times New Roman"/>
      <w:sz w:val="28"/>
      <w:szCs w:val="20"/>
    </w:rPr>
  </w:style>
  <w:style w:type="paragraph" w:styleId="20">
    <w:name w:val="List Paragraph"/>
    <w:basedOn w:val="1"/>
    <w:qFormat/>
    <w:uiPriority w:val="34"/>
    <w:pPr>
      <w:ind w:left="720"/>
      <w:contextualSpacing/>
    </w:pPr>
  </w:style>
  <w:style w:type="paragraph" w:customStyle="1" w:styleId="21">
    <w:name w:val="Colorful List - Accent 11"/>
    <w:basedOn w:val="1"/>
    <w:qFormat/>
    <w:uiPriority w:val="34"/>
    <w:pPr>
      <w:spacing w:after="200" w:line="276" w:lineRule="auto"/>
      <w:ind w:left="720"/>
      <w:contextualSpacing/>
    </w:pPr>
  </w:style>
  <w:style w:type="character" w:customStyle="1" w:styleId="22">
    <w:name w:val="Comment Text Char"/>
    <w:basedOn w:val="2"/>
    <w:link w:val="7"/>
    <w:semiHidden/>
    <w:qFormat/>
    <w:uiPriority w:val="99"/>
    <w:rPr>
      <w:rFonts w:ascii="Calibri" w:hAnsi="Calibri" w:eastAsia="Calibri" w:cs="Times New Roman"/>
      <w:sz w:val="20"/>
      <w:szCs w:val="20"/>
    </w:rPr>
  </w:style>
  <w:style w:type="character" w:customStyle="1" w:styleId="23">
    <w:name w:val="Comment Subject Char"/>
    <w:basedOn w:val="22"/>
    <w:link w:val="8"/>
    <w:semiHidden/>
    <w:qFormat/>
    <w:uiPriority w:val="99"/>
    <w:rPr>
      <w:rFonts w:ascii="Calibri" w:hAnsi="Calibri" w:eastAsia="Calibri" w:cs="Times New Roman"/>
      <w:b/>
      <w:bCs/>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AF4B356-60A8-45C4-9D2D-E4EE6A5873EF}">
  <ds:schemaRefs/>
</ds:datastoreItem>
</file>

<file path=docProps/app.xml><?xml version="1.0" encoding="utf-8"?>
<Properties xmlns="http://schemas.openxmlformats.org/officeDocument/2006/extended-properties" xmlns:vt="http://schemas.openxmlformats.org/officeDocument/2006/docPropsVTypes">
  <Template>Normal</Template>
  <Pages>15</Pages>
  <Words>3518</Words>
  <Characters>12604</Characters>
  <Lines>151</Lines>
  <Paragraphs>42</Paragraphs>
  <TotalTime>386</TotalTime>
  <ScaleCrop>false</ScaleCrop>
  <LinksUpToDate>false</LinksUpToDate>
  <CharactersWithSpaces>16066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2020-02-05T13:52:00Z</dcterms:created>
  <dc:creator>TSN-MAR</dc:creator>
  <cp:lastModifiedBy>Dell3070</cp:lastModifiedBy>
  <cp:lastPrinted>2025-11-02T11:25:00Z</cp:lastPrinted>
  <dcterms:modified xsi:type="dcterms:W3CDTF">2026-06-11T05:56:41Z</dcterms:modified>
  <cp:revision>300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2B7844B3F9664C07ABB3592EEEEBED21_13</vt:lpwstr>
  </property>
  <property fmtid="{D5CDD505-2E9C-101B-9397-08002B2CF9AE}" pid="4" name="KSOTemplateDocerSaveRecord">
    <vt:lpwstr>eyJoZGlkIjoiYTJmYzZiNzA0MjJkZjA3YmRmYTQ1N2VlZWVlZDk3MzgifQ==</vt:lpwstr>
  </property>
</Properties>
</file>