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B1F43" w14:textId="77777777" w:rsidR="008265FF" w:rsidRPr="00953A1C" w:rsidRDefault="00000000">
      <w:pPr>
        <w:spacing w:before="100" w:after="80"/>
        <w:jc w:val="center"/>
        <w:rPr>
          <w:rFonts w:ascii="Times New Roman" w:hAnsi="Times New Roman" w:cs="Times New Roman"/>
        </w:rPr>
      </w:pPr>
      <w:r w:rsidRPr="00953A1C">
        <w:rPr>
          <w:rFonts w:ascii="Times New Roman" w:hAnsi="Times New Roman" w:cs="Times New Roman"/>
          <w:b/>
          <w:bCs/>
          <w:sz w:val="30"/>
          <w:szCs w:val="30"/>
        </w:rPr>
        <w:t>Buy Now, Pay Later and Financial Vulnerability:</w:t>
      </w:r>
    </w:p>
    <w:p w14:paraId="1BFB2A7A" w14:textId="77777777" w:rsidR="008265FF" w:rsidRPr="00953A1C" w:rsidRDefault="00000000">
      <w:pPr>
        <w:spacing w:after="160"/>
        <w:jc w:val="center"/>
        <w:rPr>
          <w:rFonts w:ascii="Times New Roman" w:hAnsi="Times New Roman" w:cs="Times New Roman"/>
        </w:rPr>
      </w:pPr>
      <w:r w:rsidRPr="00953A1C">
        <w:rPr>
          <w:rFonts w:ascii="Times New Roman" w:hAnsi="Times New Roman" w:cs="Times New Roman"/>
          <w:b/>
          <w:bCs/>
          <w:sz w:val="26"/>
          <w:szCs w:val="26"/>
        </w:rPr>
        <w:t>Concentration, Demographic Correlates, and Advertising Content</w:t>
      </w:r>
    </w:p>
    <w:p w14:paraId="0D995BB2" w14:textId="2B5D8629" w:rsidR="008265FF" w:rsidRPr="00953A1C" w:rsidRDefault="000E3BDE">
      <w:pPr>
        <w:spacing w:after="60"/>
        <w:jc w:val="center"/>
        <w:rPr>
          <w:rFonts w:ascii="Times New Roman" w:hAnsi="Times New Roman" w:cs="Times New Roman"/>
        </w:rPr>
      </w:pPr>
      <w:r w:rsidRPr="00953A1C">
        <w:rPr>
          <w:rFonts w:ascii="Times New Roman" w:hAnsi="Times New Roman" w:cs="Times New Roman"/>
          <w:i/>
          <w:iCs/>
          <w:sz w:val="20"/>
          <w:szCs w:val="20"/>
        </w:rPr>
        <w:t>Alvin He, Charlie Yang, Max Linton</w:t>
      </w:r>
    </w:p>
    <w:p w14:paraId="165472A1" w14:textId="77777777" w:rsidR="00D61C85" w:rsidRPr="00953A1C" w:rsidRDefault="00D61C85" w:rsidP="00D61C85">
      <w:pPr>
        <w:pStyle w:val="NormalWeb"/>
        <w:shd w:val="clear" w:color="auto" w:fill="FFFFFF"/>
        <w:spacing w:before="180" w:beforeAutospacing="0" w:after="180" w:afterAutospacing="0"/>
        <w:rPr>
          <w:color w:val="273540"/>
        </w:rPr>
      </w:pPr>
      <w:r w:rsidRPr="00953A1C">
        <w:rPr>
          <w:color w:val="273540"/>
        </w:rPr>
        <w:t> </w:t>
      </w:r>
    </w:p>
    <w:p w14:paraId="767C8279" w14:textId="77777777" w:rsidR="008265FF" w:rsidRPr="00953A1C" w:rsidRDefault="00000000">
      <w:pPr>
        <w:pStyle w:val="Heading1"/>
        <w:rPr>
          <w:rFonts w:ascii="Times New Roman" w:hAnsi="Times New Roman" w:cs="Times New Roman"/>
        </w:rPr>
      </w:pPr>
      <w:r w:rsidRPr="00953A1C">
        <w:rPr>
          <w:rFonts w:ascii="Times New Roman" w:hAnsi="Times New Roman" w:cs="Times New Roman"/>
        </w:rPr>
        <w:t>1. Introduction</w:t>
      </w:r>
    </w:p>
    <w:p w14:paraId="71A0AE58" w14:textId="3E301C60" w:rsidR="006C0317" w:rsidRPr="00953A1C" w:rsidRDefault="006C0317" w:rsidP="006C0317">
      <w:pPr>
        <w:pStyle w:val="NormalWeb"/>
        <w:shd w:val="clear" w:color="auto" w:fill="FFFFFF"/>
        <w:spacing w:before="180" w:beforeAutospacing="0" w:after="180" w:afterAutospacing="0"/>
        <w:rPr>
          <w:color w:val="273540"/>
        </w:rPr>
      </w:pPr>
      <w:r w:rsidRPr="00953A1C">
        <w:rPr>
          <w:color w:val="273540"/>
        </w:rPr>
        <w:t xml:space="preserve">Buy-now-pay-later (BNPL) services have been gaining popularity </w:t>
      </w:r>
      <w:r w:rsidR="00953A1C">
        <w:rPr>
          <w:color w:val="273540"/>
        </w:rPr>
        <w:t>in recent years</w:t>
      </w:r>
      <w:r w:rsidRPr="00953A1C">
        <w:rPr>
          <w:color w:val="273540"/>
        </w:rPr>
        <w:t xml:space="preserve">. Core BNPL providers in the U.S. market </w:t>
      </w:r>
      <w:r w:rsidR="00953A1C">
        <w:rPr>
          <w:color w:val="273540"/>
        </w:rPr>
        <w:t>include</w:t>
      </w:r>
      <w:r w:rsidRPr="00953A1C">
        <w:rPr>
          <w:color w:val="273540"/>
        </w:rPr>
        <w:t xml:space="preserve"> Affirm, Klarna, </w:t>
      </w:r>
      <w:proofErr w:type="spellStart"/>
      <w:r w:rsidRPr="00953A1C">
        <w:rPr>
          <w:color w:val="273540"/>
        </w:rPr>
        <w:t>Afterpay</w:t>
      </w:r>
      <w:proofErr w:type="spellEnd"/>
      <w:r w:rsidRPr="00953A1C">
        <w:rPr>
          <w:color w:val="273540"/>
        </w:rPr>
        <w:t xml:space="preserve">, </w:t>
      </w:r>
      <w:proofErr w:type="spellStart"/>
      <w:r w:rsidRPr="00953A1C">
        <w:rPr>
          <w:color w:val="273540"/>
        </w:rPr>
        <w:t>Sezzle</w:t>
      </w:r>
      <w:proofErr w:type="spellEnd"/>
      <w:r w:rsidRPr="00953A1C">
        <w:rPr>
          <w:color w:val="273540"/>
        </w:rPr>
        <w:t xml:space="preserve">, Zip, and PayPal Pay Later. </w:t>
      </w:r>
      <w:r w:rsidR="00953A1C">
        <w:rPr>
          <w:color w:val="273540"/>
        </w:rPr>
        <w:t xml:space="preserve">They function as an alternative to traditional bank loans and purports to help consumers strengthen their purchasing capabilities. </w:t>
      </w:r>
      <w:r w:rsidRPr="00953A1C">
        <w:rPr>
          <w:color w:val="273540"/>
        </w:rPr>
        <w:t xml:space="preserve">BNPL </w:t>
      </w:r>
      <w:proofErr w:type="gramStart"/>
      <w:r w:rsidRPr="00953A1C">
        <w:rPr>
          <w:color w:val="273540"/>
        </w:rPr>
        <w:t>is increasingly been</w:t>
      </w:r>
      <w:proofErr w:type="gramEnd"/>
      <w:r w:rsidRPr="00953A1C">
        <w:rPr>
          <w:color w:val="273540"/>
        </w:rPr>
        <w:t xml:space="preserve"> integrated in the checkout of major </w:t>
      </w:r>
      <w:r w:rsidR="00953A1C" w:rsidRPr="00953A1C">
        <w:rPr>
          <w:color w:val="273540"/>
        </w:rPr>
        <w:t>retail vendors</w:t>
      </w:r>
      <w:r w:rsidRPr="00953A1C">
        <w:rPr>
          <w:color w:val="273540"/>
        </w:rPr>
        <w:t xml:space="preserve">. Think Amazon online shopping, Ticketmaster selling concerts and other entertainment events, or major U.S. airlines and hotel brands are all offering BNPL options leveraging the abovementioned major BNPL firms. </w:t>
      </w:r>
      <w:r w:rsidRPr="00953A1C">
        <w:rPr>
          <w:color w:val="273540"/>
        </w:rPr>
        <w:t xml:space="preserve">However, people are concerned about the ethics of BNPL services in terms of whether BNPL providers disproportionately target financially vulnerable audiences in their social media marketing campaigns. In this project, we aim to answer </w:t>
      </w:r>
      <w:r w:rsidRPr="00953A1C">
        <w:rPr>
          <w:b/>
          <w:bCs/>
          <w:color w:val="273540"/>
        </w:rPr>
        <w:t>if buy-now-pay-later (BNPL) providers disproportionately reach financially vulnerable consumers, and if the messaging in their advertising obscure or downplay the risks of borrowing?</w:t>
      </w:r>
      <w:r w:rsidR="00953A1C">
        <w:rPr>
          <w:b/>
          <w:bCs/>
          <w:color w:val="273540"/>
        </w:rPr>
        <w:t xml:space="preserve"> </w:t>
      </w:r>
      <w:r w:rsidR="00953A1C" w:rsidRPr="00953A1C">
        <w:rPr>
          <w:color w:val="273540"/>
        </w:rPr>
        <w:t>The question is twofold</w:t>
      </w:r>
      <w:r w:rsidR="00D45613">
        <w:rPr>
          <w:color w:val="273540"/>
        </w:rPr>
        <w:t>.</w:t>
      </w:r>
      <w:r w:rsidR="00953A1C" w:rsidRPr="00953A1C">
        <w:rPr>
          <w:color w:val="273540"/>
        </w:rPr>
        <w:t xml:space="preserve"> First, we seek to </w:t>
      </w:r>
      <w:r w:rsidR="00D45613">
        <w:rPr>
          <w:color w:val="273540"/>
        </w:rPr>
        <w:t xml:space="preserve">isolate financial vulnerability from other factors such as demographic characteristics to understand its correlation with a consumer’s decision to use BNPL. If financial vulnerability independently predicts BNPL use, this has massive implications for regulatory and ethical understanding of BNPL services. Second, we seek to </w:t>
      </w:r>
      <w:proofErr w:type="gramStart"/>
      <w:r w:rsidR="00D45613">
        <w:rPr>
          <w:color w:val="273540"/>
        </w:rPr>
        <w:t>understand</w:t>
      </w:r>
      <w:proofErr w:type="gramEnd"/>
      <w:r w:rsidR="00D45613">
        <w:rPr>
          <w:color w:val="273540"/>
        </w:rPr>
        <w:t xml:space="preserve"> </w:t>
      </w:r>
    </w:p>
    <w:p w14:paraId="59034C67" w14:textId="5137859B" w:rsidR="006C0317" w:rsidRPr="00953A1C" w:rsidRDefault="00953A1C" w:rsidP="006C0317">
      <w:pPr>
        <w:pStyle w:val="NormalWeb"/>
        <w:shd w:val="clear" w:color="auto" w:fill="FFFFFF"/>
        <w:spacing w:before="180" w:beforeAutospacing="0" w:after="180" w:afterAutospacing="0"/>
        <w:rPr>
          <w:b/>
          <w:bCs/>
          <w:color w:val="273540"/>
        </w:rPr>
      </w:pPr>
      <w:r w:rsidRPr="00953A1C">
        <w:rPr>
          <w:b/>
          <w:bCs/>
          <w:color w:val="273540"/>
        </w:rPr>
        <w:t xml:space="preserve">The significance of this study lies in exploring the unethical practices of BNPL firms. First, we seek to determine if financial fragility </w:t>
      </w:r>
      <w:proofErr w:type="gramStart"/>
      <w:r w:rsidRPr="00953A1C">
        <w:rPr>
          <w:b/>
          <w:bCs/>
          <w:color w:val="273540"/>
        </w:rPr>
        <w:t>independently</w:t>
      </w:r>
      <w:proofErr w:type="gramEnd"/>
      <w:r w:rsidRPr="00953A1C">
        <w:rPr>
          <w:b/>
          <w:bCs/>
          <w:color w:val="273540"/>
        </w:rPr>
        <w:t xml:space="preserve"> </w:t>
      </w:r>
    </w:p>
    <w:p w14:paraId="3AA8A58F" w14:textId="77777777" w:rsidR="00D45613" w:rsidRDefault="00D45613">
      <w:pPr>
        <w:pStyle w:val="Heading1"/>
        <w:rPr>
          <w:rFonts w:ascii="Times New Roman" w:hAnsi="Times New Roman" w:cs="Times New Roman"/>
        </w:rPr>
      </w:pPr>
    </w:p>
    <w:p w14:paraId="5E8B54F2" w14:textId="28ED8233" w:rsidR="008265FF" w:rsidRPr="00953A1C" w:rsidRDefault="00000000">
      <w:pPr>
        <w:pStyle w:val="Heading1"/>
        <w:rPr>
          <w:rFonts w:ascii="Times New Roman" w:hAnsi="Times New Roman" w:cs="Times New Roman"/>
        </w:rPr>
      </w:pPr>
      <w:r w:rsidRPr="00953A1C">
        <w:rPr>
          <w:rFonts w:ascii="Times New Roman" w:hAnsi="Times New Roman" w:cs="Times New Roman"/>
        </w:rPr>
        <w:t>2. Related Work</w:t>
      </w:r>
    </w:p>
    <w:p w14:paraId="380B8CD2" w14:textId="77777777" w:rsidR="00D45613" w:rsidRDefault="00D45613">
      <w:pPr>
        <w:pStyle w:val="Heading1"/>
        <w:rPr>
          <w:rFonts w:ascii="Times New Roman" w:hAnsi="Times New Roman" w:cs="Times New Roman"/>
        </w:rPr>
      </w:pPr>
    </w:p>
    <w:p w14:paraId="465EE2C4" w14:textId="56BD524F" w:rsidR="008265FF" w:rsidRPr="00953A1C" w:rsidRDefault="00000000">
      <w:pPr>
        <w:pStyle w:val="Heading1"/>
        <w:rPr>
          <w:rFonts w:ascii="Times New Roman" w:hAnsi="Times New Roman" w:cs="Times New Roman"/>
        </w:rPr>
      </w:pPr>
      <w:r w:rsidRPr="00953A1C">
        <w:rPr>
          <w:rFonts w:ascii="Times New Roman" w:hAnsi="Times New Roman" w:cs="Times New Roman"/>
        </w:rPr>
        <w:t>3. Data and Methods</w:t>
      </w:r>
    </w:p>
    <w:p w14:paraId="412E4E79" w14:textId="77777777" w:rsidR="008265FF" w:rsidRPr="00953A1C" w:rsidRDefault="00000000">
      <w:pPr>
        <w:pStyle w:val="Heading2"/>
        <w:rPr>
          <w:rFonts w:ascii="Times New Roman" w:hAnsi="Times New Roman" w:cs="Times New Roman"/>
        </w:rPr>
      </w:pPr>
      <w:r w:rsidRPr="00953A1C">
        <w:rPr>
          <w:rFonts w:ascii="Times New Roman" w:hAnsi="Times New Roman" w:cs="Times New Roman"/>
        </w:rPr>
        <w:t>3.1 Data</w:t>
      </w:r>
    </w:p>
    <w:p w14:paraId="0A62928D" w14:textId="77777777" w:rsidR="00D45613" w:rsidRDefault="00D45613">
      <w:pPr>
        <w:pStyle w:val="Heading2"/>
        <w:rPr>
          <w:rFonts w:ascii="Times New Roman" w:hAnsi="Times New Roman" w:cs="Times New Roman"/>
        </w:rPr>
      </w:pPr>
    </w:p>
    <w:p w14:paraId="79D75671" w14:textId="2E263240" w:rsidR="008265FF" w:rsidRPr="00953A1C" w:rsidRDefault="00000000">
      <w:pPr>
        <w:pStyle w:val="Heading2"/>
        <w:rPr>
          <w:rFonts w:ascii="Times New Roman" w:hAnsi="Times New Roman" w:cs="Times New Roman"/>
        </w:rPr>
      </w:pPr>
      <w:r w:rsidRPr="00953A1C">
        <w:rPr>
          <w:rFonts w:ascii="Times New Roman" w:hAnsi="Times New Roman" w:cs="Times New Roman"/>
        </w:rPr>
        <w:t>3.2 Four-Analysis Design</w:t>
      </w:r>
    </w:p>
    <w:p w14:paraId="04F0E77E" w14:textId="77777777" w:rsidR="00D45613" w:rsidRDefault="00D45613">
      <w:pPr>
        <w:pStyle w:val="Heading2"/>
        <w:rPr>
          <w:rFonts w:ascii="Times New Roman" w:hAnsi="Times New Roman" w:cs="Times New Roman"/>
        </w:rPr>
      </w:pPr>
    </w:p>
    <w:p w14:paraId="6505106A" w14:textId="130D6BE5" w:rsidR="008265FF" w:rsidRPr="00953A1C" w:rsidRDefault="00000000">
      <w:pPr>
        <w:pStyle w:val="Heading2"/>
        <w:rPr>
          <w:rFonts w:ascii="Times New Roman" w:hAnsi="Times New Roman" w:cs="Times New Roman"/>
        </w:rPr>
      </w:pPr>
      <w:r w:rsidRPr="00953A1C">
        <w:rPr>
          <w:rFonts w:ascii="Times New Roman" w:hAnsi="Times New Roman" w:cs="Times New Roman"/>
        </w:rPr>
        <w:t>3.3 Method Details</w:t>
      </w:r>
    </w:p>
    <w:p w14:paraId="34E08386" w14:textId="77777777" w:rsidR="00D45613" w:rsidRDefault="00D45613">
      <w:pPr>
        <w:pStyle w:val="Heading1"/>
        <w:rPr>
          <w:rFonts w:ascii="Times New Roman" w:hAnsi="Times New Roman" w:cs="Times New Roman"/>
        </w:rPr>
      </w:pPr>
    </w:p>
    <w:p w14:paraId="63EC7452" w14:textId="675EA4AE" w:rsidR="008265FF" w:rsidRPr="00953A1C" w:rsidRDefault="00000000">
      <w:pPr>
        <w:pStyle w:val="Heading1"/>
        <w:rPr>
          <w:rFonts w:ascii="Times New Roman" w:hAnsi="Times New Roman" w:cs="Times New Roman"/>
        </w:rPr>
      </w:pPr>
      <w:r w:rsidRPr="00953A1C">
        <w:rPr>
          <w:rFonts w:ascii="Times New Roman" w:hAnsi="Times New Roman" w:cs="Times New Roman"/>
        </w:rPr>
        <w:t>4. Results</w:t>
      </w:r>
    </w:p>
    <w:p w14:paraId="0137671A" w14:textId="77777777" w:rsidR="008265FF" w:rsidRPr="00953A1C" w:rsidRDefault="00000000">
      <w:pPr>
        <w:pStyle w:val="Heading2"/>
        <w:rPr>
          <w:rFonts w:ascii="Times New Roman" w:hAnsi="Times New Roman" w:cs="Times New Roman"/>
        </w:rPr>
      </w:pPr>
      <w:r w:rsidRPr="00953A1C">
        <w:rPr>
          <w:rFonts w:ascii="Times New Roman" w:hAnsi="Times New Roman" w:cs="Times New Roman"/>
        </w:rPr>
        <w:t>4.1 Descriptive Concentration (Analysis 1)</w:t>
      </w:r>
    </w:p>
    <w:p w14:paraId="0407F79E" w14:textId="77777777" w:rsidR="00D45613" w:rsidRDefault="00D45613">
      <w:pPr>
        <w:pStyle w:val="Heading2"/>
        <w:rPr>
          <w:rFonts w:ascii="Times New Roman" w:hAnsi="Times New Roman" w:cs="Times New Roman"/>
        </w:rPr>
      </w:pPr>
    </w:p>
    <w:p w14:paraId="7E70B4C9" w14:textId="40B310EF" w:rsidR="008265FF" w:rsidRPr="00953A1C" w:rsidRDefault="00000000">
      <w:pPr>
        <w:pStyle w:val="Heading2"/>
        <w:rPr>
          <w:rFonts w:ascii="Times New Roman" w:hAnsi="Times New Roman" w:cs="Times New Roman"/>
        </w:rPr>
      </w:pPr>
      <w:r w:rsidRPr="00953A1C">
        <w:rPr>
          <w:rFonts w:ascii="Times New Roman" w:hAnsi="Times New Roman" w:cs="Times New Roman"/>
        </w:rPr>
        <w:t>4.2 Vulnerability Index (Analysis 2)</w:t>
      </w:r>
    </w:p>
    <w:p w14:paraId="1F8E0960" w14:textId="77777777" w:rsidR="00D45613" w:rsidRDefault="00D45613">
      <w:pPr>
        <w:pStyle w:val="Heading2"/>
        <w:rPr>
          <w:rFonts w:ascii="Times New Roman" w:hAnsi="Times New Roman" w:cs="Times New Roman"/>
        </w:rPr>
      </w:pPr>
    </w:p>
    <w:p w14:paraId="3C7F6D7B" w14:textId="26016BB7" w:rsidR="008265FF" w:rsidRPr="00953A1C" w:rsidRDefault="00000000">
      <w:pPr>
        <w:pStyle w:val="Heading2"/>
        <w:rPr>
          <w:rFonts w:ascii="Times New Roman" w:hAnsi="Times New Roman" w:cs="Times New Roman"/>
        </w:rPr>
      </w:pPr>
      <w:r w:rsidRPr="00953A1C">
        <w:rPr>
          <w:rFonts w:ascii="Times New Roman" w:hAnsi="Times New Roman" w:cs="Times New Roman"/>
        </w:rPr>
        <w:t>4.3 Regression — Vulnerability Survives Demographic Controls (Analysis 3)</w:t>
      </w:r>
    </w:p>
    <w:p w14:paraId="53931B0A" w14:textId="77777777" w:rsidR="00D45613" w:rsidRDefault="00D45613">
      <w:pPr>
        <w:pStyle w:val="Heading2"/>
        <w:rPr>
          <w:rFonts w:ascii="Times New Roman" w:hAnsi="Times New Roman" w:cs="Times New Roman"/>
        </w:rPr>
      </w:pPr>
    </w:p>
    <w:p w14:paraId="525212C5" w14:textId="270A5CB4" w:rsidR="008265FF" w:rsidRPr="00953A1C" w:rsidRDefault="00000000">
      <w:pPr>
        <w:pStyle w:val="Heading2"/>
        <w:rPr>
          <w:rFonts w:ascii="Times New Roman" w:hAnsi="Times New Roman" w:cs="Times New Roman"/>
        </w:rPr>
      </w:pPr>
      <w:r w:rsidRPr="00953A1C">
        <w:rPr>
          <w:rFonts w:ascii="Times New Roman" w:hAnsi="Times New Roman" w:cs="Times New Roman"/>
        </w:rPr>
        <w:t>4.4 Propensity Score Matching (Analysis 4)</w:t>
      </w:r>
    </w:p>
    <w:p w14:paraId="0C5B044C" w14:textId="77777777" w:rsidR="00D45613" w:rsidRDefault="00D45613">
      <w:pPr>
        <w:pStyle w:val="Heading1"/>
        <w:rPr>
          <w:rFonts w:ascii="Times New Roman" w:hAnsi="Times New Roman" w:cs="Times New Roman"/>
        </w:rPr>
      </w:pPr>
    </w:p>
    <w:p w14:paraId="5FC42D44" w14:textId="3B4976B0" w:rsidR="008265FF" w:rsidRPr="00953A1C" w:rsidRDefault="00000000">
      <w:pPr>
        <w:pStyle w:val="Heading1"/>
        <w:rPr>
          <w:rFonts w:ascii="Times New Roman" w:hAnsi="Times New Roman" w:cs="Times New Roman"/>
        </w:rPr>
      </w:pPr>
      <w:r w:rsidRPr="00953A1C">
        <w:rPr>
          <w:rFonts w:ascii="Times New Roman" w:hAnsi="Times New Roman" w:cs="Times New Roman"/>
        </w:rPr>
        <w:t>5. Discussion</w:t>
      </w:r>
    </w:p>
    <w:p w14:paraId="04096904" w14:textId="77777777" w:rsidR="008265FF" w:rsidRPr="00953A1C" w:rsidRDefault="00000000">
      <w:pPr>
        <w:pStyle w:val="Heading2"/>
        <w:rPr>
          <w:rFonts w:ascii="Times New Roman" w:hAnsi="Times New Roman" w:cs="Times New Roman"/>
        </w:rPr>
      </w:pPr>
      <w:r w:rsidRPr="00953A1C">
        <w:rPr>
          <w:rFonts w:ascii="Times New Roman" w:hAnsi="Times New Roman" w:cs="Times New Roman"/>
        </w:rPr>
        <w:t>5.1 What the Evidence Supports</w:t>
      </w:r>
    </w:p>
    <w:p w14:paraId="6ADD978C" w14:textId="77777777" w:rsidR="00D45613" w:rsidRDefault="00D45613">
      <w:pPr>
        <w:pStyle w:val="Heading2"/>
        <w:rPr>
          <w:rFonts w:ascii="Times New Roman" w:hAnsi="Times New Roman" w:cs="Times New Roman"/>
        </w:rPr>
      </w:pPr>
    </w:p>
    <w:p w14:paraId="4074A41E" w14:textId="1AC0A098" w:rsidR="008265FF" w:rsidRPr="00953A1C" w:rsidRDefault="00000000">
      <w:pPr>
        <w:pStyle w:val="Heading2"/>
        <w:rPr>
          <w:rFonts w:ascii="Times New Roman" w:hAnsi="Times New Roman" w:cs="Times New Roman"/>
        </w:rPr>
      </w:pPr>
      <w:r w:rsidRPr="00953A1C">
        <w:rPr>
          <w:rFonts w:ascii="Times New Roman" w:hAnsi="Times New Roman" w:cs="Times New Roman"/>
        </w:rPr>
        <w:t>5.2 Ethical Implications</w:t>
      </w:r>
    </w:p>
    <w:p w14:paraId="26490D3A" w14:textId="77777777" w:rsidR="00D45613" w:rsidRDefault="00D45613">
      <w:pPr>
        <w:pStyle w:val="Heading2"/>
        <w:rPr>
          <w:rFonts w:ascii="Times New Roman" w:hAnsi="Times New Roman" w:cs="Times New Roman"/>
        </w:rPr>
      </w:pPr>
    </w:p>
    <w:p w14:paraId="45C07C18" w14:textId="520BB5C4" w:rsidR="008265FF" w:rsidRPr="00953A1C" w:rsidRDefault="00000000">
      <w:pPr>
        <w:pStyle w:val="Heading2"/>
        <w:rPr>
          <w:rFonts w:ascii="Times New Roman" w:hAnsi="Times New Roman" w:cs="Times New Roman"/>
        </w:rPr>
      </w:pPr>
      <w:r w:rsidRPr="00953A1C">
        <w:rPr>
          <w:rFonts w:ascii="Times New Roman" w:hAnsi="Times New Roman" w:cs="Times New Roman"/>
        </w:rPr>
        <w:t>5.3 Limitations</w:t>
      </w:r>
    </w:p>
    <w:p w14:paraId="5159E285" w14:textId="77777777" w:rsidR="00D45613" w:rsidRDefault="00D45613">
      <w:pPr>
        <w:pStyle w:val="Heading2"/>
        <w:rPr>
          <w:rFonts w:ascii="Times New Roman" w:hAnsi="Times New Roman" w:cs="Times New Roman"/>
        </w:rPr>
      </w:pPr>
    </w:p>
    <w:p w14:paraId="55B4C640" w14:textId="5B8D288F" w:rsidR="008265FF" w:rsidRPr="00953A1C" w:rsidRDefault="00000000">
      <w:pPr>
        <w:pStyle w:val="Heading2"/>
        <w:rPr>
          <w:rFonts w:ascii="Times New Roman" w:hAnsi="Times New Roman" w:cs="Times New Roman"/>
        </w:rPr>
      </w:pPr>
      <w:r w:rsidRPr="00953A1C">
        <w:rPr>
          <w:rFonts w:ascii="Times New Roman" w:hAnsi="Times New Roman" w:cs="Times New Roman"/>
        </w:rPr>
        <w:t>5.4 Ethics of This Research</w:t>
      </w:r>
    </w:p>
    <w:p w14:paraId="2E3A3D25" w14:textId="77777777" w:rsidR="00D45613" w:rsidRDefault="00D45613">
      <w:pPr>
        <w:pStyle w:val="Heading2"/>
        <w:rPr>
          <w:rFonts w:ascii="Times New Roman" w:hAnsi="Times New Roman" w:cs="Times New Roman"/>
        </w:rPr>
      </w:pPr>
    </w:p>
    <w:p w14:paraId="44D5479A" w14:textId="0053E9BA" w:rsidR="008265FF" w:rsidRPr="00953A1C" w:rsidRDefault="00000000">
      <w:pPr>
        <w:pStyle w:val="Heading2"/>
        <w:rPr>
          <w:rFonts w:ascii="Times New Roman" w:hAnsi="Times New Roman" w:cs="Times New Roman"/>
        </w:rPr>
      </w:pPr>
      <w:r w:rsidRPr="00953A1C">
        <w:rPr>
          <w:rFonts w:ascii="Times New Roman" w:hAnsi="Times New Roman" w:cs="Times New Roman"/>
        </w:rPr>
        <w:t>5.5 Future Work</w:t>
      </w:r>
    </w:p>
    <w:p w14:paraId="556CD2C4" w14:textId="77777777" w:rsidR="00D45613" w:rsidRDefault="00D45613">
      <w:pPr>
        <w:pStyle w:val="Heading1"/>
        <w:rPr>
          <w:rFonts w:ascii="Times New Roman" w:hAnsi="Times New Roman" w:cs="Times New Roman"/>
        </w:rPr>
      </w:pPr>
    </w:p>
    <w:p w14:paraId="13F6A025" w14:textId="42F894AF" w:rsidR="008265FF" w:rsidRPr="00953A1C" w:rsidRDefault="00000000">
      <w:pPr>
        <w:pStyle w:val="Heading1"/>
        <w:rPr>
          <w:rFonts w:ascii="Times New Roman" w:hAnsi="Times New Roman" w:cs="Times New Roman"/>
        </w:rPr>
      </w:pPr>
      <w:r w:rsidRPr="00953A1C">
        <w:rPr>
          <w:rFonts w:ascii="Times New Roman" w:hAnsi="Times New Roman" w:cs="Times New Roman"/>
        </w:rPr>
        <w:t>6. Reproducibility</w:t>
      </w:r>
    </w:p>
    <w:p w14:paraId="585B4BE1" w14:textId="77777777" w:rsidR="00D45613" w:rsidRDefault="00D45613">
      <w:pPr>
        <w:pStyle w:val="Heading1"/>
        <w:rPr>
          <w:rFonts w:ascii="Times New Roman" w:hAnsi="Times New Roman" w:cs="Times New Roman"/>
        </w:rPr>
      </w:pPr>
    </w:p>
    <w:p w14:paraId="477A6706" w14:textId="4ADE9733" w:rsidR="008265FF" w:rsidRPr="00953A1C" w:rsidRDefault="00000000">
      <w:pPr>
        <w:pStyle w:val="Heading1"/>
        <w:rPr>
          <w:rFonts w:ascii="Times New Roman" w:hAnsi="Times New Roman" w:cs="Times New Roman"/>
        </w:rPr>
      </w:pPr>
      <w:r w:rsidRPr="00953A1C">
        <w:rPr>
          <w:rFonts w:ascii="Times New Roman" w:hAnsi="Times New Roman" w:cs="Times New Roman"/>
        </w:rPr>
        <w:t>References</w:t>
      </w:r>
    </w:p>
    <w:p w14:paraId="51951AC3" w14:textId="77777777" w:rsidR="008265FF" w:rsidRPr="00953A1C" w:rsidRDefault="00000000">
      <w:pPr>
        <w:spacing w:after="60" w:line="280" w:lineRule="auto"/>
        <w:rPr>
          <w:rFonts w:ascii="Times New Roman" w:hAnsi="Times New Roman" w:cs="Times New Roman"/>
        </w:rPr>
      </w:pPr>
      <w:r w:rsidRPr="00953A1C">
        <w:rPr>
          <w:rFonts w:ascii="Times New Roman" w:hAnsi="Times New Roman" w:cs="Times New Roman"/>
          <w:sz w:val="20"/>
          <w:szCs w:val="20"/>
        </w:rPr>
        <w:t xml:space="preserve">Ai, C., &amp; Norton, E. C. (2003). Interaction terms in logit and </w:t>
      </w:r>
      <w:proofErr w:type="spellStart"/>
      <w:r w:rsidRPr="00953A1C">
        <w:rPr>
          <w:rFonts w:ascii="Times New Roman" w:hAnsi="Times New Roman" w:cs="Times New Roman"/>
          <w:sz w:val="20"/>
          <w:szCs w:val="20"/>
        </w:rPr>
        <w:t>probit</w:t>
      </w:r>
      <w:proofErr w:type="spellEnd"/>
      <w:r w:rsidRPr="00953A1C">
        <w:rPr>
          <w:rFonts w:ascii="Times New Roman" w:hAnsi="Times New Roman" w:cs="Times New Roman"/>
          <w:sz w:val="20"/>
          <w:szCs w:val="20"/>
        </w:rPr>
        <w:t xml:space="preserve"> models. Economics Letters, 80(1), 123–129.</w:t>
      </w:r>
    </w:p>
    <w:p w14:paraId="6030826E" w14:textId="77777777" w:rsidR="008265FF" w:rsidRPr="00953A1C" w:rsidRDefault="00000000">
      <w:pPr>
        <w:spacing w:after="60" w:line="280" w:lineRule="auto"/>
        <w:rPr>
          <w:rFonts w:ascii="Times New Roman" w:hAnsi="Times New Roman" w:cs="Times New Roman"/>
        </w:rPr>
      </w:pPr>
      <w:r w:rsidRPr="00953A1C">
        <w:rPr>
          <w:rFonts w:ascii="Times New Roman" w:hAnsi="Times New Roman" w:cs="Times New Roman"/>
          <w:sz w:val="20"/>
          <w:szCs w:val="20"/>
        </w:rPr>
        <w:t xml:space="preserve">Behera, P., </w:t>
      </w:r>
      <w:proofErr w:type="spellStart"/>
      <w:r w:rsidRPr="00953A1C">
        <w:rPr>
          <w:rFonts w:ascii="Times New Roman" w:hAnsi="Times New Roman" w:cs="Times New Roman"/>
          <w:sz w:val="20"/>
          <w:szCs w:val="20"/>
        </w:rPr>
        <w:t>Astvansh</w:t>
      </w:r>
      <w:proofErr w:type="spellEnd"/>
      <w:r w:rsidRPr="00953A1C">
        <w:rPr>
          <w:rFonts w:ascii="Times New Roman" w:hAnsi="Times New Roman" w:cs="Times New Roman"/>
          <w:sz w:val="20"/>
          <w:szCs w:val="20"/>
        </w:rPr>
        <w:t xml:space="preserve">, V., &amp; </w:t>
      </w:r>
      <w:proofErr w:type="spellStart"/>
      <w:r w:rsidRPr="00953A1C">
        <w:rPr>
          <w:rFonts w:ascii="Times New Roman" w:hAnsi="Times New Roman" w:cs="Times New Roman"/>
          <w:sz w:val="20"/>
          <w:szCs w:val="20"/>
        </w:rPr>
        <w:t>Kopalle</w:t>
      </w:r>
      <w:proofErr w:type="spellEnd"/>
      <w:r w:rsidRPr="00953A1C">
        <w:rPr>
          <w:rFonts w:ascii="Times New Roman" w:hAnsi="Times New Roman" w:cs="Times New Roman"/>
          <w:sz w:val="20"/>
          <w:szCs w:val="20"/>
        </w:rPr>
        <w:t>, P. (2025). Buy Now, Pay Later: AI usage, inherent tensions, and implications. Management and Business Review.</w:t>
      </w:r>
    </w:p>
    <w:p w14:paraId="40089CC3" w14:textId="77777777" w:rsidR="008265FF" w:rsidRPr="00953A1C" w:rsidRDefault="00000000">
      <w:pPr>
        <w:spacing w:after="60" w:line="280" w:lineRule="auto"/>
        <w:rPr>
          <w:rFonts w:ascii="Times New Roman" w:hAnsi="Times New Roman" w:cs="Times New Roman"/>
        </w:rPr>
      </w:pPr>
      <w:r w:rsidRPr="00953A1C">
        <w:rPr>
          <w:rFonts w:ascii="Times New Roman" w:hAnsi="Times New Roman" w:cs="Times New Roman"/>
          <w:sz w:val="20"/>
          <w:szCs w:val="20"/>
        </w:rPr>
        <w:t>Consumer Financial Protection Bureau (2023). Consumer Use of Buy Now, Pay Later. Office of Research.</w:t>
      </w:r>
    </w:p>
    <w:p w14:paraId="2572C6C6" w14:textId="77777777" w:rsidR="008265FF" w:rsidRPr="00953A1C" w:rsidRDefault="00000000">
      <w:pPr>
        <w:spacing w:after="60" w:line="280" w:lineRule="auto"/>
        <w:rPr>
          <w:rFonts w:ascii="Times New Roman" w:hAnsi="Times New Roman" w:cs="Times New Roman"/>
        </w:rPr>
      </w:pPr>
      <w:r w:rsidRPr="00953A1C">
        <w:rPr>
          <w:rFonts w:ascii="Times New Roman" w:hAnsi="Times New Roman" w:cs="Times New Roman"/>
          <w:sz w:val="20"/>
          <w:szCs w:val="20"/>
        </w:rPr>
        <w:t>Consumer Financial Protection Bureau (2025). BNPL Market Trends and Consumer Impacts.</w:t>
      </w:r>
    </w:p>
    <w:p w14:paraId="3F405CEA" w14:textId="77777777" w:rsidR="008265FF" w:rsidRPr="00953A1C" w:rsidRDefault="00000000">
      <w:pPr>
        <w:spacing w:after="60" w:line="280" w:lineRule="auto"/>
        <w:rPr>
          <w:rFonts w:ascii="Times New Roman" w:hAnsi="Times New Roman" w:cs="Times New Roman"/>
        </w:rPr>
      </w:pPr>
      <w:r w:rsidRPr="00953A1C">
        <w:rPr>
          <w:rFonts w:ascii="Times New Roman" w:hAnsi="Times New Roman" w:cs="Times New Roman"/>
          <w:sz w:val="20"/>
          <w:szCs w:val="20"/>
        </w:rPr>
        <w:t xml:space="preserve">Federal Reserve Board (2024). Survey of Household Economics and </w:t>
      </w:r>
      <w:proofErr w:type="spellStart"/>
      <w:r w:rsidRPr="00953A1C">
        <w:rPr>
          <w:rFonts w:ascii="Times New Roman" w:hAnsi="Times New Roman" w:cs="Times New Roman"/>
          <w:sz w:val="20"/>
          <w:szCs w:val="20"/>
        </w:rPr>
        <w:t>Decisionmaking</w:t>
      </w:r>
      <w:proofErr w:type="spellEnd"/>
      <w:r w:rsidRPr="00953A1C">
        <w:rPr>
          <w:rFonts w:ascii="Times New Roman" w:hAnsi="Times New Roman" w:cs="Times New Roman"/>
          <w:sz w:val="20"/>
          <w:szCs w:val="20"/>
        </w:rPr>
        <w:t xml:space="preserve"> (SHED), 2024 public-use file.</w:t>
      </w:r>
    </w:p>
    <w:p w14:paraId="233965AF" w14:textId="77777777" w:rsidR="008265FF" w:rsidRPr="00953A1C" w:rsidRDefault="00000000">
      <w:pPr>
        <w:spacing w:after="60" w:line="280" w:lineRule="auto"/>
        <w:rPr>
          <w:rFonts w:ascii="Times New Roman" w:hAnsi="Times New Roman" w:cs="Times New Roman"/>
        </w:rPr>
      </w:pPr>
      <w:r w:rsidRPr="00953A1C">
        <w:rPr>
          <w:rFonts w:ascii="Times New Roman" w:hAnsi="Times New Roman" w:cs="Times New Roman"/>
          <w:sz w:val="20"/>
          <w:szCs w:val="20"/>
        </w:rPr>
        <w:t>Mishra, R., et al. (2025). Regulatory and ethical challenges in AI-driven credit risk assessment for BNPL. Journal of Business and Management Studies, 7(2), 42–51.</w:t>
      </w:r>
    </w:p>
    <w:p w14:paraId="6BFEBAE5" w14:textId="77777777" w:rsidR="008265FF" w:rsidRPr="00953A1C" w:rsidRDefault="00000000">
      <w:pPr>
        <w:spacing w:after="60" w:line="280" w:lineRule="auto"/>
        <w:rPr>
          <w:rFonts w:ascii="Times New Roman" w:hAnsi="Times New Roman" w:cs="Times New Roman"/>
        </w:rPr>
      </w:pPr>
      <w:r w:rsidRPr="00953A1C">
        <w:rPr>
          <w:rFonts w:ascii="Times New Roman" w:hAnsi="Times New Roman" w:cs="Times New Roman"/>
          <w:sz w:val="20"/>
          <w:szCs w:val="20"/>
        </w:rPr>
        <w:t>Richmond Fed (2025). Buy Now, Pay Later: Market impact and policy considerations. Economic Brief 25-03.</w:t>
      </w:r>
    </w:p>
    <w:p w14:paraId="2654D89B" w14:textId="77777777" w:rsidR="008265FF" w:rsidRPr="00953A1C" w:rsidRDefault="00000000">
      <w:pPr>
        <w:spacing w:after="60" w:line="280" w:lineRule="auto"/>
        <w:rPr>
          <w:rFonts w:ascii="Times New Roman" w:hAnsi="Times New Roman" w:cs="Times New Roman"/>
        </w:rPr>
      </w:pPr>
      <w:r w:rsidRPr="00953A1C">
        <w:rPr>
          <w:rFonts w:ascii="Times New Roman" w:hAnsi="Times New Roman" w:cs="Times New Roman"/>
          <w:sz w:val="20"/>
          <w:szCs w:val="20"/>
        </w:rPr>
        <w:t xml:space="preserve">Rosenbaum, P. R., &amp; Rubin, D. B. (1983). The central role of the propensity score in observational studies for causal effects. </w:t>
      </w:r>
      <w:proofErr w:type="spellStart"/>
      <w:r w:rsidRPr="00953A1C">
        <w:rPr>
          <w:rFonts w:ascii="Times New Roman" w:hAnsi="Times New Roman" w:cs="Times New Roman"/>
          <w:sz w:val="20"/>
          <w:szCs w:val="20"/>
        </w:rPr>
        <w:t>Biometrika</w:t>
      </w:r>
      <w:proofErr w:type="spellEnd"/>
      <w:r w:rsidRPr="00953A1C">
        <w:rPr>
          <w:rFonts w:ascii="Times New Roman" w:hAnsi="Times New Roman" w:cs="Times New Roman"/>
          <w:sz w:val="20"/>
          <w:szCs w:val="20"/>
        </w:rPr>
        <w:t>, 70(1), 41–55.</w:t>
      </w:r>
    </w:p>
    <w:p w14:paraId="20067E10" w14:textId="77777777" w:rsidR="008265FF" w:rsidRPr="00953A1C" w:rsidRDefault="00000000">
      <w:pPr>
        <w:spacing w:after="60" w:line="280" w:lineRule="auto"/>
        <w:rPr>
          <w:rFonts w:ascii="Times New Roman" w:hAnsi="Times New Roman" w:cs="Times New Roman"/>
        </w:rPr>
      </w:pPr>
      <w:r w:rsidRPr="00953A1C">
        <w:rPr>
          <w:rFonts w:ascii="Times New Roman" w:hAnsi="Times New Roman" w:cs="Times New Roman"/>
          <w:sz w:val="20"/>
          <w:szCs w:val="20"/>
        </w:rPr>
        <w:lastRenderedPageBreak/>
        <w:t>Stuart, E. A. (2010). Matching methods for causal inference: A review and a look forward. Statistical Science, 25(1), 1–21.</w:t>
      </w:r>
    </w:p>
    <w:p w14:paraId="341EF7CA" w14:textId="77777777" w:rsidR="008265FF" w:rsidRPr="00953A1C" w:rsidRDefault="00000000">
      <w:pPr>
        <w:spacing w:after="60" w:line="280" w:lineRule="auto"/>
        <w:rPr>
          <w:rFonts w:ascii="Times New Roman" w:hAnsi="Times New Roman" w:cs="Times New Roman"/>
        </w:rPr>
      </w:pPr>
      <w:r w:rsidRPr="00953A1C">
        <w:rPr>
          <w:rFonts w:ascii="Times New Roman" w:hAnsi="Times New Roman" w:cs="Times New Roman"/>
          <w:sz w:val="20"/>
          <w:szCs w:val="20"/>
        </w:rPr>
        <w:t>Threadgold, S., et al. (2024). Buy Now, Pay Later technologies and the gamification of debt. Journal of Cultural Economy.</w:t>
      </w:r>
    </w:p>
    <w:p w14:paraId="0F1279DA" w14:textId="76377D7A" w:rsidR="008265FF" w:rsidRPr="00953A1C" w:rsidRDefault="008265FF">
      <w:pPr>
        <w:spacing w:after="100" w:line="280" w:lineRule="auto"/>
        <w:rPr>
          <w:rFonts w:ascii="Times New Roman" w:hAnsi="Times New Roman" w:cs="Times New Roman"/>
        </w:rPr>
      </w:pPr>
    </w:p>
    <w:sectPr w:rsidR="008265FF" w:rsidRPr="00953A1C">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2AA17" w14:textId="77777777" w:rsidR="004F3394" w:rsidRDefault="004F3394">
      <w:r>
        <w:separator/>
      </w:r>
    </w:p>
  </w:endnote>
  <w:endnote w:type="continuationSeparator" w:id="0">
    <w:p w14:paraId="6E076D24" w14:textId="77777777" w:rsidR="004F3394" w:rsidRDefault="004F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F30D4" w14:textId="77777777" w:rsidR="008265F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E3BD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0E3BD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CFF72" w14:textId="77777777" w:rsidR="004F3394" w:rsidRDefault="004F3394">
      <w:r>
        <w:separator/>
      </w:r>
    </w:p>
  </w:footnote>
  <w:footnote w:type="continuationSeparator" w:id="0">
    <w:p w14:paraId="548B5B48" w14:textId="77777777" w:rsidR="004F3394" w:rsidRDefault="004F33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F1E30"/>
    <w:multiLevelType w:val="hybridMultilevel"/>
    <w:tmpl w:val="81B6916A"/>
    <w:lvl w:ilvl="0" w:tplc="F68AB95A">
      <w:start w:val="1"/>
      <w:numFmt w:val="bullet"/>
      <w:lvlText w:val="●"/>
      <w:lvlJc w:val="left"/>
      <w:pPr>
        <w:ind w:left="720" w:hanging="360"/>
      </w:pPr>
    </w:lvl>
    <w:lvl w:ilvl="1" w:tplc="4992EBC0">
      <w:start w:val="1"/>
      <w:numFmt w:val="bullet"/>
      <w:lvlText w:val="○"/>
      <w:lvlJc w:val="left"/>
      <w:pPr>
        <w:ind w:left="1440" w:hanging="360"/>
      </w:pPr>
    </w:lvl>
    <w:lvl w:ilvl="2" w:tplc="A6D6135E">
      <w:start w:val="1"/>
      <w:numFmt w:val="bullet"/>
      <w:lvlText w:val="■"/>
      <w:lvlJc w:val="left"/>
      <w:pPr>
        <w:ind w:left="2160" w:hanging="360"/>
      </w:pPr>
    </w:lvl>
    <w:lvl w:ilvl="3" w:tplc="5A4C6BC0">
      <w:start w:val="1"/>
      <w:numFmt w:val="bullet"/>
      <w:lvlText w:val="●"/>
      <w:lvlJc w:val="left"/>
      <w:pPr>
        <w:ind w:left="2880" w:hanging="360"/>
      </w:pPr>
    </w:lvl>
    <w:lvl w:ilvl="4" w:tplc="3A2AEC7E">
      <w:start w:val="1"/>
      <w:numFmt w:val="bullet"/>
      <w:lvlText w:val="○"/>
      <w:lvlJc w:val="left"/>
      <w:pPr>
        <w:ind w:left="3600" w:hanging="360"/>
      </w:pPr>
    </w:lvl>
    <w:lvl w:ilvl="5" w:tplc="277C244A">
      <w:start w:val="1"/>
      <w:numFmt w:val="bullet"/>
      <w:lvlText w:val="■"/>
      <w:lvlJc w:val="left"/>
      <w:pPr>
        <w:ind w:left="4320" w:hanging="360"/>
      </w:pPr>
    </w:lvl>
    <w:lvl w:ilvl="6" w:tplc="7BAE3474">
      <w:start w:val="1"/>
      <w:numFmt w:val="bullet"/>
      <w:lvlText w:val="●"/>
      <w:lvlJc w:val="left"/>
      <w:pPr>
        <w:ind w:left="5040" w:hanging="360"/>
      </w:pPr>
    </w:lvl>
    <w:lvl w:ilvl="7" w:tplc="AECAFF40">
      <w:start w:val="1"/>
      <w:numFmt w:val="bullet"/>
      <w:lvlText w:val="●"/>
      <w:lvlJc w:val="left"/>
      <w:pPr>
        <w:ind w:left="5760" w:hanging="360"/>
      </w:pPr>
    </w:lvl>
    <w:lvl w:ilvl="8" w:tplc="E72889B8">
      <w:start w:val="1"/>
      <w:numFmt w:val="bullet"/>
      <w:lvlText w:val="●"/>
      <w:lvlJc w:val="left"/>
      <w:pPr>
        <w:ind w:left="6480" w:hanging="360"/>
      </w:pPr>
    </w:lvl>
  </w:abstractNum>
  <w:num w:numId="1" w16cid:durableId="1888301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5FF"/>
    <w:rsid w:val="000E3BDE"/>
    <w:rsid w:val="004F3394"/>
    <w:rsid w:val="006C0317"/>
    <w:rsid w:val="008265FF"/>
    <w:rsid w:val="00953A1C"/>
    <w:rsid w:val="00D45613"/>
    <w:rsid w:val="00D61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7804A5"/>
  <w15:docId w15:val="{D42C6A96-448F-A54B-BDF2-11511D83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61C8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790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Haoyi He</cp:lastModifiedBy>
  <cp:revision>2</cp:revision>
  <dcterms:created xsi:type="dcterms:W3CDTF">2026-05-21T18:45:00Z</dcterms:created>
  <dcterms:modified xsi:type="dcterms:W3CDTF">2026-05-22T03:35:00Z</dcterms:modified>
</cp:coreProperties>
</file>