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D862F" w14:textId="77777777" w:rsidR="006B4269" w:rsidRDefault="00000000">
      <w:pPr>
        <w:spacing w:after="80"/>
        <w:jc w:val="center"/>
      </w:pPr>
      <w:r>
        <w:rPr>
          <w:b/>
          <w:bCs/>
          <w:sz w:val="36"/>
          <w:szCs w:val="36"/>
        </w:rPr>
        <w:t>DATA 259 Project — Analysis Methodology</w:t>
      </w:r>
    </w:p>
    <w:p w14:paraId="2C31A8B8" w14:textId="77777777" w:rsidR="006B4269" w:rsidRDefault="00000000">
      <w:pPr>
        <w:spacing w:after="80"/>
        <w:jc w:val="center"/>
      </w:pPr>
      <w:r>
        <w:rPr>
          <w:i/>
          <w:iCs/>
          <w:sz w:val="26"/>
          <w:szCs w:val="26"/>
        </w:rPr>
        <w:t>Buy Now, Pay Later: Vulnerability Concentration and Ad Content</w:t>
      </w:r>
    </w:p>
    <w:p w14:paraId="0822670D" w14:textId="72B140BC" w:rsidR="006B4269" w:rsidRDefault="00000000">
      <w:pPr>
        <w:spacing w:after="360"/>
        <w:jc w:val="center"/>
        <w:rPr>
          <w:color w:val="666666"/>
        </w:rPr>
      </w:pPr>
      <w:r>
        <w:rPr>
          <w:color w:val="666666"/>
        </w:rPr>
        <w:t>Methodology Plan</w:t>
      </w:r>
    </w:p>
    <w:p w14:paraId="3BEBFFFF" w14:textId="77777777" w:rsidR="00F40148" w:rsidRDefault="00F40148">
      <w:pPr>
        <w:spacing w:after="360"/>
        <w:jc w:val="center"/>
        <w:rPr>
          <w:color w:val="666666"/>
        </w:rPr>
      </w:pPr>
    </w:p>
    <w:p w14:paraId="182191F0" w14:textId="77777777" w:rsidR="00F40148" w:rsidRDefault="00F40148">
      <w:pPr>
        <w:spacing w:after="360"/>
        <w:jc w:val="center"/>
        <w:rPr>
          <w:color w:val="666666"/>
        </w:rPr>
      </w:pPr>
    </w:p>
    <w:p w14:paraId="1ED1026C" w14:textId="77777777" w:rsidR="00F40148" w:rsidRDefault="00F40148">
      <w:pPr>
        <w:spacing w:after="360"/>
        <w:jc w:val="center"/>
        <w:rPr>
          <w:color w:val="666666"/>
        </w:rPr>
      </w:pPr>
    </w:p>
    <w:p w14:paraId="408F7835" w14:textId="77777777" w:rsidR="00F40148" w:rsidRDefault="00F40148">
      <w:pPr>
        <w:spacing w:after="360"/>
        <w:jc w:val="center"/>
        <w:rPr>
          <w:color w:val="666666"/>
        </w:rPr>
      </w:pPr>
    </w:p>
    <w:p w14:paraId="27FA6AB9" w14:textId="77777777" w:rsidR="00F40148" w:rsidRDefault="00F40148">
      <w:pPr>
        <w:spacing w:after="360"/>
        <w:jc w:val="center"/>
        <w:rPr>
          <w:color w:val="666666"/>
        </w:rPr>
      </w:pPr>
    </w:p>
    <w:p w14:paraId="543EAFEA" w14:textId="77777777" w:rsidR="00F40148" w:rsidRDefault="00F40148">
      <w:pPr>
        <w:spacing w:after="360"/>
        <w:jc w:val="center"/>
        <w:rPr>
          <w:color w:val="666666"/>
        </w:rPr>
      </w:pPr>
    </w:p>
    <w:p w14:paraId="19259831" w14:textId="77777777" w:rsidR="00F40148" w:rsidRDefault="00F40148">
      <w:pPr>
        <w:spacing w:after="360"/>
        <w:jc w:val="center"/>
        <w:rPr>
          <w:color w:val="666666"/>
        </w:rPr>
      </w:pPr>
    </w:p>
    <w:p w14:paraId="54A6767A" w14:textId="77777777" w:rsidR="00F40148" w:rsidRDefault="00F40148">
      <w:pPr>
        <w:spacing w:after="360"/>
        <w:jc w:val="center"/>
        <w:rPr>
          <w:color w:val="666666"/>
        </w:rPr>
      </w:pPr>
    </w:p>
    <w:p w14:paraId="7E6C4674" w14:textId="77777777" w:rsidR="00F40148" w:rsidRDefault="00F40148">
      <w:pPr>
        <w:spacing w:after="360"/>
        <w:jc w:val="center"/>
        <w:rPr>
          <w:color w:val="666666"/>
        </w:rPr>
      </w:pPr>
    </w:p>
    <w:p w14:paraId="6488CFE7" w14:textId="77777777" w:rsidR="00F40148" w:rsidRDefault="00F40148">
      <w:pPr>
        <w:spacing w:after="360"/>
        <w:jc w:val="center"/>
        <w:rPr>
          <w:color w:val="666666"/>
        </w:rPr>
      </w:pPr>
    </w:p>
    <w:p w14:paraId="6C23DA0C" w14:textId="77777777" w:rsidR="00F40148" w:rsidRDefault="00F40148">
      <w:pPr>
        <w:spacing w:after="360"/>
        <w:jc w:val="center"/>
        <w:rPr>
          <w:color w:val="666666"/>
        </w:rPr>
      </w:pPr>
    </w:p>
    <w:p w14:paraId="2433D67B" w14:textId="77777777" w:rsidR="00F40148" w:rsidRDefault="00F40148">
      <w:pPr>
        <w:spacing w:after="360"/>
        <w:jc w:val="center"/>
        <w:rPr>
          <w:color w:val="666666"/>
        </w:rPr>
      </w:pPr>
    </w:p>
    <w:p w14:paraId="72725BCB" w14:textId="77777777" w:rsidR="00F40148" w:rsidRDefault="00F40148">
      <w:pPr>
        <w:spacing w:after="360"/>
        <w:jc w:val="center"/>
        <w:rPr>
          <w:color w:val="666666"/>
        </w:rPr>
      </w:pPr>
    </w:p>
    <w:p w14:paraId="18675E52" w14:textId="77777777" w:rsidR="00F40148" w:rsidRDefault="00F40148">
      <w:pPr>
        <w:spacing w:after="360"/>
        <w:jc w:val="center"/>
        <w:rPr>
          <w:color w:val="666666"/>
        </w:rPr>
      </w:pPr>
    </w:p>
    <w:p w14:paraId="48556AB0" w14:textId="77777777" w:rsidR="00F40148" w:rsidRDefault="00F40148">
      <w:pPr>
        <w:spacing w:after="360"/>
        <w:jc w:val="center"/>
        <w:rPr>
          <w:color w:val="666666"/>
        </w:rPr>
      </w:pPr>
    </w:p>
    <w:p w14:paraId="3C662521" w14:textId="77777777" w:rsidR="00F40148" w:rsidRDefault="00F40148">
      <w:pPr>
        <w:spacing w:after="360"/>
        <w:jc w:val="center"/>
        <w:rPr>
          <w:color w:val="666666"/>
        </w:rPr>
      </w:pPr>
    </w:p>
    <w:p w14:paraId="0260E430" w14:textId="77777777" w:rsidR="00F40148" w:rsidRDefault="00F40148">
      <w:pPr>
        <w:spacing w:after="360"/>
        <w:jc w:val="center"/>
        <w:rPr>
          <w:color w:val="666666"/>
        </w:rPr>
      </w:pPr>
    </w:p>
    <w:p w14:paraId="6691E739" w14:textId="77777777" w:rsidR="00F40148" w:rsidRDefault="00F40148">
      <w:pPr>
        <w:spacing w:after="360"/>
        <w:jc w:val="center"/>
        <w:rPr>
          <w:color w:val="666666"/>
        </w:rPr>
      </w:pPr>
    </w:p>
    <w:p w14:paraId="3DA3BCCD" w14:textId="38FBFCDA" w:rsidR="00F40148" w:rsidRDefault="00F40148" w:rsidP="00F40148">
      <w:pPr>
        <w:spacing w:after="360"/>
        <w:rPr>
          <w:color w:val="666666"/>
        </w:rPr>
      </w:pPr>
      <w:r>
        <w:rPr>
          <w:color w:val="666666"/>
        </w:rPr>
        <w:lastRenderedPageBreak/>
        <w:t>A screenshot of a Guide of the Dataset</w:t>
      </w:r>
    </w:p>
    <w:p w14:paraId="7B64ABF0" w14:textId="104C467A" w:rsidR="00F40148" w:rsidRDefault="00F40148">
      <w:pPr>
        <w:spacing w:after="360"/>
        <w:jc w:val="center"/>
      </w:pPr>
      <w:r>
        <w:rPr>
          <w:noProof/>
        </w:rPr>
        <w:drawing>
          <wp:inline distT="0" distB="0" distL="0" distR="0" wp14:anchorId="5938678C" wp14:editId="1C58201C">
            <wp:extent cx="5689267" cy="7715885"/>
            <wp:effectExtent l="0" t="0" r="635" b="5715"/>
            <wp:docPr id="1533679859"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9859" name="Picture 1" descr="A document with text on i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01705" cy="7732753"/>
                    </a:xfrm>
                    <a:prstGeom prst="rect">
                      <a:avLst/>
                    </a:prstGeom>
                  </pic:spPr>
                </pic:pic>
              </a:graphicData>
            </a:graphic>
          </wp:inline>
        </w:drawing>
      </w:r>
    </w:p>
    <w:p w14:paraId="2AD806C9" w14:textId="77777777" w:rsidR="006B4269" w:rsidRDefault="00000000">
      <w:pPr>
        <w:pStyle w:val="Heading1"/>
        <w:spacing w:before="360" w:after="180"/>
      </w:pPr>
      <w:r>
        <w:lastRenderedPageBreak/>
        <w:t>0. A note on framing</w:t>
      </w:r>
    </w:p>
    <w:p w14:paraId="3C89152D" w14:textId="77777777" w:rsidR="006B4269" w:rsidRDefault="006B4269">
      <w:pPr>
        <w:spacing w:after="120"/>
      </w:pPr>
    </w:p>
    <w:p w14:paraId="71FE361D" w14:textId="77777777" w:rsidR="006B4269" w:rsidRDefault="00000000">
      <w:pPr>
        <w:spacing w:after="160"/>
      </w:pPr>
      <w:r>
        <w:t xml:space="preserve">The original research question reads: </w:t>
      </w:r>
      <w:r>
        <w:rPr>
          <w:i/>
          <w:iCs/>
        </w:rPr>
        <w:t>“Do BNPL providers disproportionately target financially vulnerable audiences in their social media advertising — and if so, does the content of those ads obscure or downplay the risks of borrowing?”</w:t>
      </w:r>
    </w:p>
    <w:p w14:paraId="406EDD69" w14:textId="77777777" w:rsidR="006B4269" w:rsidRDefault="00000000">
      <w:pPr>
        <w:spacing w:after="120"/>
      </w:pPr>
      <w:r>
        <w:t>This question has two parts: a targeting question and a content question. Because we cannot directly observe ad-targeting parameters set by BNPL providers (that data is held by Meta and the providers), our quantitative analysis cannot directly prove targeting. What it can do is establish the necessary downstream evidence: that BNPL adoption is concentrated among financially fragile populations in ways that are not explained by ordinary demographic correlates of age and income. We then bridge from that pattern to the targeting claim using a smaller, qualitative ad-content corpus (Analysis 5).</w:t>
      </w:r>
    </w:p>
    <w:p w14:paraId="7830EE1E" w14:textId="595A1E29" w:rsidR="006B4269" w:rsidRDefault="00F40148">
      <w:pPr>
        <w:spacing w:after="120"/>
      </w:pPr>
      <w:r>
        <w:t>The</w:t>
      </w:r>
      <w:r w:rsidR="00000000">
        <w:t xml:space="preserve"> empirical chain runs outcomes → plausible mechanism rather than mechanism → outcomes. We will </w:t>
      </w:r>
      <w:r>
        <w:t xml:space="preserve">need to </w:t>
      </w:r>
      <w:r w:rsidR="00000000">
        <w:t>be explicit about this in the written report.</w:t>
      </w:r>
    </w:p>
    <w:p w14:paraId="082BE119" w14:textId="77777777" w:rsidR="006B4269" w:rsidRDefault="00000000">
      <w:pPr>
        <w:pStyle w:val="Heading1"/>
        <w:spacing w:before="360" w:after="180"/>
      </w:pPr>
      <w:r>
        <w:t>1. Data sources</w:t>
      </w:r>
    </w:p>
    <w:p w14:paraId="16673AA6" w14:textId="77777777" w:rsidR="006B4269" w:rsidRDefault="00000000">
      <w:pPr>
        <w:pStyle w:val="ListParagraph"/>
        <w:numPr>
          <w:ilvl w:val="0"/>
          <w:numId w:val="2"/>
        </w:numPr>
        <w:spacing w:after="80"/>
      </w:pPr>
      <w:r>
        <w:rPr>
          <w:b/>
          <w:bCs/>
        </w:rPr>
        <w:t>Primary: SHED 2024</w:t>
      </w:r>
      <w:r>
        <w:t xml:space="preserve"> — Federal Reserve Survey of Household Economics and Decisionmaking. 12,295 U.S. adults, weighted to be nationally representative. Includes individual-level BNPL questions (BNPL1, BNPL3, BNPL3A, BNPL4_a–g) plus a rich battery of financial-vulnerability measures (EF battery, B battery).</w:t>
      </w:r>
    </w:p>
    <w:p w14:paraId="1141BF7C" w14:textId="77777777" w:rsidR="006B4269" w:rsidRDefault="00000000">
      <w:pPr>
        <w:pStyle w:val="ListParagraph"/>
        <w:numPr>
          <w:ilvl w:val="0"/>
          <w:numId w:val="2"/>
        </w:numPr>
        <w:spacing w:after="80"/>
      </w:pPr>
      <w:r>
        <w:rPr>
          <w:b/>
          <w:bCs/>
        </w:rPr>
        <w:t>Supporting: CFPB BNPL reports</w:t>
      </w:r>
      <w:r>
        <w:t xml:space="preserve"> (December 2025 Market Report, January 2025 Consumer Use report). Used as industry-level context and for benchmarking, not for individual-level analysis.</w:t>
      </w:r>
    </w:p>
    <w:p w14:paraId="225BAEF9" w14:textId="77777777" w:rsidR="006B4269" w:rsidRDefault="00000000">
      <w:pPr>
        <w:pStyle w:val="ListParagraph"/>
        <w:numPr>
          <w:ilvl w:val="0"/>
          <w:numId w:val="2"/>
        </w:numPr>
        <w:spacing w:after="80"/>
      </w:pPr>
      <w:r>
        <w:rPr>
          <w:b/>
          <w:bCs/>
        </w:rPr>
        <w:t>Ad-content corpus: manually collected</w:t>
      </w:r>
      <w:r>
        <w:t xml:space="preserve"> — ~50–80 BNPL ads pulled from the Meta Ad Library web interface (EU/UK ads where targeting transparency is mandated, plus U.S. ads where available), BNPL company TikTok and Instagram pages. Used for Analysis 5 only.</w:t>
      </w:r>
    </w:p>
    <w:p w14:paraId="32543F67" w14:textId="77777777" w:rsidR="006B4269" w:rsidRDefault="00000000">
      <w:pPr>
        <w:pStyle w:val="Heading1"/>
        <w:spacing w:before="360" w:after="180"/>
      </w:pPr>
      <w:r>
        <w:t>2. Overall analytical design</w:t>
      </w:r>
    </w:p>
    <w:p w14:paraId="65112E0E" w14:textId="77777777" w:rsidR="006B4269" w:rsidRDefault="00000000">
      <w:pPr>
        <w:spacing w:after="120"/>
      </w:pPr>
      <w:r>
        <w:t>Five complementary analyses, each using a different statistical technique, designed to triangulate the same research question rather than rely on any single test. This is a conscious response to the requirement that we go beyond simple logistic regression. Each analysis answers a slightly different sub-question:</w:t>
      </w:r>
    </w:p>
    <w:p w14:paraId="5F20AE8B" w14:textId="77777777" w:rsidR="006B4269" w:rsidRDefault="00000000">
      <w:pPr>
        <w:pStyle w:val="ListParagraph"/>
        <w:numPr>
          <w:ilvl w:val="0"/>
          <w:numId w:val="3"/>
        </w:numPr>
        <w:spacing w:after="80"/>
      </w:pPr>
      <w:r>
        <w:rPr>
          <w:b/>
          <w:bCs/>
        </w:rPr>
        <w:t xml:space="preserve">Analysis 1 — Weighted descriptive comparison + chi-square. </w:t>
      </w:r>
      <w:r>
        <w:t>Does BNPL use differ across demographic and vulnerability groups at all?</w:t>
      </w:r>
    </w:p>
    <w:p w14:paraId="03D4F413" w14:textId="77777777" w:rsidR="006B4269" w:rsidRDefault="00000000">
      <w:pPr>
        <w:pStyle w:val="ListParagraph"/>
        <w:numPr>
          <w:ilvl w:val="0"/>
          <w:numId w:val="3"/>
        </w:numPr>
        <w:spacing w:after="80"/>
      </w:pPr>
      <w:r>
        <w:rPr>
          <w:b/>
          <w:bCs/>
        </w:rPr>
        <w:t xml:space="preserve">Analysis 2 — Composite vulnerability index (PCA + Cronbach’s α). </w:t>
      </w:r>
      <w:r>
        <w:t>Move beyond single-variable comparisons by building one principled measure of financial fragility.</w:t>
      </w:r>
    </w:p>
    <w:p w14:paraId="1BA42DC2" w14:textId="77777777" w:rsidR="006B4269" w:rsidRDefault="00000000">
      <w:pPr>
        <w:pStyle w:val="ListParagraph"/>
        <w:numPr>
          <w:ilvl w:val="0"/>
          <w:numId w:val="3"/>
        </w:numPr>
        <w:spacing w:after="80"/>
      </w:pPr>
      <w:r>
        <w:rPr>
          <w:b/>
          <w:bCs/>
        </w:rPr>
        <w:t xml:space="preserve">Analysis 3 — OLS linear probability model with interaction terms. </w:t>
      </w:r>
      <w:r>
        <w:t xml:space="preserve">Does vulnerability predict BNPL use </w:t>
      </w:r>
      <w:r>
        <w:rPr>
          <w:i/>
          <w:iCs/>
        </w:rPr>
        <w:t>after</w:t>
      </w:r>
      <w:r>
        <w:t xml:space="preserve"> controlling for age, income, race, and education — and does it interact with them?</w:t>
      </w:r>
    </w:p>
    <w:p w14:paraId="047C2F71" w14:textId="77777777" w:rsidR="006B4269" w:rsidRDefault="00000000">
      <w:pPr>
        <w:pStyle w:val="ListParagraph"/>
        <w:numPr>
          <w:ilvl w:val="0"/>
          <w:numId w:val="3"/>
        </w:numPr>
        <w:spacing w:after="80"/>
      </w:pPr>
      <w:r>
        <w:rPr>
          <w:b/>
          <w:bCs/>
        </w:rPr>
        <w:t xml:space="preserve">Analysis 4 — Propensity score matching. </w:t>
      </w:r>
      <w:r>
        <w:t>Compare matched fragile-vs-non-fragile respondents to neutralize the “but maybe young people just like BNPL” objection.</w:t>
      </w:r>
    </w:p>
    <w:p w14:paraId="2B34ABDD" w14:textId="77777777" w:rsidR="006B4269" w:rsidRDefault="00000000">
      <w:pPr>
        <w:pStyle w:val="ListParagraph"/>
        <w:numPr>
          <w:ilvl w:val="0"/>
          <w:numId w:val="3"/>
        </w:numPr>
        <w:spacing w:after="80"/>
      </w:pPr>
      <w:r>
        <w:rPr>
          <w:b/>
          <w:bCs/>
        </w:rPr>
        <w:lastRenderedPageBreak/>
        <w:t xml:space="preserve">Analysis 5 — Quantitative text analysis of ad content. </w:t>
      </w:r>
      <w:r>
        <w:t>Does the messaging in BNPL ads (readability, risk-disclosure language, urgency framing) differ from non-BNPL fintech control ads?</w:t>
      </w:r>
    </w:p>
    <w:p w14:paraId="1EB1FE66" w14:textId="77777777" w:rsidR="006B4269" w:rsidRDefault="00000000">
      <w:pPr>
        <w:spacing w:after="120"/>
      </w:pPr>
      <w:r>
        <w:t>Analyses 1–4 use SHED 2024 individual-level microdata. Analysis 5 uses the manually collected ad corpus. Together, Analyses 1–4 establish the concentration pattern; Analysis 5 speaks directly to the content half of the research question.</w:t>
      </w:r>
    </w:p>
    <w:p w14:paraId="2D7962FA" w14:textId="56AA7AF3" w:rsidR="006B4269" w:rsidRDefault="006B4269"/>
    <w:p w14:paraId="24D6D515" w14:textId="77777777" w:rsidR="006B4269" w:rsidRDefault="00000000">
      <w:pPr>
        <w:pStyle w:val="Heading1"/>
        <w:spacing w:before="360" w:after="180"/>
      </w:pPr>
      <w:r>
        <w:t>Analysis 1 — Weighted descriptive comparison + chi-square tests</w:t>
      </w:r>
    </w:p>
    <w:p w14:paraId="60B94C50" w14:textId="77777777" w:rsidR="006B4269" w:rsidRDefault="00000000">
      <w:pPr>
        <w:pStyle w:val="Heading3"/>
        <w:spacing w:before="200" w:after="100"/>
      </w:pPr>
      <w:r>
        <w:t>Purpose</w:t>
      </w:r>
    </w:p>
    <w:p w14:paraId="3FB1700E" w14:textId="77777777" w:rsidR="006B4269" w:rsidRDefault="00000000">
      <w:pPr>
        <w:spacing w:after="120"/>
      </w:pPr>
      <w:r>
        <w:t>Establish, with proper survey weights, whether BNPL use varies across demographic and financial-vulnerability groups. This is the foundational step — a clean descriptive picture before any modeling.</w:t>
      </w:r>
    </w:p>
    <w:p w14:paraId="15249E82" w14:textId="77777777" w:rsidR="006B4269" w:rsidRDefault="00000000">
      <w:pPr>
        <w:pStyle w:val="Heading3"/>
        <w:spacing w:before="200" w:after="100"/>
      </w:pPr>
      <w:r>
        <w:t>Method</w:t>
      </w:r>
    </w:p>
    <w:p w14:paraId="38E19767" w14:textId="77777777" w:rsidR="006B4269" w:rsidRDefault="00000000">
      <w:pPr>
        <w:spacing w:after="120"/>
      </w:pPr>
      <w:r>
        <w:t>For each predictor variable X (e.g., age category, income bracket, financial-fragility indicator), compute the weighted proportion of respondents who used BNPL in the past year, broken down by levels of X. Then test whether the differences are statistically significant using a Pearson chi-square test of independence. Because SHED uses sampling weights, we apply the Rao-Scott correction to the chi-square statistic, which adjusts the test statistic for the design effect of weighting (the standard chi-square assumes simple random sampling and would be biased here).</w:t>
      </w:r>
    </w:p>
    <w:p w14:paraId="417A0A68" w14:textId="77777777" w:rsidR="006B4269" w:rsidRDefault="00000000">
      <w:pPr>
        <w:spacing w:after="120"/>
      </w:pPr>
      <w:r>
        <w:t>Concretely, in Python this is implemented with the survey package or with statsmodels.stats.proportion using weighted counts. Each test answers one question of the form: “Is the rate of BNPL use among X = a different from the rate among X = b, after weighting?”</w:t>
      </w:r>
    </w:p>
    <w:p w14:paraId="01EE1645" w14:textId="77777777" w:rsidR="006B4269" w:rsidRDefault="00000000">
      <w:pPr>
        <w:pStyle w:val="Heading3"/>
        <w:spacing w:before="200" w:after="100"/>
      </w:pPr>
      <w:r>
        <w:t>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B4269" w14:paraId="24204F48" w14:textId="77777777">
        <w:tblPrEx>
          <w:tblCellMar>
            <w:top w:w="0" w:type="dxa"/>
            <w:bottom w:w="0" w:type="dxa"/>
          </w:tblCellMar>
        </w:tblPrEx>
        <w:trPr>
          <w:tblHeader/>
        </w:trPr>
        <w:tc>
          <w:tcPr>
            <w:tcW w:w="312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25D90A6B" w14:textId="77777777" w:rsidR="006B4269" w:rsidRDefault="00000000">
            <w:r>
              <w:rPr>
                <w:b/>
                <w:bCs/>
              </w:rPr>
              <w:t>Role</w:t>
            </w:r>
          </w:p>
        </w:tc>
        <w:tc>
          <w:tcPr>
            <w:tcW w:w="624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12716AF1" w14:textId="77777777" w:rsidR="006B4269" w:rsidRDefault="00000000">
            <w:r>
              <w:rPr>
                <w:b/>
                <w:bCs/>
              </w:rPr>
              <w:t>Variable(s)</w:t>
            </w:r>
          </w:p>
        </w:tc>
      </w:tr>
      <w:tr w:rsidR="006B4269" w14:paraId="6989A899"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68E4BAF" w14:textId="77777777" w:rsidR="006B4269" w:rsidRDefault="00000000">
            <w:r>
              <w:t>Outcome (binary, 0/1)</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BFA39D7" w14:textId="77777777" w:rsidR="006B4269" w:rsidRDefault="00000000">
            <w:r>
              <w:t>BNPL1 (used BNPL in past year)</w:t>
            </w:r>
          </w:p>
        </w:tc>
      </w:tr>
      <w:tr w:rsidR="006B4269" w14:paraId="23064C35"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115D7F6" w14:textId="77777777" w:rsidR="006B4269" w:rsidRDefault="00000000">
            <w:r>
              <w:t>Predictors (one test per predictor)</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E0AE52A" w14:textId="77777777" w:rsidR="006B4269" w:rsidRDefault="00000000">
            <w:r>
              <w:t>ppagecat (age in 7 cats), ppgender, race_5cat, educ_4cat, ppinc7 (income bracket), ppmarit5 (marital), ppmsacat (metro vs. non-metro)</w:t>
            </w:r>
          </w:p>
        </w:tc>
      </w:tr>
      <w:tr w:rsidR="006B4269" w14:paraId="67D21752"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3A65FD3" w14:textId="77777777" w:rsidR="006B4269" w:rsidRDefault="00000000">
            <w:r>
              <w:t>Vulnerability predictors (one test per predictor)</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0B701EF" w14:textId="77777777" w:rsidR="006B4269" w:rsidRDefault="00000000">
            <w:r>
              <w:t>B0_b (“just getting by”), B2 (overall financial managing), EF1 (3-month emergency fund?), EF3_f (would handle $400 emergency with payday loan/overdraft), EF7 (largest emergency expense respondent could currently cover)</w:t>
            </w:r>
          </w:p>
        </w:tc>
      </w:tr>
      <w:tr w:rsidR="006B4269" w14:paraId="6DAFAC4C"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1D59B68" w14:textId="77777777" w:rsidR="006B4269" w:rsidRDefault="00000000">
            <w:r>
              <w:t>Survey weight</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AB7867F" w14:textId="77777777" w:rsidR="006B4269" w:rsidRDefault="00000000">
            <w:r>
              <w:t>weight (post-stratification, scaled to sample size)</w:t>
            </w:r>
          </w:p>
        </w:tc>
      </w:tr>
      <w:tr w:rsidR="006B4269" w14:paraId="2346A46F"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771E19D" w14:textId="77777777" w:rsidR="006B4269" w:rsidRDefault="00000000">
            <w:r>
              <w:t>Controls</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6E8FD35" w14:textId="77777777" w:rsidR="006B4269" w:rsidRDefault="00000000">
            <w:r>
              <w:t>None at this stage — each test is bivariate. Controls enter in Analysis 3.</w:t>
            </w:r>
          </w:p>
        </w:tc>
      </w:tr>
    </w:tbl>
    <w:p w14:paraId="681F096B" w14:textId="77777777" w:rsidR="006B4269" w:rsidRDefault="00000000">
      <w:pPr>
        <w:pStyle w:val="Heading3"/>
        <w:spacing w:before="200" w:after="100"/>
      </w:pPr>
      <w:r>
        <w:t>Output</w:t>
      </w:r>
    </w:p>
    <w:p w14:paraId="09B93893" w14:textId="77777777" w:rsidR="006B4269" w:rsidRDefault="00000000">
      <w:pPr>
        <w:spacing w:after="120"/>
      </w:pPr>
      <w:r>
        <w:lastRenderedPageBreak/>
        <w:t>A summary table of weighted BNPL-use rates by each predictor level, plus the design-corrected chi-square statistic and p-value for each predictor. We expect (and hope) several to be significant. The role of this analysis is descriptive scaffolding for the rest — it tells the reader the shape of the data before any models are fit.</w:t>
      </w:r>
    </w:p>
    <w:p w14:paraId="21BC05B1" w14:textId="77777777" w:rsidR="006B4269" w:rsidRDefault="00000000">
      <w:pPr>
        <w:pStyle w:val="Heading3"/>
        <w:spacing w:before="200" w:after="100"/>
      </w:pPr>
      <w:r>
        <w:t>What this analysis can and cannot say</w:t>
      </w:r>
    </w:p>
    <w:p w14:paraId="45332A2C" w14:textId="77777777" w:rsidR="006B4269" w:rsidRDefault="00000000">
      <w:pPr>
        <w:pStyle w:val="ListParagraph"/>
        <w:numPr>
          <w:ilvl w:val="0"/>
          <w:numId w:val="2"/>
        </w:numPr>
        <w:spacing w:after="80"/>
      </w:pPr>
      <w:r>
        <w:rPr>
          <w:b/>
          <w:bCs/>
        </w:rPr>
        <w:t xml:space="preserve">Can: </w:t>
      </w:r>
      <w:r>
        <w:t>“BNPL use is X percentage points higher among group A than group B, and that difference is unlikely due to chance.”</w:t>
      </w:r>
    </w:p>
    <w:p w14:paraId="56E5AFC7" w14:textId="77777777" w:rsidR="006B4269" w:rsidRDefault="00000000">
      <w:pPr>
        <w:pStyle w:val="ListParagraph"/>
        <w:numPr>
          <w:ilvl w:val="0"/>
          <w:numId w:val="2"/>
        </w:numPr>
        <w:spacing w:after="80"/>
      </w:pPr>
      <w:r>
        <w:rPr>
          <w:b/>
          <w:bCs/>
        </w:rPr>
        <w:t xml:space="preserve">Cannot: </w:t>
      </w:r>
      <w:r>
        <w:t>“Group membership causes BNPL use,” or “this effect survives controls.” Those claims require Analysis 3.</w:t>
      </w:r>
    </w:p>
    <w:p w14:paraId="44953E4F" w14:textId="7143F211" w:rsidR="006B4269" w:rsidRDefault="006B4269"/>
    <w:p w14:paraId="2C842E73" w14:textId="77777777" w:rsidR="006B4269" w:rsidRDefault="00000000">
      <w:pPr>
        <w:pStyle w:val="Heading1"/>
        <w:spacing w:before="360" w:after="180"/>
      </w:pPr>
      <w:r>
        <w:t>Analysis 2 — Composite vulnerability index</w:t>
      </w:r>
    </w:p>
    <w:p w14:paraId="65F6ABC5" w14:textId="77777777" w:rsidR="006B4269" w:rsidRDefault="00000000">
      <w:pPr>
        <w:pStyle w:val="Heading3"/>
        <w:spacing w:before="200" w:after="100"/>
      </w:pPr>
      <w:r>
        <w:t>Purpose</w:t>
      </w:r>
    </w:p>
    <w:p w14:paraId="43289509" w14:textId="77777777" w:rsidR="006B4269" w:rsidRDefault="00000000">
      <w:pPr>
        <w:spacing w:after="120"/>
      </w:pPr>
      <w:r>
        <w:t>Vulnerability is not one variable. SHED has at least seven items that each capture some aspect of financial fragility (emergency-fund availability, ability to cover a $400 expense, subjective financial well-being, bill-payment stress, etc.). Running seven separate tests or treating them as seven separate controls is both statistically inefficient (multiple comparisons) and conceptually messy. Instead, we collapse them into one principled composite measure.</w:t>
      </w:r>
    </w:p>
    <w:p w14:paraId="06EA4667" w14:textId="77777777" w:rsidR="006B4269" w:rsidRDefault="00000000">
      <w:pPr>
        <w:pStyle w:val="Heading3"/>
        <w:spacing w:before="200" w:after="100"/>
      </w:pPr>
      <w:r>
        <w:t>Method</w:t>
      </w:r>
    </w:p>
    <w:p w14:paraId="649B7F82" w14:textId="77777777" w:rsidR="006B4269" w:rsidRDefault="00000000">
      <w:pPr>
        <w:spacing w:after="120"/>
      </w:pPr>
      <w:r>
        <w:t>Two-step process. First, validate that the candidate items measure a coherent latent construct by computing Cronbach’s alpha across the items. Alpha ≥ 0.7 is conventionally considered acceptable internal consistency. Second, use principal component analysis (PCA) on the standardized items and extract the first principal component as a continuous vulnerability score. This score is then standardized (mean 0, SD 1) so that one-unit changes in regressions are interpretable as one-standard-deviation increases in vulnerability.</w:t>
      </w:r>
    </w:p>
    <w:p w14:paraId="3C7790DE" w14:textId="77777777" w:rsidR="006B4269" w:rsidRDefault="00000000">
      <w:pPr>
        <w:spacing w:after="120"/>
      </w:pPr>
      <w:r>
        <w:t>We will also examine the loadings of each item on PC1 and report them. If PC1 explains less than ~50% of total variance, we will reconsider and either drop weakly-loading items or use the simple sum-score as a robustness check. Both will be reported.</w:t>
      </w:r>
    </w:p>
    <w:p w14:paraId="51FD6B0A" w14:textId="77777777" w:rsidR="006B4269" w:rsidRDefault="00000000">
      <w:pPr>
        <w:spacing w:after="120"/>
      </w:pPr>
      <w:r>
        <w:t>This is a deliberate choice over a simple sum-score because PCA respects the fact that items contribute unequally to the latent construct — e.g., “would use a payday loan to handle a $400 emergency” probably loads more heavily on “financial fragility” than “overall managing financially.” PCA with weights is implemented in scikit-learn (after applying weights via sample_weight where supported) or directly in statsmodels.</w:t>
      </w:r>
    </w:p>
    <w:p w14:paraId="02004909" w14:textId="77777777" w:rsidR="006B4269" w:rsidRDefault="00000000">
      <w:pPr>
        <w:pStyle w:val="Heading3"/>
        <w:spacing w:before="200" w:after="100"/>
      </w:pPr>
      <w:r>
        <w:t>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B4269" w14:paraId="1CE931C8" w14:textId="77777777">
        <w:tblPrEx>
          <w:tblCellMar>
            <w:top w:w="0" w:type="dxa"/>
            <w:bottom w:w="0" w:type="dxa"/>
          </w:tblCellMar>
        </w:tblPrEx>
        <w:trPr>
          <w:tblHeader/>
        </w:trPr>
        <w:tc>
          <w:tcPr>
            <w:tcW w:w="312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5FFE8F0C" w14:textId="77777777" w:rsidR="006B4269" w:rsidRDefault="00000000">
            <w:r>
              <w:rPr>
                <w:b/>
                <w:bCs/>
              </w:rPr>
              <w:t>Role</w:t>
            </w:r>
          </w:p>
        </w:tc>
        <w:tc>
          <w:tcPr>
            <w:tcW w:w="624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43C2A2B7" w14:textId="77777777" w:rsidR="006B4269" w:rsidRDefault="00000000">
            <w:r>
              <w:rPr>
                <w:b/>
                <w:bCs/>
              </w:rPr>
              <w:t>Variable(s)</w:t>
            </w:r>
          </w:p>
        </w:tc>
      </w:tr>
      <w:tr w:rsidR="006B4269" w14:paraId="0405EC73"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9277D54" w14:textId="77777777" w:rsidR="006B4269" w:rsidRDefault="00000000">
            <w:r>
              <w:t>Items entering the index</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AFFD7C8" w14:textId="77777777" w:rsidR="006B4269" w:rsidRDefault="00000000">
            <w:r>
              <w:t>B0_b (just getting by), B2 (overall managing), B0_a (“never have things I want”), B0_c (savings won’t last), EF1 (3-month emergency fund), EF2 (3-month income loss), EF3_f (payday/overdraft for $400), EF7 (largest emergency expense covered)</w:t>
            </w:r>
          </w:p>
        </w:tc>
      </w:tr>
      <w:tr w:rsidR="006B4269" w14:paraId="1156B452"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24CB49E" w14:textId="77777777" w:rsidR="006B4269" w:rsidRDefault="00000000">
            <w:r>
              <w:lastRenderedPageBreak/>
              <w:t>Output of analysis</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3B9FE20" w14:textId="77777777" w:rsidR="006B4269" w:rsidRDefault="00000000">
            <w:r>
              <w:t>VULN_PCA1 (continuous, standardized) and VULN_SUM (sum of recoded binaries, robustness)</w:t>
            </w:r>
          </w:p>
        </w:tc>
      </w:tr>
      <w:tr w:rsidR="006B4269" w14:paraId="408337B0"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6506516" w14:textId="77777777" w:rsidR="006B4269" w:rsidRDefault="00000000">
            <w:r>
              <w:t>Survey weight</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542D8C8" w14:textId="77777777" w:rsidR="006B4269" w:rsidRDefault="00000000">
            <w:r>
              <w:t>weight (applied to the covariance matrix used for PCA)</w:t>
            </w:r>
          </w:p>
        </w:tc>
      </w:tr>
      <w:tr w:rsidR="006B4269" w14:paraId="49CB4530"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4FC3C46" w14:textId="77777777" w:rsidR="006B4269" w:rsidRDefault="00000000">
            <w:r>
              <w:t>Controls</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BA0FB08" w14:textId="77777777" w:rsidR="006B4269" w:rsidRDefault="00000000">
            <w:r>
              <w:t>None — this analysis builds a measure, it does not test relationships.</w:t>
            </w:r>
          </w:p>
        </w:tc>
      </w:tr>
    </w:tbl>
    <w:p w14:paraId="162A0FC4" w14:textId="77777777" w:rsidR="006B4269" w:rsidRDefault="00000000">
      <w:pPr>
        <w:pStyle w:val="Heading3"/>
        <w:spacing w:before="200" w:after="100"/>
      </w:pPr>
      <w:r>
        <w:t>Output</w:t>
      </w:r>
    </w:p>
    <w:p w14:paraId="66AB970F" w14:textId="77777777" w:rsidR="006B4269" w:rsidRDefault="00000000">
      <w:pPr>
        <w:spacing w:after="120"/>
      </w:pPr>
      <w:r>
        <w:t>(i) Cronbach’s alpha for the item set. (ii) PCA loadings for each item on PC1, and total variance explained by PC1 and PC2. (iii) The new variable VULN_PCA1, added to the analysis dataframe, used as a key predictor in Analyses 3 and 4. (iv) A scatter or density plot of VULN_PCA1 by BNPL use status, weighted, as a quick visual check that vulnerability is higher among BNPL users.</w:t>
      </w:r>
    </w:p>
    <w:p w14:paraId="5FCF17E1" w14:textId="653B9105" w:rsidR="006B4269" w:rsidRDefault="006B4269"/>
    <w:p w14:paraId="26D3EF20" w14:textId="77777777" w:rsidR="006B4269" w:rsidRDefault="00000000">
      <w:pPr>
        <w:pStyle w:val="Heading1"/>
        <w:spacing w:before="360" w:after="180"/>
      </w:pPr>
      <w:r>
        <w:t>Analysis 3 — Linear probability model with interactions</w:t>
      </w:r>
    </w:p>
    <w:p w14:paraId="2B89770B" w14:textId="77777777" w:rsidR="006B4269" w:rsidRDefault="00000000">
      <w:pPr>
        <w:pStyle w:val="Heading3"/>
        <w:spacing w:before="200" w:after="100"/>
      </w:pPr>
      <w:r>
        <w:t>Purpose</w:t>
      </w:r>
    </w:p>
    <w:p w14:paraId="53A8A15C" w14:textId="77777777" w:rsidR="006B4269" w:rsidRDefault="00000000">
      <w:pPr>
        <w:spacing w:after="120"/>
      </w:pPr>
      <w:r>
        <w:t>Test whether financial vulnerability predicts BNPL use after controlling for the obvious demographic correlates (age, income, education, race, gender). This is the analysis that addresses the strongest objection to our argument: “isn’t it just that young, lower-income people use BNPL more, and they happen to also be more financially fragile?” The interaction terms additionally test whether vulnerability hits some demographic groups harder.</w:t>
      </w:r>
    </w:p>
    <w:p w14:paraId="07432163" w14:textId="77777777" w:rsidR="006B4269" w:rsidRDefault="00000000">
      <w:pPr>
        <w:pStyle w:val="Heading3"/>
        <w:spacing w:before="200" w:after="100"/>
      </w:pPr>
      <w:r>
        <w:t>Method</w:t>
      </w:r>
    </w:p>
    <w:p w14:paraId="35649A13" w14:textId="77777777" w:rsidR="006B4269" w:rsidRDefault="00000000">
      <w:pPr>
        <w:spacing w:after="120"/>
      </w:pPr>
      <w:r>
        <w:t>We use an Ordinary Least Squares linear probability model (LPM) rather than logistic regression. Three reasons: (i) the professor’s instruction to avoid plain logit; (ii) coefficients in an LPM are interpreted directly as percentage-point changes in the probability of BNPL use, which is far more readable than log-odds; (iii) interaction effects in logit models are notoriously hard to interpret correctly (Ai &amp; Norton 2003), while in OLS they are linear and clean. The LPM’s standard objection — predicted probabilities outside [0,1] — is primarily a problem when generating point predictions for extreme covariate values; for average marginal effects in the bulk of the sample it produces nearly identical estimates to logit.</w:t>
      </w:r>
    </w:p>
    <w:p w14:paraId="6F778CD6" w14:textId="77777777" w:rsidR="006B4269" w:rsidRDefault="00000000">
      <w:pPr>
        <w:spacing w:after="120"/>
      </w:pPr>
      <w:r>
        <w:t>We use heteroskedasticity-robust standard errors (Huber-White), since LPM disturbances are heteroskedastic by construction. SHED weights are applied via WLS (weighted least squares) in statsmodels.</w:t>
      </w:r>
    </w:p>
    <w:p w14:paraId="5862E7F3" w14:textId="77777777" w:rsidR="006B4269" w:rsidRDefault="00000000">
      <w:pPr>
        <w:spacing w:after="120"/>
      </w:pPr>
      <w:r>
        <w:t>We will fit three nested specifications:</w:t>
      </w:r>
    </w:p>
    <w:p w14:paraId="65693901" w14:textId="77777777" w:rsidR="006B4269" w:rsidRDefault="00000000">
      <w:pPr>
        <w:pStyle w:val="ListParagraph"/>
        <w:numPr>
          <w:ilvl w:val="0"/>
          <w:numId w:val="3"/>
        </w:numPr>
        <w:spacing w:after="80"/>
      </w:pPr>
      <w:r>
        <w:rPr>
          <w:b/>
          <w:bCs/>
        </w:rPr>
        <w:t xml:space="preserve">Model A (baseline). </w:t>
      </w:r>
      <w:r>
        <w:t>BNPL1 ~ demographic controls only.</w:t>
      </w:r>
    </w:p>
    <w:p w14:paraId="10BCD281" w14:textId="77777777" w:rsidR="006B4269" w:rsidRDefault="00000000">
      <w:pPr>
        <w:pStyle w:val="ListParagraph"/>
        <w:numPr>
          <w:ilvl w:val="0"/>
          <w:numId w:val="3"/>
        </w:numPr>
        <w:spacing w:after="80"/>
      </w:pPr>
      <w:r>
        <w:rPr>
          <w:b/>
          <w:bCs/>
        </w:rPr>
        <w:t xml:space="preserve">Model B (vulnerability added). </w:t>
      </w:r>
      <w:r>
        <w:t>BNPL1 ~ VULN_PCA1 + demographic controls. The coefficient on VULN_PCA1 here is the headline number.</w:t>
      </w:r>
    </w:p>
    <w:p w14:paraId="36E44AFF" w14:textId="77777777" w:rsidR="006B4269" w:rsidRDefault="00000000">
      <w:pPr>
        <w:pStyle w:val="ListParagraph"/>
        <w:numPr>
          <w:ilvl w:val="0"/>
          <w:numId w:val="3"/>
        </w:numPr>
        <w:spacing w:after="80"/>
      </w:pPr>
      <w:r>
        <w:rPr>
          <w:b/>
          <w:bCs/>
        </w:rPr>
        <w:t xml:space="preserve">Model C (interactions). </w:t>
      </w:r>
      <w:r>
        <w:t>Adds VULN_PCA1 × ppagecat, VULN_PCA1 × race_5cat, VULN_PCA1 × ppinc7. Tests whether vulnerability’s effect on BNPL use is steeper for some subgroups (the “algorithmic amplification” hypothesis from the original proposal).</w:t>
      </w:r>
    </w:p>
    <w:p w14:paraId="6F1DF1F3" w14:textId="77777777" w:rsidR="006B4269" w:rsidRDefault="00000000">
      <w:pPr>
        <w:pStyle w:val="Heading3"/>
        <w:spacing w:before="200" w:after="100"/>
      </w:pPr>
      <w:r>
        <w:lastRenderedPageBreak/>
        <w:t>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B4269" w14:paraId="62ACF682" w14:textId="77777777">
        <w:tblPrEx>
          <w:tblCellMar>
            <w:top w:w="0" w:type="dxa"/>
            <w:bottom w:w="0" w:type="dxa"/>
          </w:tblCellMar>
        </w:tblPrEx>
        <w:trPr>
          <w:tblHeader/>
        </w:trPr>
        <w:tc>
          <w:tcPr>
            <w:tcW w:w="312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6AD7E4E5" w14:textId="77777777" w:rsidR="006B4269" w:rsidRDefault="00000000">
            <w:r>
              <w:rPr>
                <w:b/>
                <w:bCs/>
              </w:rPr>
              <w:t>Role</w:t>
            </w:r>
          </w:p>
        </w:tc>
        <w:tc>
          <w:tcPr>
            <w:tcW w:w="624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77751B80" w14:textId="77777777" w:rsidR="006B4269" w:rsidRDefault="00000000">
            <w:r>
              <w:rPr>
                <w:b/>
                <w:bCs/>
              </w:rPr>
              <w:t>Variable(s)</w:t>
            </w:r>
          </w:p>
        </w:tc>
      </w:tr>
      <w:tr w:rsidR="006B4269" w14:paraId="26C7268B"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079C08E" w14:textId="77777777" w:rsidR="006B4269" w:rsidRDefault="00000000">
            <w:r>
              <w:t>Outcome</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9DCCD91" w14:textId="77777777" w:rsidR="006B4269" w:rsidRDefault="00000000">
            <w:r>
              <w:t>BNPL1 (binary)</w:t>
            </w:r>
          </w:p>
        </w:tc>
      </w:tr>
      <w:tr w:rsidR="006B4269" w14:paraId="2A42ACCB"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11E6781" w14:textId="77777777" w:rsidR="006B4269" w:rsidRDefault="00000000">
            <w:r>
              <w:t>Key predictor</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675A4DE" w14:textId="77777777" w:rsidR="006B4269" w:rsidRDefault="00000000">
            <w:r>
              <w:t>VULN_PCA1 (continuous, standardized; built in Analysis 2)</w:t>
            </w:r>
          </w:p>
        </w:tc>
      </w:tr>
      <w:tr w:rsidR="006B4269" w14:paraId="434B90A2"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AEBC0E9" w14:textId="77777777" w:rsidR="006B4269" w:rsidRDefault="00000000">
            <w:r>
              <w:t>Demographic controls</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1548A55" w14:textId="77777777" w:rsidR="006B4269" w:rsidRDefault="00000000">
            <w:r>
              <w:t>ppage (continuous, plus quadratic ppage² for nonlinearity), ppgender (binary), race_5cat (factor), educ_4cat (factor), ppinc7 (factor), ppmarit5 (factor), ppmsacat (binary)</w:t>
            </w:r>
          </w:p>
        </w:tc>
      </w:tr>
      <w:tr w:rsidR="006B4269" w14:paraId="4A23FAB7"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4F861B4" w14:textId="77777777" w:rsidR="006B4269" w:rsidRDefault="00000000">
            <w:r>
              <w:t>Interactions (Model C only)</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7C921D7" w14:textId="77777777" w:rsidR="006B4269" w:rsidRDefault="00000000">
            <w:r>
              <w:t>VULN_PCA1 × ppagecat, VULN_PCA1 × race_5cat, VULN_PCA1 × ppinc7</w:t>
            </w:r>
          </w:p>
        </w:tc>
      </w:tr>
      <w:tr w:rsidR="006B4269" w14:paraId="2387FF95"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1560E81" w14:textId="77777777" w:rsidR="006B4269" w:rsidRDefault="00000000">
            <w:r>
              <w:t>Survey weight</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D774467" w14:textId="77777777" w:rsidR="006B4269" w:rsidRDefault="00000000">
            <w:r>
              <w:t>weight (applied via WLS)</w:t>
            </w:r>
          </w:p>
        </w:tc>
      </w:tr>
      <w:tr w:rsidR="006B4269" w14:paraId="0154742E"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364BAA4" w14:textId="77777777" w:rsidR="006B4269" w:rsidRDefault="00000000">
            <w:r>
              <w:t>Standard errors</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A58F24E" w14:textId="77777777" w:rsidR="006B4269" w:rsidRDefault="00000000">
            <w:r>
              <w:t>Huber-White heteroskedasticity-robust</w:t>
            </w:r>
          </w:p>
        </w:tc>
      </w:tr>
      <w:tr w:rsidR="006B4269" w14:paraId="34ADB3FB"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FF9B406" w14:textId="77777777" w:rsidR="006B4269" w:rsidRDefault="00000000">
            <w:r>
              <w:t>Sample</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97BFD35" w14:textId="77777777" w:rsidR="006B4269" w:rsidRDefault="00000000">
            <w:r>
              <w:t>All 12,295 SHED respondents (no listwise deletion needed for outcome since BNPL1 has zero missing)</w:t>
            </w:r>
          </w:p>
        </w:tc>
      </w:tr>
    </w:tbl>
    <w:p w14:paraId="06DE7EA0" w14:textId="77777777" w:rsidR="006B4269" w:rsidRDefault="00000000">
      <w:pPr>
        <w:pStyle w:val="Heading3"/>
        <w:spacing w:before="200" w:after="100"/>
      </w:pPr>
      <w:r>
        <w:t>Output</w:t>
      </w:r>
    </w:p>
    <w:p w14:paraId="20AC7CD2" w14:textId="77777777" w:rsidR="006B4269" w:rsidRDefault="00000000">
      <w:pPr>
        <w:spacing w:after="120"/>
      </w:pPr>
      <w:r>
        <w:t>Three regression tables side-by-side (Models A, B, C). The headline coefficients are: (i) the VULN_PCA1 coefficient in Model B, which estimates the percentage-point increase in BNPL-use probability associated with one SD of additional vulnerability, holding demographics constant; (ii) the interaction coefficients in Model C, which test whether this effect is amplified for younger, lower-income, or particular racial/ethnic groups.</w:t>
      </w:r>
    </w:p>
    <w:p w14:paraId="143D3CB7" w14:textId="77777777" w:rsidR="006B4269" w:rsidRDefault="00000000">
      <w:pPr>
        <w:spacing w:after="120"/>
      </w:pPr>
      <w:r>
        <w:t>We also produce predicted-probability plots from Model C (using marginal effects) showing P(BNPL use) across the vulnerability distribution, separately by age category. If the lines fan out — i.e., vulnerability matters more for the young — that is visual evidence consistent with disproportionate exposure or marketing pressure on the young.</w:t>
      </w:r>
    </w:p>
    <w:p w14:paraId="0C4EE358" w14:textId="2BF3F2C8" w:rsidR="006B4269" w:rsidRDefault="006B4269"/>
    <w:p w14:paraId="4974568C" w14:textId="77777777" w:rsidR="006B4269" w:rsidRDefault="00000000">
      <w:pPr>
        <w:pStyle w:val="Heading1"/>
        <w:spacing w:before="360" w:after="180"/>
      </w:pPr>
      <w:r>
        <w:t>Analysis 4 — Propensity score matching</w:t>
      </w:r>
    </w:p>
    <w:p w14:paraId="0F291FD0" w14:textId="77777777" w:rsidR="006B4269" w:rsidRDefault="00000000">
      <w:pPr>
        <w:pStyle w:val="Heading3"/>
        <w:spacing w:before="200" w:after="100"/>
      </w:pPr>
      <w:r>
        <w:t>Purpose</w:t>
      </w:r>
    </w:p>
    <w:p w14:paraId="37B63811" w14:textId="77777777" w:rsidR="006B4269" w:rsidRDefault="00000000">
      <w:pPr>
        <w:spacing w:after="120"/>
      </w:pPr>
      <w:r>
        <w:t>A regression with controls assumes the right functional form. Matching does not. By constructing a pseudo-experimental comparison — fragile respondents matched 1-to-1 with non-fragile respondents who look identical on age, income, race, education, gender, and region — we can ask: among demographically near-identical pairs, are the fragile ones still more likely to use BNPL? If yes, vulnerability is doing its own work, independent of the demographic correlates. This is a stronger answer to the “it’s just demographics” objection than Analysis 3 alone.</w:t>
      </w:r>
    </w:p>
    <w:p w14:paraId="6491C548" w14:textId="77777777" w:rsidR="006B4269" w:rsidRDefault="00000000">
      <w:pPr>
        <w:pStyle w:val="Heading3"/>
        <w:spacing w:before="200" w:after="100"/>
      </w:pPr>
      <w:r>
        <w:t>Method</w:t>
      </w:r>
    </w:p>
    <w:p w14:paraId="474A4495" w14:textId="77777777" w:rsidR="006B4269" w:rsidRDefault="00000000">
      <w:pPr>
        <w:spacing w:after="120"/>
      </w:pPr>
      <w:r>
        <w:t xml:space="preserve">Step 1: Define a binary “treatment” variable HIGH_VULN as 1 if VULN_PCA1 is in the top tertile of the weighted distribution and 0 if in the bottom tertile. The middle tertile is dropped to sharpen the </w:t>
      </w:r>
      <w:r>
        <w:lastRenderedPageBreak/>
        <w:t>contrast (this is standard practice in matching with continuous covariates dichotomized for treatment definition).</w:t>
      </w:r>
    </w:p>
    <w:p w14:paraId="0735D16A" w14:textId="77777777" w:rsidR="006B4269" w:rsidRDefault="00000000">
      <w:pPr>
        <w:spacing w:after="120"/>
      </w:pPr>
      <w:r>
        <w:t>Step 2: Estimate a propensity score — the predicted probability of being HIGH_VULN — using a logit on the demographic covariates. (Note that here logit is used as a tool to produce a one-dimensional summary of demographics, not to answer the research question; the professor’s objection to logit was about it being the headline analytical tool, not about its use as machinery inside other methods.)</w:t>
      </w:r>
    </w:p>
    <w:p w14:paraId="36AF7559" w14:textId="77777777" w:rsidR="006B4269" w:rsidRDefault="00000000">
      <w:pPr>
        <w:spacing w:after="120"/>
      </w:pPr>
      <w:r>
        <w:t>Step 3: Match each HIGH_VULN respondent with the closest LOW_VULN respondent on propensity score, using nearest-neighbor matching with replacement and a caliper of 0.1 SD on the logit of the score (Stuart 2010). After matching, check covariate balance — every demographic should have a standardized mean difference &lt; 0.1 between matched groups. If imbalance remains, refine the propensity model.</w:t>
      </w:r>
    </w:p>
    <w:p w14:paraId="0435A6C3" w14:textId="77777777" w:rsidR="006B4269" w:rsidRDefault="00000000">
      <w:pPr>
        <w:spacing w:after="120"/>
      </w:pPr>
      <w:r>
        <w:t>Step 4: With the matched sample, estimate the Average Treatment Effect on the Treated (ATT) for BNPL1 — simply the difference in mean BNPL1 between matched HIGH_VULN and LOW_VULN respondents, with bootstrap standard errors (1000 replications) to account for the matching step.</w:t>
      </w:r>
    </w:p>
    <w:p w14:paraId="194B28A3" w14:textId="77777777" w:rsidR="006B4269" w:rsidRDefault="00000000">
      <w:pPr>
        <w:spacing w:after="120"/>
      </w:pPr>
      <w:r>
        <w:t>Implementation: scikit-learn for the propensity logit; the causalinference or DoWhy package for matching and ATT estimation. Both are well-documented and standard.</w:t>
      </w:r>
    </w:p>
    <w:p w14:paraId="7362A59E" w14:textId="77777777" w:rsidR="006B4269" w:rsidRDefault="00000000">
      <w:pPr>
        <w:pStyle w:val="Heading3"/>
        <w:spacing w:before="200" w:after="100"/>
      </w:pPr>
      <w:r>
        <w:t>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B4269" w14:paraId="7991D69C" w14:textId="77777777">
        <w:tblPrEx>
          <w:tblCellMar>
            <w:top w:w="0" w:type="dxa"/>
            <w:bottom w:w="0" w:type="dxa"/>
          </w:tblCellMar>
        </w:tblPrEx>
        <w:trPr>
          <w:tblHeader/>
        </w:trPr>
        <w:tc>
          <w:tcPr>
            <w:tcW w:w="312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2A788547" w14:textId="77777777" w:rsidR="006B4269" w:rsidRDefault="00000000">
            <w:r>
              <w:rPr>
                <w:b/>
                <w:bCs/>
              </w:rPr>
              <w:t>Role</w:t>
            </w:r>
          </w:p>
        </w:tc>
        <w:tc>
          <w:tcPr>
            <w:tcW w:w="624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6C9DB767" w14:textId="77777777" w:rsidR="006B4269" w:rsidRDefault="00000000">
            <w:r>
              <w:rPr>
                <w:b/>
                <w:bCs/>
              </w:rPr>
              <w:t>Variable(s)</w:t>
            </w:r>
          </w:p>
        </w:tc>
      </w:tr>
      <w:tr w:rsidR="006B4269" w14:paraId="19CB4284"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AE329F6" w14:textId="77777777" w:rsidR="006B4269" w:rsidRDefault="00000000">
            <w:r>
              <w:t>Outcome</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7CDB5FC" w14:textId="77777777" w:rsidR="006B4269" w:rsidRDefault="00000000">
            <w:r>
              <w:t>BNPL1</w:t>
            </w:r>
          </w:p>
        </w:tc>
      </w:tr>
      <w:tr w:rsidR="006B4269" w14:paraId="5D97E01A"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5C37DBF" w14:textId="77777777" w:rsidR="006B4269" w:rsidRDefault="00000000">
            <w:r>
              <w:t>Treatment</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7BBE047" w14:textId="77777777" w:rsidR="006B4269" w:rsidRDefault="00000000">
            <w:r>
              <w:t>HIGH_VULN (binary; 1 if VULN_PCA1 in top tertile, 0 if bottom)</w:t>
            </w:r>
          </w:p>
        </w:tc>
      </w:tr>
      <w:tr w:rsidR="006B4269" w14:paraId="00A77676"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67D3D42" w14:textId="77777777" w:rsidR="006B4269" w:rsidRDefault="00000000">
            <w:r>
              <w:t>Covariates entering propensity model</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DA3D176" w14:textId="77777777" w:rsidR="006B4269" w:rsidRDefault="00000000">
            <w:r>
              <w:t>ppage + ppage², ppgender, race_5cat, educ_4cat, ppinc7, ppmarit5, ppmsacat, ppreg4</w:t>
            </w:r>
          </w:p>
        </w:tc>
      </w:tr>
      <w:tr w:rsidR="006B4269" w14:paraId="4E921DAA"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3783122" w14:textId="77777777" w:rsidR="006B4269" w:rsidRDefault="00000000">
            <w:r>
              <w:t>Survey weight</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501BBE6" w14:textId="77777777" w:rsidR="006B4269" w:rsidRDefault="00000000">
            <w:r>
              <w:t>weight (applied to both the propensity model and the ATT calculation)</w:t>
            </w:r>
          </w:p>
        </w:tc>
      </w:tr>
      <w:tr w:rsidR="006B4269" w14:paraId="37EC9F87"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688E04E" w14:textId="77777777" w:rsidR="006B4269" w:rsidRDefault="00000000">
            <w:r>
              <w:t>Sample</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C11F4E3" w14:textId="77777777" w:rsidR="006B4269" w:rsidRDefault="00000000">
            <w:r>
              <w:t>Top + bottom tertiles of VULN_PCA1 (~ 8,200 respondents after dropping middle tertile)</w:t>
            </w:r>
          </w:p>
        </w:tc>
      </w:tr>
    </w:tbl>
    <w:p w14:paraId="0BB0C993" w14:textId="77777777" w:rsidR="006B4269" w:rsidRDefault="00000000">
      <w:pPr>
        <w:pStyle w:val="Heading3"/>
        <w:spacing w:before="200" w:after="100"/>
      </w:pPr>
      <w:r>
        <w:t>Output</w:t>
      </w:r>
    </w:p>
    <w:p w14:paraId="1831C37A" w14:textId="77777777" w:rsidR="006B4269" w:rsidRDefault="00000000">
      <w:pPr>
        <w:spacing w:after="120"/>
      </w:pPr>
      <w:r>
        <w:t>(i) A covariate-balance table showing standardized differences before and after matching (this should be in the appendix of the final paper). (ii) The ATT estimate — “among demographically matched pairs, financially fragile respondents use BNPL X percentage points more often than non-fragile ones” — with bootstrap CI. (iii) Sensitivity analysis varying the caliper width, to show the result is not driven by matching parameters.</w:t>
      </w:r>
    </w:p>
    <w:p w14:paraId="4824E634" w14:textId="77777777" w:rsidR="006B4269" w:rsidRDefault="00000000">
      <w:r>
        <w:br w:type="page"/>
      </w:r>
    </w:p>
    <w:p w14:paraId="4AA02C49" w14:textId="77777777" w:rsidR="006B4269" w:rsidRDefault="00000000">
      <w:pPr>
        <w:pStyle w:val="Heading1"/>
        <w:spacing w:before="360" w:after="180"/>
      </w:pPr>
      <w:r>
        <w:lastRenderedPageBreak/>
        <w:t>Analysis 5 — Quantitative text analysis of BNPL ad content</w:t>
      </w:r>
    </w:p>
    <w:p w14:paraId="7DCFCCB9" w14:textId="77777777" w:rsidR="006B4269" w:rsidRDefault="00000000">
      <w:pPr>
        <w:pStyle w:val="Heading3"/>
        <w:spacing w:before="200" w:after="100"/>
      </w:pPr>
      <w:r>
        <w:t>Purpose</w:t>
      </w:r>
    </w:p>
    <w:p w14:paraId="27EDDE1A" w14:textId="77777777" w:rsidR="006B4269" w:rsidRDefault="00000000">
      <w:pPr>
        <w:spacing w:after="120"/>
      </w:pPr>
      <w:r>
        <w:t>This is the only analysis that speaks directly to the second half of the research question — what the ads actually say. SHED tells us nothing about ad content. We need a separate corpus.</w:t>
      </w:r>
    </w:p>
    <w:p w14:paraId="6B6E5FE3" w14:textId="77777777" w:rsidR="006B4269" w:rsidRDefault="00000000">
      <w:pPr>
        <w:pStyle w:val="Heading3"/>
        <w:spacing w:before="200" w:after="100"/>
      </w:pPr>
      <w:r>
        <w:t>Corpus construction</w:t>
      </w:r>
    </w:p>
    <w:p w14:paraId="04617C82" w14:textId="77777777" w:rsidR="006B4269" w:rsidRDefault="00000000">
      <w:pPr>
        <w:spacing w:after="120"/>
      </w:pPr>
      <w:r>
        <w:t>Manually collect 50–80 ads via the Meta Ad Library web interface, BNPL company TikTok and Instagram pages, and YouTube pre-roll. Aim for ~10–15 ads per BNPL provider (Affirm, Klarna, Afterpay, Sezzle, Zip, PayPal Pay Later) plus a control group of 20–30 ads from non-BNPL fintech products (Chime, Cash App, traditional credit cards). For each ad, capture: full text of headline + body copy, video transcript if applicable, duration of the ad campaign (where the Ad Library reports it), and the platform.</w:t>
      </w:r>
    </w:p>
    <w:p w14:paraId="2AF23010" w14:textId="77777777" w:rsidR="006B4269" w:rsidRDefault="00000000">
      <w:pPr>
        <w:pStyle w:val="Heading3"/>
        <w:spacing w:before="200" w:after="100"/>
      </w:pPr>
      <w:r>
        <w:t>Method</w:t>
      </w:r>
    </w:p>
    <w:p w14:paraId="282AAF6E" w14:textId="77777777" w:rsidR="006B4269" w:rsidRDefault="00000000">
      <w:pPr>
        <w:spacing w:after="120"/>
      </w:pPr>
      <w:r>
        <w:t>Three quantitative measures, all standard in computational text analysis:</w:t>
      </w:r>
    </w:p>
    <w:p w14:paraId="0898CBBB" w14:textId="77777777" w:rsidR="006B4269" w:rsidRDefault="00000000">
      <w:pPr>
        <w:pStyle w:val="ListParagraph"/>
        <w:numPr>
          <w:ilvl w:val="0"/>
          <w:numId w:val="3"/>
        </w:numPr>
        <w:spacing w:after="80"/>
      </w:pPr>
      <w:r>
        <w:rPr>
          <w:b/>
          <w:bCs/>
        </w:rPr>
        <w:t xml:space="preserve">Readability — Flesch-Kincaid Grade Level. </w:t>
      </w:r>
      <w:r>
        <w:t>Implemented via the textstat package. Lower scores = simpler language. We test whether BNPL ads have systematically lower grade levels than the control corpus, using a two-sample t-test (Welch’s, since variances likely differ).</w:t>
      </w:r>
    </w:p>
    <w:p w14:paraId="68CC8452" w14:textId="77777777" w:rsidR="006B4269" w:rsidRDefault="00000000">
      <w:pPr>
        <w:pStyle w:val="ListParagraph"/>
        <w:numPr>
          <w:ilvl w:val="0"/>
          <w:numId w:val="3"/>
        </w:numPr>
        <w:spacing w:after="80"/>
      </w:pPr>
      <w:r>
        <w:rPr>
          <w:b/>
          <w:bCs/>
        </w:rPr>
        <w:t xml:space="preserve">Risk-disclosure ratio — keyword count. </w:t>
      </w:r>
      <w:r>
        <w:t>Build two dictionaries from prior literature: (a) risk words (“fee,” “interest,” “late payment,” “credit check,” “debt,” “missed payment”); (b) urgency / aspirational words (“now,” “today,” “instantly,” “treat yourself,” “easy,” “stress-free,” “0% interest”). For each ad, compute the ratio (urgency words) / (urgency + risk words). Compare BNPL vs. control with a t-test.</w:t>
      </w:r>
    </w:p>
    <w:p w14:paraId="08FD3142" w14:textId="77777777" w:rsidR="006B4269" w:rsidRDefault="00000000">
      <w:pPr>
        <w:pStyle w:val="ListParagraph"/>
        <w:numPr>
          <w:ilvl w:val="0"/>
          <w:numId w:val="3"/>
        </w:numPr>
        <w:spacing w:after="80"/>
      </w:pPr>
      <w:r>
        <w:rPr>
          <w:b/>
          <w:bCs/>
        </w:rPr>
        <w:t xml:space="preserve">Sentiment polarity — VADER. </w:t>
      </w:r>
      <w:r>
        <w:t>VADER is a rule-based sentiment analyzer well-suited for short marketing copy. Compound score per ad ranges from −1 (very negative) to +1 (very positive). We test whether BNPL ads are more uniformly positive than control ads, and crucially whether sentiment correlates with the absence of risk language within the BNPL set.</w:t>
      </w:r>
    </w:p>
    <w:p w14:paraId="745760EE" w14:textId="77777777" w:rsidR="006B4269" w:rsidRDefault="00000000">
      <w:pPr>
        <w:pStyle w:val="Heading3"/>
        <w:spacing w:before="200" w:after="100"/>
      </w:pPr>
      <w:r>
        <w:t>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B4269" w14:paraId="02F8F836" w14:textId="77777777">
        <w:tblPrEx>
          <w:tblCellMar>
            <w:top w:w="0" w:type="dxa"/>
            <w:bottom w:w="0" w:type="dxa"/>
          </w:tblCellMar>
        </w:tblPrEx>
        <w:trPr>
          <w:tblHeader/>
        </w:trPr>
        <w:tc>
          <w:tcPr>
            <w:tcW w:w="312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572E6DE4" w14:textId="77777777" w:rsidR="006B4269" w:rsidRDefault="00000000">
            <w:r>
              <w:rPr>
                <w:b/>
                <w:bCs/>
              </w:rPr>
              <w:t>Role</w:t>
            </w:r>
          </w:p>
        </w:tc>
        <w:tc>
          <w:tcPr>
            <w:tcW w:w="624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2B3A9F2B" w14:textId="77777777" w:rsidR="006B4269" w:rsidRDefault="00000000">
            <w:r>
              <w:rPr>
                <w:b/>
                <w:bCs/>
              </w:rPr>
              <w:t>Variable(s) / measure</w:t>
            </w:r>
          </w:p>
        </w:tc>
      </w:tr>
      <w:tr w:rsidR="006B4269" w14:paraId="180FBEB0"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456DCF3" w14:textId="77777777" w:rsidR="006B4269" w:rsidRDefault="00000000">
            <w:r>
              <w:t>Unit of observation</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3672C00" w14:textId="77777777" w:rsidR="006B4269" w:rsidRDefault="00000000">
            <w:r>
              <w:t>An ad (string of headline + body + transcript)</w:t>
            </w:r>
          </w:p>
        </w:tc>
      </w:tr>
      <w:tr w:rsidR="006B4269" w14:paraId="06A49226"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F1332BE" w14:textId="77777777" w:rsidR="006B4269" w:rsidRDefault="00000000">
            <w:r>
              <w:t>Group label</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E8E5D79" w14:textId="77777777" w:rsidR="006B4269" w:rsidRDefault="00000000">
            <w:r>
              <w:t>PROVIDER ∈ {Affirm, Klarna, Afterpay, Sezzle, Zip, PayPal, control}</w:t>
            </w:r>
          </w:p>
        </w:tc>
      </w:tr>
      <w:tr w:rsidR="006B4269" w14:paraId="3FC4AA97"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2876F34" w14:textId="77777777" w:rsidR="006B4269" w:rsidRDefault="00000000">
            <w:r>
              <w:t>Outcome 1</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0C20EF5" w14:textId="77777777" w:rsidR="006B4269" w:rsidRDefault="00000000">
            <w:r>
              <w:t>Flesch-Kincaid grade level</w:t>
            </w:r>
          </w:p>
        </w:tc>
      </w:tr>
      <w:tr w:rsidR="006B4269" w14:paraId="004CE809"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6D137AC" w14:textId="77777777" w:rsidR="006B4269" w:rsidRDefault="00000000">
            <w:r>
              <w:t>Outcome 2</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351B300" w14:textId="77777777" w:rsidR="006B4269" w:rsidRDefault="00000000">
            <w:r>
              <w:t>Urgency ratio = urgency_words / (urgency_words + risk_words)</w:t>
            </w:r>
          </w:p>
        </w:tc>
      </w:tr>
      <w:tr w:rsidR="006B4269" w14:paraId="0928B9A8"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16E5D5D" w14:textId="77777777" w:rsidR="006B4269" w:rsidRDefault="00000000">
            <w:r>
              <w:t>Outcome 3</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2008631" w14:textId="77777777" w:rsidR="006B4269" w:rsidRDefault="00000000">
            <w:r>
              <w:t>VADER compound sentiment</w:t>
            </w:r>
          </w:p>
        </w:tc>
      </w:tr>
      <w:tr w:rsidR="006B4269" w14:paraId="6EBAE300"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A6709D1" w14:textId="77777777" w:rsidR="006B4269" w:rsidRDefault="00000000">
            <w:r>
              <w:t>Comparison</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DF08212" w14:textId="77777777" w:rsidR="006B4269" w:rsidRDefault="00000000">
            <w:r>
              <w:t>BNPL ads (all six providers pooled) vs. non-BNPL fintech control ads</w:t>
            </w:r>
          </w:p>
        </w:tc>
      </w:tr>
      <w:tr w:rsidR="006B4269" w14:paraId="64A190F3"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2A35783" w14:textId="77777777" w:rsidR="006B4269" w:rsidRDefault="00000000">
            <w:r>
              <w:t>Statistical tests</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F60EE45" w14:textId="77777777" w:rsidR="006B4269" w:rsidRDefault="00000000">
            <w:r>
              <w:t>Welch’s t-test for each outcome; Holm-Bonferroni correction for the 3 tests</w:t>
            </w:r>
          </w:p>
        </w:tc>
      </w:tr>
      <w:tr w:rsidR="006B4269" w14:paraId="429AF2B9"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542A9D9" w14:textId="77777777" w:rsidR="006B4269" w:rsidRDefault="00000000">
            <w:r>
              <w:lastRenderedPageBreak/>
              <w:t>Weight / control</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97AAF12" w14:textId="77777777" w:rsidR="006B4269" w:rsidRDefault="00000000">
            <w:r>
              <w:t>None — the corpus is small and curated; weighting would be inappropriate</w:t>
            </w:r>
          </w:p>
        </w:tc>
      </w:tr>
    </w:tbl>
    <w:p w14:paraId="4D5E6AFD" w14:textId="77777777" w:rsidR="006B4269" w:rsidRDefault="00000000">
      <w:pPr>
        <w:pStyle w:val="Heading3"/>
        <w:spacing w:before="200" w:after="100"/>
      </w:pPr>
      <w:r>
        <w:t>Output</w:t>
      </w:r>
    </w:p>
    <w:p w14:paraId="3A3B4633" w14:textId="77777777" w:rsidR="006B4269" w:rsidRDefault="00000000">
      <w:pPr>
        <w:spacing w:after="120"/>
      </w:pPr>
      <w:r>
        <w:t>(i) Three boxplots showing distribution of each measure across BNPL providers and the control group. (ii) A summary table of mean differences and p-values. (iii) A small qualitative appendix — 10 verbatim quotes from BNPL ads that exemplify the dominant rhetorical pattern, paired with the comparable control-group quotes — because numbers alone do not convey messaging tone.</w:t>
      </w:r>
    </w:p>
    <w:p w14:paraId="0F00E7A6" w14:textId="77777777" w:rsidR="006B4269" w:rsidRDefault="00000000">
      <w:pPr>
        <w:spacing w:after="120"/>
      </w:pPr>
      <w:r>
        <w:t>Limitation to acknowledge: 50–80 ads is a small corpus. We are doing exploratory quantitative content analysis, not training a classifier. Statistical power is modest and a single null result here would not falsify the broader argument; the evidence is cumulative.</w:t>
      </w:r>
    </w:p>
    <w:p w14:paraId="30C38BF8" w14:textId="77777777" w:rsidR="006B4269" w:rsidRDefault="00000000">
      <w:r>
        <w:br w:type="page"/>
      </w:r>
    </w:p>
    <w:p w14:paraId="58DD7991" w14:textId="77777777" w:rsidR="006B4269" w:rsidRDefault="00000000">
      <w:pPr>
        <w:pStyle w:val="Heading1"/>
        <w:spacing w:before="360" w:after="180"/>
      </w:pPr>
      <w:r>
        <w:lastRenderedPageBreak/>
        <w:t>3. How the five analyses combine into one argument</w:t>
      </w:r>
    </w:p>
    <w:p w14:paraId="438D8CA9" w14:textId="77777777" w:rsidR="006B4269" w:rsidRDefault="00000000">
      <w:pPr>
        <w:spacing w:after="120"/>
      </w:pPr>
      <w:r>
        <w:t>Each analysis answers a different sub-question. The argument we make in the final report depends on the chain of evidence, not any one piece:</w:t>
      </w:r>
    </w:p>
    <w:p w14:paraId="285A1932" w14:textId="77777777" w:rsidR="006B4269" w:rsidRDefault="00000000">
      <w:pPr>
        <w:pStyle w:val="ListParagraph"/>
        <w:numPr>
          <w:ilvl w:val="0"/>
          <w:numId w:val="2"/>
        </w:numPr>
        <w:spacing w:after="80"/>
      </w:pPr>
      <w:r>
        <w:rPr>
          <w:b/>
          <w:bCs/>
        </w:rPr>
        <w:t xml:space="preserve">Analyses 1 + 2 establish: </w:t>
      </w:r>
      <w:r>
        <w:t>BNPL use is concentrated in financially fragile populations, on a defensible composite measure.</w:t>
      </w:r>
    </w:p>
    <w:p w14:paraId="238558ED" w14:textId="77777777" w:rsidR="006B4269" w:rsidRDefault="00000000">
      <w:pPr>
        <w:pStyle w:val="ListParagraph"/>
        <w:numPr>
          <w:ilvl w:val="0"/>
          <w:numId w:val="2"/>
        </w:numPr>
        <w:spacing w:after="80"/>
      </w:pPr>
      <w:r>
        <w:rPr>
          <w:b/>
          <w:bCs/>
        </w:rPr>
        <w:t xml:space="preserve">Analysis 3 establishes: </w:t>
      </w:r>
      <w:r>
        <w:t>This concentration is not just a demographic artifact — vulnerability has its own predictive role, and the effect is steeper among younger and lower-income subgroups.</w:t>
      </w:r>
    </w:p>
    <w:p w14:paraId="4DB133B2" w14:textId="77777777" w:rsidR="006B4269" w:rsidRDefault="00000000">
      <w:pPr>
        <w:pStyle w:val="ListParagraph"/>
        <w:numPr>
          <w:ilvl w:val="0"/>
          <w:numId w:val="2"/>
        </w:numPr>
        <w:spacing w:after="80"/>
      </w:pPr>
      <w:r>
        <w:rPr>
          <w:b/>
          <w:bCs/>
        </w:rPr>
        <w:t xml:space="preserve">Analysis 4 establishes: </w:t>
      </w:r>
      <w:r>
        <w:t>The result holds even when we abandon the linear-functional-form assumption and instead match like-with-like.</w:t>
      </w:r>
    </w:p>
    <w:p w14:paraId="221904F7" w14:textId="77777777" w:rsidR="006B4269" w:rsidRDefault="00000000">
      <w:pPr>
        <w:pStyle w:val="ListParagraph"/>
        <w:numPr>
          <w:ilvl w:val="0"/>
          <w:numId w:val="2"/>
        </w:numPr>
        <w:spacing w:after="80"/>
      </w:pPr>
      <w:r>
        <w:rPr>
          <w:b/>
          <w:bCs/>
        </w:rPr>
        <w:t xml:space="preserve">Analysis 5 establishes: </w:t>
      </w:r>
      <w:r>
        <w:t>The messaging in BNPL ads is systematically different from comparable fintech ads in ways that downplay risk — directly addressing the “does the ad content obscure the risks” half of the research question.</w:t>
      </w:r>
    </w:p>
    <w:p w14:paraId="34E02E47" w14:textId="77777777" w:rsidR="006B4269" w:rsidRDefault="00000000">
      <w:pPr>
        <w:spacing w:after="120"/>
      </w:pPr>
      <w:r>
        <w:t>Taken together, the four quantitative analyses rule out the strongest demographic / preference-based explanations for the concentration pattern, and the content analysis supplies a plausible mechanism (marketing addressed at a vulnerable group, with messaging that suppresses the risk side of the trade-off). We do not claim to prove intentional targeting at the level of provider boardrooms — that requires data we do not have. We do claim to have constructed a triangulated empirical pattern that any defender of the providers would have to address.</w:t>
      </w:r>
    </w:p>
    <w:p w14:paraId="175C3CA0" w14:textId="77777777" w:rsidR="006B4269" w:rsidRDefault="00000000">
      <w:pPr>
        <w:pStyle w:val="Heading1"/>
        <w:spacing w:before="360" w:after="180"/>
      </w:pPr>
      <w:r>
        <w:t>4. Practical considerations and risks</w:t>
      </w:r>
    </w:p>
    <w:p w14:paraId="488E9001" w14:textId="77777777" w:rsidR="006B4269" w:rsidRDefault="00000000">
      <w:pPr>
        <w:pStyle w:val="Heading3"/>
        <w:spacing w:before="200" w:after="100"/>
      </w:pPr>
      <w:r>
        <w:t>Sample-size concerns</w:t>
      </w:r>
    </w:p>
    <w:p w14:paraId="203753F3" w14:textId="77777777" w:rsidR="006B4269" w:rsidRDefault="00000000">
      <w:pPr>
        <w:spacing w:after="120"/>
      </w:pPr>
      <w:r>
        <w:t>Of 12,295 SHED respondents, 1,670 used BNPL. Within that, only 358 were ever late on a payment, and only 200 were charged a fee. This means analyses that condition on “BNPL users who paid late” have very limited statistical power. We will use the late-payment items only in Analysis 1 (descriptive) and not as outcomes in Analyses 3 or 4.</w:t>
      </w:r>
    </w:p>
    <w:p w14:paraId="059C661A" w14:textId="77777777" w:rsidR="006B4269" w:rsidRDefault="00000000">
      <w:pPr>
        <w:pStyle w:val="Heading3"/>
        <w:spacing w:before="200" w:after="100"/>
      </w:pPr>
      <w:r>
        <w:t>Multiple comparisons</w:t>
      </w:r>
    </w:p>
    <w:p w14:paraId="5C05983C" w14:textId="77777777" w:rsidR="006B4269" w:rsidRDefault="00000000">
      <w:pPr>
        <w:spacing w:after="120"/>
      </w:pPr>
      <w:r>
        <w:t>Analysis 1 runs ~12 chi-square tests. We will apply the Holm-Bonferroni correction to the family of tests within each domain (demographics, vulnerability) and report both raw and corrected p-values.</w:t>
      </w:r>
    </w:p>
    <w:p w14:paraId="5DAE16C1" w14:textId="77777777" w:rsidR="006B4269" w:rsidRDefault="00000000">
      <w:pPr>
        <w:pStyle w:val="Heading3"/>
        <w:spacing w:before="200" w:after="100"/>
      </w:pPr>
      <w:r>
        <w:t>Causal language</w:t>
      </w:r>
    </w:p>
    <w:p w14:paraId="7AABC599" w14:textId="77777777" w:rsidR="006B4269" w:rsidRDefault="00000000">
      <w:pPr>
        <w:spacing w:after="120"/>
      </w:pPr>
      <w:r>
        <w:t>None of these analyses is a causal-identification design — there is no instrument, no natural experiment, no random assignment. Wherever we discuss the magnitude of an effect, the language will be “associated with” rather than “causes.” The matching analysis (4) gets us closer to a causal interpretation than the regressions, but only under the strong unconfoundedness assumption that the demographic covariates exhaust the relevant confounders — an assumption we will state explicitly.</w:t>
      </w:r>
    </w:p>
    <w:p w14:paraId="2AC87678" w14:textId="77777777" w:rsidR="006B4269" w:rsidRDefault="00000000">
      <w:pPr>
        <w:pStyle w:val="Heading3"/>
        <w:spacing w:before="200" w:after="100"/>
      </w:pPr>
      <w:r>
        <w:t>Software</w:t>
      </w:r>
    </w:p>
    <w:p w14:paraId="6775A50B" w14:textId="77777777" w:rsidR="006B4269" w:rsidRDefault="00000000">
      <w:pPr>
        <w:spacing w:after="120"/>
      </w:pPr>
      <w:r>
        <w:t>Python (pandas, numpy, scikit-learn, statsmodels, scipy.stats), with textstat and vaderSentiment for Analysis 5. The matching step uses causalinference. All code committed to the project GitHub repo with a single requirements.txt.</w:t>
      </w:r>
    </w:p>
    <w:p w14:paraId="274993D4" w14:textId="77777777" w:rsidR="006B4269" w:rsidRDefault="00000000">
      <w:pPr>
        <w:pStyle w:val="Heading3"/>
        <w:spacing w:before="200" w:after="100"/>
      </w:pPr>
      <w:r>
        <w:t>Reproducibility</w:t>
      </w:r>
    </w:p>
    <w:p w14:paraId="4CB8F705" w14:textId="77777777" w:rsidR="006B4269" w:rsidRDefault="00000000">
      <w:pPr>
        <w:spacing w:after="120"/>
      </w:pPr>
      <w:r>
        <w:lastRenderedPageBreak/>
        <w:t>All five analyses are scripted end-to-end from the raw SHED CSV download and the manually-built ad-corpus CSV. Random seeds are fixed wherever stochastic methods (matching, bootstrap) are used. Intermediate datasets (the vulnerability index, the matched sample) are saved to the repo so the regressions and content analysis can be re-run independently of the upstream steps.</w:t>
      </w:r>
    </w:p>
    <w:p w14:paraId="6EE94DD6" w14:textId="77777777" w:rsidR="006B4269" w:rsidRDefault="00000000">
      <w:pPr>
        <w:pStyle w:val="Heading1"/>
        <w:spacing w:before="360" w:after="180"/>
      </w:pPr>
      <w:r>
        <w:t>5.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B4269" w14:paraId="4539804D" w14:textId="77777777">
        <w:tblPrEx>
          <w:tblCellMar>
            <w:top w:w="0" w:type="dxa"/>
            <w:bottom w:w="0" w:type="dxa"/>
          </w:tblCellMar>
        </w:tblPrEx>
        <w:trPr>
          <w:tblHeader/>
        </w:trPr>
        <w:tc>
          <w:tcPr>
            <w:tcW w:w="312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075BEE7A" w14:textId="77777777" w:rsidR="006B4269" w:rsidRDefault="00000000">
            <w:r>
              <w:rPr>
                <w:b/>
                <w:bCs/>
              </w:rPr>
              <w:t>Analysis</w:t>
            </w:r>
          </w:p>
        </w:tc>
        <w:tc>
          <w:tcPr>
            <w:tcW w:w="6240" w:type="dxa"/>
            <w:tcBorders>
              <w:top w:val="single" w:sz="4" w:space="0" w:color="B0B0B0"/>
              <w:left w:val="single" w:sz="4" w:space="0" w:color="B0B0B0"/>
              <w:bottom w:val="single" w:sz="4" w:space="0" w:color="B0B0B0"/>
              <w:right w:val="single" w:sz="4" w:space="0" w:color="B0B0B0"/>
            </w:tcBorders>
            <w:shd w:val="clear" w:color="auto" w:fill="D9E2F3"/>
            <w:tcMar>
              <w:top w:w="80" w:type="dxa"/>
              <w:left w:w="120" w:type="dxa"/>
              <w:bottom w:w="80" w:type="dxa"/>
              <w:right w:w="120" w:type="dxa"/>
            </w:tcMar>
          </w:tcPr>
          <w:p w14:paraId="6CD868CD" w14:textId="77777777" w:rsidR="006B4269" w:rsidRDefault="00000000">
            <w:r>
              <w:rPr>
                <w:b/>
                <w:bCs/>
              </w:rPr>
              <w:t>Method, key variable, what it answers</w:t>
            </w:r>
          </w:p>
        </w:tc>
      </w:tr>
      <w:tr w:rsidR="006B4269" w14:paraId="36ED55F7"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9FBDF2A" w14:textId="77777777" w:rsidR="006B4269" w:rsidRDefault="00000000">
            <w:r>
              <w:t>1. Descriptive + chi-square</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EAD3C40" w14:textId="77777777" w:rsidR="006B4269" w:rsidRDefault="00000000">
            <w:r>
              <w:t>Weighted bivariate comparisons, Rao-Scott corrected. Predictors: age, income, race, education, EF battery, B battery. Answers: are there differences at all?</w:t>
            </w:r>
          </w:p>
        </w:tc>
      </w:tr>
      <w:tr w:rsidR="006B4269" w14:paraId="7576685D"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A07C217" w14:textId="77777777" w:rsidR="006B4269" w:rsidRDefault="00000000">
            <w:r>
              <w:t>2. Composite vulnerability index</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6ADD2A2" w14:textId="77777777" w:rsidR="006B4269" w:rsidRDefault="00000000">
            <w:r>
              <w:t>Cronbach’s α + weighted PCA. Inputs: B0_a, B0_b, B0_c, B2, EF1, EF2, EF3_f, EF7. Output: VULN_PCA1. Answers: can we measure fragility coherently?</w:t>
            </w:r>
          </w:p>
        </w:tc>
      </w:tr>
      <w:tr w:rsidR="006B4269" w14:paraId="7A7FC2A4"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A8EBDFB" w14:textId="77777777" w:rsidR="006B4269" w:rsidRDefault="00000000">
            <w:r>
              <w:t>3. LPM with interactions</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11B2C50" w14:textId="77777777" w:rsidR="006B4269" w:rsidRDefault="00000000">
            <w:r>
              <w:t>OLS with HC-robust SE, weighted; outcome BNPL1; key predictor VULN_PCA1; controls ppage + ppage², ppgender, race_5cat, educ_4cat, ppinc7, ppmarit5, ppmsacat; interactions VULN × age, race, income. Answers: does fragility predict BNPL use beyond demographics, and is the effect heterogeneous?</w:t>
            </w:r>
          </w:p>
        </w:tc>
      </w:tr>
      <w:tr w:rsidR="006B4269" w14:paraId="7428B5FB"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25AF5A8" w14:textId="77777777" w:rsidR="006B4269" w:rsidRDefault="00000000">
            <w:r>
              <w:t>4. Propensity score matching</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68EED0C" w14:textId="77777777" w:rsidR="006B4269" w:rsidRDefault="00000000">
            <w:r>
              <w:t>Logit propensity on demographics; nearest-neighbor matching with caliper; ATT with bootstrap SE. Answers: does the result survive a non-parametric comparison of like-with-like?</w:t>
            </w:r>
          </w:p>
        </w:tc>
      </w:tr>
      <w:tr w:rsidR="006B4269" w14:paraId="55BA2687" w14:textId="77777777">
        <w:tblPrEx>
          <w:tblCellMar>
            <w:top w:w="0" w:type="dxa"/>
            <w:bottom w:w="0" w:type="dxa"/>
          </w:tblCellMar>
        </w:tblPrEx>
        <w:tc>
          <w:tcPr>
            <w:tcW w:w="312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8DA491B" w14:textId="77777777" w:rsidR="006B4269" w:rsidRDefault="00000000">
            <w:r>
              <w:t>5. Ad-content text analysis</w:t>
            </w:r>
          </w:p>
        </w:tc>
        <w:tc>
          <w:tcPr>
            <w:tcW w:w="62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9337271" w14:textId="77777777" w:rsidR="006B4269" w:rsidRDefault="00000000">
            <w:r>
              <w:t>Flesch-Kincaid, urgency ratio, VADER sentiment on a 50–80-ad corpus. Comparison BNPL vs. control fintech. Answers: do BNPL ads systematically downplay risk and emphasize urgency?</w:t>
            </w:r>
          </w:p>
        </w:tc>
      </w:tr>
    </w:tbl>
    <w:p w14:paraId="6164DBD6" w14:textId="77777777" w:rsidR="006B4269" w:rsidRDefault="00000000">
      <w:pPr>
        <w:spacing w:before="200"/>
      </w:pPr>
      <w:r>
        <w:t>This plan is sized for a quarter-long undergraduate project. Analyses 1 and 2 should each take 1–2 days of work; Analyses 3 and 4 each 3–5 days; Analysis 5 spans the corpus collection (1 week of intermittent work) plus 1–2 days of NLP. Writing the report in parallel.</w:t>
      </w:r>
    </w:p>
    <w:sectPr w:rsidR="006B42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416CC"/>
    <w:multiLevelType w:val="hybridMultilevel"/>
    <w:tmpl w:val="9B94FBD0"/>
    <w:lvl w:ilvl="0" w:tplc="DF2A1290">
      <w:start w:val="1"/>
      <w:numFmt w:val="bullet"/>
      <w:lvlText w:val="●"/>
      <w:lvlJc w:val="left"/>
      <w:pPr>
        <w:ind w:left="720" w:hanging="360"/>
      </w:pPr>
    </w:lvl>
    <w:lvl w:ilvl="1" w:tplc="7048E39C">
      <w:start w:val="1"/>
      <w:numFmt w:val="bullet"/>
      <w:lvlText w:val="○"/>
      <w:lvlJc w:val="left"/>
      <w:pPr>
        <w:ind w:left="1440" w:hanging="360"/>
      </w:pPr>
    </w:lvl>
    <w:lvl w:ilvl="2" w:tplc="8728A298">
      <w:start w:val="1"/>
      <w:numFmt w:val="bullet"/>
      <w:lvlText w:val="■"/>
      <w:lvlJc w:val="left"/>
      <w:pPr>
        <w:ind w:left="2160" w:hanging="360"/>
      </w:pPr>
    </w:lvl>
    <w:lvl w:ilvl="3" w:tplc="2B885F9C">
      <w:start w:val="1"/>
      <w:numFmt w:val="bullet"/>
      <w:lvlText w:val="●"/>
      <w:lvlJc w:val="left"/>
      <w:pPr>
        <w:ind w:left="2880" w:hanging="360"/>
      </w:pPr>
    </w:lvl>
    <w:lvl w:ilvl="4" w:tplc="57E4229A">
      <w:start w:val="1"/>
      <w:numFmt w:val="bullet"/>
      <w:lvlText w:val="○"/>
      <w:lvlJc w:val="left"/>
      <w:pPr>
        <w:ind w:left="3600" w:hanging="360"/>
      </w:pPr>
    </w:lvl>
    <w:lvl w:ilvl="5" w:tplc="DBFA9646">
      <w:start w:val="1"/>
      <w:numFmt w:val="bullet"/>
      <w:lvlText w:val="■"/>
      <w:lvlJc w:val="left"/>
      <w:pPr>
        <w:ind w:left="4320" w:hanging="360"/>
      </w:pPr>
    </w:lvl>
    <w:lvl w:ilvl="6" w:tplc="95A0C26C">
      <w:start w:val="1"/>
      <w:numFmt w:val="bullet"/>
      <w:lvlText w:val="●"/>
      <w:lvlJc w:val="left"/>
      <w:pPr>
        <w:ind w:left="5040" w:hanging="360"/>
      </w:pPr>
    </w:lvl>
    <w:lvl w:ilvl="7" w:tplc="4802DF88">
      <w:start w:val="1"/>
      <w:numFmt w:val="bullet"/>
      <w:lvlText w:val="●"/>
      <w:lvlJc w:val="left"/>
      <w:pPr>
        <w:ind w:left="5760" w:hanging="360"/>
      </w:pPr>
    </w:lvl>
    <w:lvl w:ilvl="8" w:tplc="EA706A4C">
      <w:start w:val="1"/>
      <w:numFmt w:val="bullet"/>
      <w:lvlText w:val="●"/>
      <w:lvlJc w:val="left"/>
      <w:pPr>
        <w:ind w:left="6480" w:hanging="360"/>
      </w:pPr>
    </w:lvl>
  </w:abstractNum>
  <w:abstractNum w:abstractNumId="1" w15:restartNumberingAfterBreak="0">
    <w:nsid w:val="3AA343CE"/>
    <w:multiLevelType w:val="hybridMultilevel"/>
    <w:tmpl w:val="F6026F6A"/>
    <w:lvl w:ilvl="0" w:tplc="C97C421C">
      <w:start w:val="1"/>
      <w:numFmt w:val="decimal"/>
      <w:lvlText w:val="%1."/>
      <w:lvlJc w:val="left"/>
      <w:pPr>
        <w:ind w:left="720" w:hanging="360"/>
      </w:pPr>
    </w:lvl>
    <w:lvl w:ilvl="1" w:tplc="9B00DADE">
      <w:numFmt w:val="decimal"/>
      <w:lvlText w:val=""/>
      <w:lvlJc w:val="left"/>
    </w:lvl>
    <w:lvl w:ilvl="2" w:tplc="0B3AF098">
      <w:numFmt w:val="decimal"/>
      <w:lvlText w:val=""/>
      <w:lvlJc w:val="left"/>
    </w:lvl>
    <w:lvl w:ilvl="3" w:tplc="AD38E71E">
      <w:numFmt w:val="decimal"/>
      <w:lvlText w:val=""/>
      <w:lvlJc w:val="left"/>
    </w:lvl>
    <w:lvl w:ilvl="4" w:tplc="1C009A9E">
      <w:numFmt w:val="decimal"/>
      <w:lvlText w:val=""/>
      <w:lvlJc w:val="left"/>
    </w:lvl>
    <w:lvl w:ilvl="5" w:tplc="1FD231E4">
      <w:numFmt w:val="decimal"/>
      <w:lvlText w:val=""/>
      <w:lvlJc w:val="left"/>
    </w:lvl>
    <w:lvl w:ilvl="6" w:tplc="85A48020">
      <w:numFmt w:val="decimal"/>
      <w:lvlText w:val=""/>
      <w:lvlJc w:val="left"/>
    </w:lvl>
    <w:lvl w:ilvl="7" w:tplc="B7E8EFBA">
      <w:numFmt w:val="decimal"/>
      <w:lvlText w:val=""/>
      <w:lvlJc w:val="left"/>
    </w:lvl>
    <w:lvl w:ilvl="8" w:tplc="322C3B0A">
      <w:numFmt w:val="decimal"/>
      <w:lvlText w:val=""/>
      <w:lvlJc w:val="left"/>
    </w:lvl>
  </w:abstractNum>
  <w:abstractNum w:abstractNumId="2" w15:restartNumberingAfterBreak="0">
    <w:nsid w:val="6E155FA5"/>
    <w:multiLevelType w:val="hybridMultilevel"/>
    <w:tmpl w:val="009E1FD4"/>
    <w:lvl w:ilvl="0" w:tplc="51EAE67A">
      <w:start w:val="1"/>
      <w:numFmt w:val="bullet"/>
      <w:lvlText w:val="•"/>
      <w:lvlJc w:val="left"/>
      <w:pPr>
        <w:ind w:left="720" w:hanging="360"/>
      </w:pPr>
    </w:lvl>
    <w:lvl w:ilvl="1" w:tplc="88384E94">
      <w:start w:val="1"/>
      <w:numFmt w:val="bullet"/>
      <w:lvlText w:val="◦"/>
      <w:lvlJc w:val="left"/>
      <w:pPr>
        <w:ind w:left="1440" w:hanging="360"/>
      </w:pPr>
    </w:lvl>
    <w:lvl w:ilvl="2" w:tplc="125A53A8">
      <w:numFmt w:val="decimal"/>
      <w:lvlText w:val=""/>
      <w:lvlJc w:val="left"/>
    </w:lvl>
    <w:lvl w:ilvl="3" w:tplc="B83450FC">
      <w:numFmt w:val="decimal"/>
      <w:lvlText w:val=""/>
      <w:lvlJc w:val="left"/>
    </w:lvl>
    <w:lvl w:ilvl="4" w:tplc="373A30D6">
      <w:numFmt w:val="decimal"/>
      <w:lvlText w:val=""/>
      <w:lvlJc w:val="left"/>
    </w:lvl>
    <w:lvl w:ilvl="5" w:tplc="05724844">
      <w:numFmt w:val="decimal"/>
      <w:lvlText w:val=""/>
      <w:lvlJc w:val="left"/>
    </w:lvl>
    <w:lvl w:ilvl="6" w:tplc="C3E6EBCE">
      <w:numFmt w:val="decimal"/>
      <w:lvlText w:val=""/>
      <w:lvlJc w:val="left"/>
    </w:lvl>
    <w:lvl w:ilvl="7" w:tplc="F1FCED26">
      <w:numFmt w:val="decimal"/>
      <w:lvlText w:val=""/>
      <w:lvlJc w:val="left"/>
    </w:lvl>
    <w:lvl w:ilvl="8" w:tplc="55343AD8">
      <w:numFmt w:val="decimal"/>
      <w:lvlText w:val=""/>
      <w:lvlJc w:val="left"/>
    </w:lvl>
  </w:abstractNum>
  <w:num w:numId="1" w16cid:durableId="1620644957">
    <w:abstractNumId w:val="0"/>
    <w:lvlOverride w:ilvl="0">
      <w:startOverride w:val="1"/>
    </w:lvlOverride>
  </w:num>
  <w:num w:numId="2" w16cid:durableId="1910191807">
    <w:abstractNumId w:val="2"/>
    <w:lvlOverride w:ilvl="0">
      <w:startOverride w:val="1"/>
    </w:lvlOverride>
  </w:num>
  <w:num w:numId="3" w16cid:durableId="5728584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269"/>
    <w:rsid w:val="006B4269"/>
    <w:rsid w:val="00F40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A6C707"/>
  <w15:docId w15:val="{4F1C9AE9-A263-044F-85C7-0B66BDA8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3359</Words>
  <Characters>19149</Characters>
  <Application>Microsoft Office Word</Application>
  <DocSecurity>0</DocSecurity>
  <Lines>159</Lines>
  <Paragraphs>44</Paragraphs>
  <ScaleCrop>false</ScaleCrop>
  <Company/>
  <LinksUpToDate>false</LinksUpToDate>
  <CharactersWithSpaces>22464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BNPL Project Methodology</dc:title>
  <dc:creator>DATA 259 BNPL project</dc:creator>
  <cp:lastModifiedBy>Haoyi He</cp:lastModifiedBy>
  <cp:revision>2</cp:revision>
  <dcterms:created xsi:type="dcterms:W3CDTF">2026-05-07T21:39:00Z</dcterms:created>
  <dcterms:modified xsi:type="dcterms:W3CDTF">2026-05-07T21:46:00Z</dcterms:modified>
</cp:coreProperties>
</file>